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C408" w14:textId="47B55786" w:rsidR="00550DC3" w:rsidRPr="00A52AEE" w:rsidRDefault="00E17738" w:rsidP="00A52AEE">
      <w:bookmarkStart w:id="0" w:name="_GoBack"/>
      <w:bookmarkEnd w:id="0"/>
      <w:r w:rsidRPr="00A52AEE">
        <w:rPr>
          <w:b/>
          <w:noProof/>
          <w:color w:val="732117"/>
          <w:sz w:val="52"/>
          <w:szCs w:val="40"/>
          <w:lang w:eastAsia="en-GB"/>
        </w:rPr>
        <w:drawing>
          <wp:anchor distT="0" distB="0" distL="114300" distR="114300" simplePos="0" relativeHeight="251660288" behindDoc="0" locked="0" layoutInCell="1" allowOverlap="1" wp14:anchorId="40BC926C" wp14:editId="5753DC62">
            <wp:simplePos x="0" y="0"/>
            <wp:positionH relativeFrom="column">
              <wp:posOffset>2244090</wp:posOffset>
            </wp:positionH>
            <wp:positionV relativeFrom="paragraph">
              <wp:posOffset>1905</wp:posOffset>
            </wp:positionV>
            <wp:extent cx="3848100" cy="92710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2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D9B2E0" w14:textId="44D5589D" w:rsidR="00102706" w:rsidRPr="00A52AEE" w:rsidRDefault="00102706" w:rsidP="00A52AEE">
      <w:bookmarkStart w:id="1" w:name="_Toc411593430"/>
      <w:bookmarkEnd w:id="1"/>
    </w:p>
    <w:p w14:paraId="169B79A7" w14:textId="0E3DD862" w:rsidR="00102706" w:rsidRPr="00A52AEE" w:rsidRDefault="00102706" w:rsidP="00A52AEE">
      <w:bookmarkStart w:id="2" w:name="_Toc411593431"/>
      <w:bookmarkEnd w:id="2"/>
    </w:p>
    <w:p w14:paraId="24986E2C" w14:textId="60EE620D" w:rsidR="00F16C89" w:rsidRPr="00A52AEE" w:rsidRDefault="00F16C89" w:rsidP="00A52AEE">
      <w:bookmarkStart w:id="3" w:name="_Toc411593187"/>
      <w:bookmarkStart w:id="4" w:name="_Toc411593432"/>
      <w:bookmarkStart w:id="5" w:name="_Toc411595680"/>
      <w:bookmarkStart w:id="6" w:name="_Toc421606567"/>
    </w:p>
    <w:p w14:paraId="06C74476" w14:textId="77777777" w:rsidR="00F16C89" w:rsidRPr="00A52AEE" w:rsidRDefault="00F16C89" w:rsidP="00A52AEE"/>
    <w:p w14:paraId="57FD7946" w14:textId="4CA030D7" w:rsidR="00F53FC0" w:rsidRDefault="00F53FC0" w:rsidP="00A52AEE">
      <w:pPr>
        <w:rPr>
          <w:b/>
          <w:color w:val="323E4F" w:themeColor="text2" w:themeShade="BF"/>
          <w:sz w:val="60"/>
          <w:szCs w:val="60"/>
        </w:rPr>
      </w:pPr>
      <w:bookmarkStart w:id="7" w:name="_Toc421701380"/>
      <w:bookmarkStart w:id="8" w:name="_Toc421702056"/>
      <w:bookmarkStart w:id="9" w:name="_Toc421712937"/>
      <w:bookmarkStart w:id="10" w:name="_Toc421802219"/>
      <w:bookmarkStart w:id="11" w:name="_Toc421802548"/>
    </w:p>
    <w:p w14:paraId="0292ECDA" w14:textId="77777777" w:rsidR="00F53FC0" w:rsidRDefault="00F53FC0" w:rsidP="00A52AEE">
      <w:pPr>
        <w:rPr>
          <w:b/>
          <w:color w:val="323E4F" w:themeColor="text2" w:themeShade="BF"/>
          <w:sz w:val="60"/>
          <w:szCs w:val="60"/>
        </w:rPr>
      </w:pPr>
    </w:p>
    <w:p w14:paraId="022805E2" w14:textId="7545C1DF" w:rsidR="00E17738" w:rsidRDefault="00E17738" w:rsidP="00A52AEE">
      <w:pPr>
        <w:rPr>
          <w:b/>
          <w:color w:val="323E4F" w:themeColor="text2" w:themeShade="BF"/>
          <w:sz w:val="60"/>
          <w:szCs w:val="60"/>
        </w:rPr>
      </w:pPr>
    </w:p>
    <w:p w14:paraId="26C1D644" w14:textId="77777777" w:rsidR="00E17738" w:rsidRDefault="00E17738" w:rsidP="00A52AEE">
      <w:pPr>
        <w:rPr>
          <w:b/>
          <w:color w:val="323E4F" w:themeColor="text2" w:themeShade="BF"/>
          <w:sz w:val="60"/>
          <w:szCs w:val="60"/>
        </w:rPr>
      </w:pPr>
    </w:p>
    <w:p w14:paraId="71387F3A" w14:textId="77777777" w:rsidR="00E17738" w:rsidRDefault="00E17738" w:rsidP="00A52AEE">
      <w:pPr>
        <w:rPr>
          <w:b/>
          <w:color w:val="323E4F" w:themeColor="text2" w:themeShade="BF"/>
          <w:sz w:val="60"/>
          <w:szCs w:val="60"/>
        </w:rPr>
      </w:pPr>
    </w:p>
    <w:p w14:paraId="4D5B001B" w14:textId="1634E906" w:rsidR="00F53FC0" w:rsidRPr="00FE68E8" w:rsidRDefault="00550DC3" w:rsidP="00A52AEE">
      <w:pPr>
        <w:rPr>
          <w:b/>
          <w:color w:val="323E4F" w:themeColor="text2" w:themeShade="BF"/>
          <w:sz w:val="60"/>
          <w:szCs w:val="60"/>
        </w:rPr>
      </w:pPr>
      <w:r w:rsidRPr="00FE68E8">
        <w:rPr>
          <w:b/>
          <w:color w:val="323E4F" w:themeColor="text2" w:themeShade="BF"/>
          <w:sz w:val="60"/>
          <w:szCs w:val="60"/>
        </w:rPr>
        <w:t>PROGRESSION OF COLLEGE</w:t>
      </w:r>
      <w:bookmarkEnd w:id="3"/>
      <w:bookmarkEnd w:id="4"/>
      <w:bookmarkEnd w:id="5"/>
      <w:bookmarkEnd w:id="6"/>
      <w:r w:rsidRPr="00FE68E8">
        <w:rPr>
          <w:b/>
          <w:color w:val="323E4F" w:themeColor="text2" w:themeShade="BF"/>
          <w:sz w:val="60"/>
          <w:szCs w:val="60"/>
        </w:rPr>
        <w:t xml:space="preserve"> </w:t>
      </w:r>
      <w:bookmarkStart w:id="12" w:name="_Toc411593188"/>
      <w:bookmarkStart w:id="13" w:name="_Toc411593433"/>
      <w:bookmarkStart w:id="14" w:name="_Toc411595681"/>
      <w:r w:rsidR="0077498C">
        <w:rPr>
          <w:b/>
          <w:color w:val="323E4F" w:themeColor="text2" w:themeShade="BF"/>
          <w:sz w:val="60"/>
          <w:szCs w:val="60"/>
        </w:rPr>
        <w:t>STUDENTS</w:t>
      </w:r>
      <w:r w:rsidR="00102706" w:rsidRPr="00FE68E8">
        <w:rPr>
          <w:b/>
          <w:color w:val="323E4F" w:themeColor="text2" w:themeShade="BF"/>
          <w:sz w:val="60"/>
          <w:szCs w:val="60"/>
        </w:rPr>
        <w:t xml:space="preserve"> </w:t>
      </w:r>
      <w:bookmarkEnd w:id="12"/>
      <w:bookmarkEnd w:id="13"/>
      <w:bookmarkEnd w:id="14"/>
    </w:p>
    <w:p w14:paraId="22B00ABA" w14:textId="21B9F356" w:rsidR="00DA196D" w:rsidRPr="00E17738" w:rsidRDefault="00DA196D" w:rsidP="00A52AEE">
      <w:pPr>
        <w:rPr>
          <w:b/>
          <w:color w:val="323E4F" w:themeColor="text2" w:themeShade="BF"/>
          <w:sz w:val="18"/>
          <w:szCs w:val="60"/>
        </w:rPr>
      </w:pPr>
      <w:r w:rsidRPr="00FE68E8">
        <w:rPr>
          <w:b/>
          <w:color w:val="323E4F" w:themeColor="text2" w:themeShade="BF"/>
          <w:sz w:val="60"/>
          <w:szCs w:val="60"/>
        </w:rPr>
        <w:t>IN LONDON</w:t>
      </w:r>
      <w:bookmarkEnd w:id="7"/>
      <w:bookmarkEnd w:id="8"/>
      <w:bookmarkEnd w:id="9"/>
      <w:bookmarkEnd w:id="10"/>
      <w:bookmarkEnd w:id="11"/>
      <w:r w:rsidR="0025066C" w:rsidRPr="00FE68E8">
        <w:rPr>
          <w:b/>
          <w:color w:val="323E4F" w:themeColor="text2" w:themeShade="BF"/>
          <w:sz w:val="60"/>
          <w:szCs w:val="60"/>
        </w:rPr>
        <w:t xml:space="preserve"> </w:t>
      </w:r>
      <w:bookmarkStart w:id="15" w:name="_Toc411593189"/>
      <w:bookmarkStart w:id="16" w:name="_Toc411593434"/>
      <w:bookmarkStart w:id="17" w:name="_Toc411595682"/>
      <w:bookmarkStart w:id="18" w:name="_Toc421606569"/>
      <w:bookmarkStart w:id="19" w:name="_Toc421701381"/>
      <w:bookmarkStart w:id="20" w:name="_Toc421702057"/>
      <w:bookmarkStart w:id="21" w:name="_Toc421712938"/>
      <w:bookmarkStart w:id="22" w:name="_Toc421802220"/>
      <w:bookmarkStart w:id="23" w:name="_Toc421802549"/>
      <w:r w:rsidR="00550DC3" w:rsidRPr="00FE68E8">
        <w:rPr>
          <w:b/>
          <w:color w:val="323E4F" w:themeColor="text2" w:themeShade="BF"/>
          <w:sz w:val="60"/>
          <w:szCs w:val="60"/>
        </w:rPr>
        <w:t>TO HIGHER EDUCATION</w:t>
      </w:r>
      <w:bookmarkStart w:id="24" w:name="_Toc411593190"/>
      <w:bookmarkStart w:id="25" w:name="_Toc411593435"/>
      <w:bookmarkStart w:id="26" w:name="_Toc411595683"/>
      <w:bookmarkStart w:id="27" w:name="_Toc421606570"/>
      <w:bookmarkEnd w:id="15"/>
      <w:bookmarkEnd w:id="16"/>
      <w:bookmarkEnd w:id="17"/>
      <w:bookmarkEnd w:id="18"/>
      <w:bookmarkEnd w:id="19"/>
      <w:bookmarkEnd w:id="20"/>
      <w:bookmarkEnd w:id="21"/>
      <w:bookmarkEnd w:id="22"/>
      <w:bookmarkEnd w:id="23"/>
    </w:p>
    <w:p w14:paraId="58E41598" w14:textId="701BDD6B" w:rsidR="00550DC3" w:rsidRPr="0025066C" w:rsidRDefault="00102706" w:rsidP="00A52AEE">
      <w:pPr>
        <w:rPr>
          <w:b/>
          <w:color w:val="323E4F" w:themeColor="text2" w:themeShade="BF"/>
          <w:sz w:val="60"/>
          <w:szCs w:val="60"/>
        </w:rPr>
      </w:pPr>
      <w:bookmarkStart w:id="28" w:name="_Toc421701382"/>
      <w:bookmarkStart w:id="29" w:name="_Toc421702058"/>
      <w:bookmarkStart w:id="30" w:name="_Toc421712939"/>
      <w:bookmarkStart w:id="31" w:name="_Toc421802221"/>
      <w:bookmarkStart w:id="32" w:name="_Toc421802550"/>
      <w:r w:rsidRPr="0025066C">
        <w:rPr>
          <w:b/>
          <w:color w:val="323E4F" w:themeColor="text2" w:themeShade="BF"/>
          <w:sz w:val="60"/>
          <w:szCs w:val="60"/>
        </w:rPr>
        <w:t>200</w:t>
      </w:r>
      <w:r w:rsidR="00DA196D" w:rsidRPr="0025066C">
        <w:rPr>
          <w:b/>
          <w:color w:val="323E4F" w:themeColor="text2" w:themeShade="BF"/>
          <w:sz w:val="60"/>
          <w:szCs w:val="60"/>
        </w:rPr>
        <w:t>7</w:t>
      </w:r>
      <w:r w:rsidRPr="0025066C">
        <w:rPr>
          <w:b/>
          <w:color w:val="323E4F" w:themeColor="text2" w:themeShade="BF"/>
          <w:sz w:val="60"/>
          <w:szCs w:val="60"/>
        </w:rPr>
        <w:t xml:space="preserve"> to</w:t>
      </w:r>
      <w:r w:rsidR="00550DC3" w:rsidRPr="0025066C">
        <w:rPr>
          <w:b/>
          <w:color w:val="323E4F" w:themeColor="text2" w:themeShade="BF"/>
          <w:sz w:val="60"/>
          <w:szCs w:val="60"/>
        </w:rPr>
        <w:t xml:space="preserve"> 2012</w:t>
      </w:r>
      <w:bookmarkEnd w:id="24"/>
      <w:bookmarkEnd w:id="25"/>
      <w:bookmarkEnd w:id="26"/>
      <w:bookmarkEnd w:id="27"/>
      <w:bookmarkEnd w:id="28"/>
      <w:bookmarkEnd w:id="29"/>
      <w:bookmarkEnd w:id="30"/>
      <w:bookmarkEnd w:id="31"/>
      <w:bookmarkEnd w:id="32"/>
    </w:p>
    <w:p w14:paraId="411D5EFB" w14:textId="77777777" w:rsidR="00550DC3" w:rsidRPr="00A52AEE" w:rsidRDefault="00550DC3" w:rsidP="00A52AEE"/>
    <w:p w14:paraId="1ED19934" w14:textId="77777777" w:rsidR="00550DC3" w:rsidRPr="00A52AEE" w:rsidRDefault="00550DC3" w:rsidP="00A52AEE"/>
    <w:p w14:paraId="5E381EB5" w14:textId="6186AA0E" w:rsidR="00102706" w:rsidRPr="0025066C" w:rsidRDefault="00DA196D" w:rsidP="00A52AEE">
      <w:pPr>
        <w:rPr>
          <w:sz w:val="28"/>
        </w:rPr>
      </w:pPr>
      <w:r w:rsidRPr="0025066C">
        <w:rPr>
          <w:noProof/>
          <w:sz w:val="28"/>
        </w:rPr>
        <w:t>Sharon Smith, Hugh Joslin and Jill Jameson</w:t>
      </w:r>
    </w:p>
    <w:p w14:paraId="7575E0FF" w14:textId="72410E66" w:rsidR="00102706" w:rsidRPr="00A52AEE" w:rsidRDefault="00102706" w:rsidP="00A52AEE"/>
    <w:p w14:paraId="0A28CBD8" w14:textId="77777777" w:rsidR="00102706" w:rsidRPr="00A52AEE" w:rsidRDefault="00102706" w:rsidP="00A52AEE"/>
    <w:p w14:paraId="36C44342" w14:textId="2C670A8A" w:rsidR="00102706" w:rsidRPr="00A52AEE" w:rsidRDefault="00102706" w:rsidP="00A52AEE"/>
    <w:p w14:paraId="1FD79EC2" w14:textId="77777777" w:rsidR="00102706" w:rsidRPr="00A52AEE" w:rsidRDefault="00102706" w:rsidP="00A52AEE"/>
    <w:p w14:paraId="22535E58" w14:textId="6C16085C" w:rsidR="00855E4A" w:rsidRDefault="00855E4A" w:rsidP="00A52AEE"/>
    <w:p w14:paraId="244BAC88" w14:textId="77777777" w:rsidR="0025066C" w:rsidRDefault="0025066C" w:rsidP="00A52AEE"/>
    <w:p w14:paraId="4EA7A9FB" w14:textId="2518BA2C" w:rsidR="00E17738" w:rsidRDefault="00E17738" w:rsidP="00A52AEE"/>
    <w:p w14:paraId="61235FA2" w14:textId="77777777" w:rsidR="00E17738" w:rsidRDefault="00E17738" w:rsidP="00A52AEE"/>
    <w:p w14:paraId="7E6A8BE6" w14:textId="77777777" w:rsidR="00E17738" w:rsidRDefault="00E17738" w:rsidP="00A52AEE"/>
    <w:p w14:paraId="2EDE9922" w14:textId="77777777" w:rsidR="00E17738" w:rsidRDefault="00E17738" w:rsidP="00A52AEE"/>
    <w:p w14:paraId="1061B8B9" w14:textId="77777777" w:rsidR="00E17738" w:rsidRDefault="00E17738" w:rsidP="00A52AEE"/>
    <w:p w14:paraId="5635E73B" w14:textId="77777777" w:rsidR="00E17738" w:rsidRDefault="00E17738" w:rsidP="00A52AEE"/>
    <w:p w14:paraId="288741F5" w14:textId="77777777" w:rsidR="00855E4A" w:rsidRDefault="00855E4A" w:rsidP="00A52AEE"/>
    <w:p w14:paraId="2487A1B7" w14:textId="77777777" w:rsidR="008D501C" w:rsidRDefault="008D501C" w:rsidP="00A52AEE">
      <w:pPr>
        <w:rPr>
          <w:rFonts w:ascii="Roboto" w:hAnsi="Roboto"/>
          <w:noProof/>
          <w:color w:val="404040"/>
          <w:sz w:val="18"/>
          <w:szCs w:val="18"/>
          <w:bdr w:val="none" w:sz="0" w:space="0" w:color="auto" w:frame="1"/>
          <w:lang w:eastAsia="en-GB"/>
        </w:rPr>
      </w:pPr>
    </w:p>
    <w:p w14:paraId="0253BADB" w14:textId="14EC11B4" w:rsidR="008D501C" w:rsidRDefault="008D501C" w:rsidP="00A52AEE">
      <w:pPr>
        <w:rPr>
          <w:rFonts w:ascii="Roboto" w:hAnsi="Roboto"/>
          <w:noProof/>
          <w:color w:val="404040"/>
          <w:sz w:val="18"/>
          <w:szCs w:val="18"/>
          <w:bdr w:val="none" w:sz="0" w:space="0" w:color="auto" w:frame="1"/>
          <w:lang w:eastAsia="en-GB"/>
        </w:rPr>
      </w:pPr>
    </w:p>
    <w:p w14:paraId="4226952D" w14:textId="70C7C3B2" w:rsidR="00102706" w:rsidRPr="00A52AEE" w:rsidRDefault="00102706" w:rsidP="00A52AEE"/>
    <w:p w14:paraId="73B79144" w14:textId="2A42D63D" w:rsidR="00102706" w:rsidRPr="00A52AEE" w:rsidRDefault="00CD6D9A" w:rsidP="008D501C">
      <w:pPr>
        <w:ind w:left="3600" w:firstLine="720"/>
        <w:rPr>
          <w:b/>
          <w:noProof/>
          <w:color w:val="732117"/>
          <w:sz w:val="52"/>
          <w:szCs w:val="40"/>
        </w:rPr>
      </w:pPr>
      <w:r>
        <w:rPr>
          <w:noProof/>
          <w:color w:val="0000FF"/>
          <w:lang w:eastAsia="en-GB"/>
        </w:rPr>
        <w:drawing>
          <wp:anchor distT="0" distB="0" distL="114300" distR="114300" simplePos="0" relativeHeight="251656192" behindDoc="0" locked="0" layoutInCell="1" allowOverlap="1" wp14:anchorId="2CD7AB34" wp14:editId="473A77EA">
            <wp:simplePos x="0" y="0"/>
            <wp:positionH relativeFrom="column">
              <wp:posOffset>-3810</wp:posOffset>
            </wp:positionH>
            <wp:positionV relativeFrom="paragraph">
              <wp:posOffset>200025</wp:posOffset>
            </wp:positionV>
            <wp:extent cx="761365" cy="513715"/>
            <wp:effectExtent l="0" t="0" r="635" b="635"/>
            <wp:wrapSquare wrapText="bothSides"/>
            <wp:docPr id="18" name="irc_mi" descr="http://contentmine.org/wp-content/uploads/2015/05/Kings-college-london-logo-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ine.org/wp-content/uploads/2015/05/Kings-college-london-logo-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13715"/>
                    </a:xfrm>
                    <a:prstGeom prst="rect">
                      <a:avLst/>
                    </a:prstGeom>
                    <a:noFill/>
                    <a:ln>
                      <a:noFill/>
                    </a:ln>
                  </pic:spPr>
                </pic:pic>
              </a:graphicData>
            </a:graphic>
          </wp:anchor>
        </w:drawing>
      </w:r>
      <w:r>
        <w:rPr>
          <w:rFonts w:ascii="Verdana" w:hAnsi="Verdana"/>
          <w:noProof/>
          <w:color w:val="333333"/>
          <w:sz w:val="18"/>
          <w:szCs w:val="18"/>
          <w:lang w:eastAsia="en-GB"/>
        </w:rPr>
        <w:drawing>
          <wp:anchor distT="0" distB="0" distL="114300" distR="114300" simplePos="0" relativeHeight="251658240" behindDoc="0" locked="0" layoutInCell="1" allowOverlap="1" wp14:anchorId="7F42B61D" wp14:editId="29171D75">
            <wp:simplePos x="0" y="0"/>
            <wp:positionH relativeFrom="column">
              <wp:posOffset>4939030</wp:posOffset>
            </wp:positionH>
            <wp:positionV relativeFrom="paragraph">
              <wp:posOffset>9525</wp:posOffset>
            </wp:positionV>
            <wp:extent cx="1133475" cy="847725"/>
            <wp:effectExtent l="0" t="0" r="9525" b="9525"/>
            <wp:wrapSquare wrapText="bothSides"/>
            <wp:docPr id="22" name="Picture 22" descr="The new S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ew SOA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AEE">
        <w:rPr>
          <w:noProof/>
          <w:color w:val="943634"/>
          <w:sz w:val="36"/>
          <w:szCs w:val="40"/>
          <w:lang w:eastAsia="en-GB"/>
        </w:rPr>
        <w:drawing>
          <wp:anchor distT="0" distB="0" distL="114300" distR="114300" simplePos="0" relativeHeight="251654144" behindDoc="0" locked="0" layoutInCell="1" allowOverlap="1" wp14:anchorId="269D625D" wp14:editId="76D1D5FC">
            <wp:simplePos x="0" y="0"/>
            <wp:positionH relativeFrom="column">
              <wp:posOffset>2539365</wp:posOffset>
            </wp:positionH>
            <wp:positionV relativeFrom="paragraph">
              <wp:posOffset>200025</wp:posOffset>
            </wp:positionV>
            <wp:extent cx="962025" cy="564515"/>
            <wp:effectExtent l="0" t="0" r="9525" b="6985"/>
            <wp:wrapSquare wrapText="bothSides"/>
            <wp:docPr id="44" name="Picture 1" descr="T:\Linking London Partnership\Website content\Images\Partner Logos\london_cou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ing London Partnership\Website content\Images\Partner Logos\london_counci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564515"/>
                    </a:xfrm>
                    <a:prstGeom prst="rect">
                      <a:avLst/>
                    </a:prstGeom>
                    <a:noFill/>
                    <a:ln w="9525">
                      <a:noFill/>
                      <a:miter lim="800000"/>
                      <a:headEnd/>
                      <a:tailEnd/>
                    </a:ln>
                  </pic:spPr>
                </pic:pic>
              </a:graphicData>
            </a:graphic>
          </wp:anchor>
        </w:drawing>
      </w:r>
      <w:r w:rsidR="008D501C">
        <w:t xml:space="preserve">    </w:t>
      </w:r>
      <w:r w:rsidR="00DA196D" w:rsidRPr="00A52AEE">
        <w:t xml:space="preserve">    </w:t>
      </w:r>
      <w:r w:rsidR="008D501C">
        <w:t xml:space="preserve">     </w:t>
      </w:r>
      <w:r w:rsidR="00DA196D" w:rsidRPr="00A52AEE">
        <w:t xml:space="preserve">                     </w:t>
      </w:r>
    </w:p>
    <w:p w14:paraId="5045E5A4" w14:textId="77777777" w:rsidR="008D501C" w:rsidRDefault="008D501C">
      <w:pPr>
        <w:spacing w:after="160" w:line="259" w:lineRule="auto"/>
        <w:rPr>
          <w:szCs w:val="40"/>
        </w:rPr>
      </w:pPr>
      <w:r>
        <w:rPr>
          <w:szCs w:val="40"/>
        </w:rPr>
        <w:br w:type="page"/>
      </w:r>
    </w:p>
    <w:p w14:paraId="32C3BBC4" w14:textId="14D5621E" w:rsidR="00A95930" w:rsidRPr="00A52AEE" w:rsidRDefault="00A95930" w:rsidP="0025066C">
      <w:pPr>
        <w:spacing w:after="160" w:line="259" w:lineRule="auto"/>
        <w:rPr>
          <w:noProof/>
        </w:rPr>
      </w:pPr>
      <w:r w:rsidRPr="00A52AEE">
        <w:rPr>
          <w:szCs w:val="40"/>
        </w:rPr>
        <w:lastRenderedPageBreak/>
        <w:t xml:space="preserve">Prepared </w:t>
      </w:r>
      <w:r w:rsidRPr="00A52AEE">
        <w:t xml:space="preserve">for </w:t>
      </w:r>
      <w:r w:rsidRPr="00A52AEE">
        <w:rPr>
          <w:noProof/>
        </w:rPr>
        <w:t xml:space="preserve">Linking London partners </w:t>
      </w:r>
      <w:r w:rsidR="00D469CB" w:rsidRPr="00A52AEE">
        <w:t>by the Centre for Leadership and Enterprise in the Faculty of Education and Health at the University of Greenwich</w:t>
      </w:r>
    </w:p>
    <w:p w14:paraId="1A072FD6" w14:textId="77777777" w:rsidR="00A95930" w:rsidRPr="00A52AEE" w:rsidRDefault="00A95930" w:rsidP="00A52AEE">
      <w:pPr>
        <w:rPr>
          <w:noProof/>
        </w:rPr>
      </w:pPr>
    </w:p>
    <w:p w14:paraId="20C2F238" w14:textId="77777777" w:rsidR="00A95930" w:rsidRPr="00A52AEE" w:rsidRDefault="00A95930" w:rsidP="00A52AEE">
      <w:pPr>
        <w:rPr>
          <w:noProof/>
        </w:rPr>
      </w:pPr>
    </w:p>
    <w:p w14:paraId="71D32123" w14:textId="77777777" w:rsidR="00A95930" w:rsidRPr="00A52AEE" w:rsidRDefault="00A95930" w:rsidP="00A52AEE">
      <w:pPr>
        <w:rPr>
          <w:noProof/>
        </w:rPr>
      </w:pPr>
      <w:r w:rsidRPr="00A52AEE">
        <w:rPr>
          <w:noProof/>
          <w:lang w:eastAsia="en-GB"/>
        </w:rPr>
        <w:drawing>
          <wp:inline distT="0" distB="0" distL="0" distR="0" wp14:anchorId="11B1D00C" wp14:editId="6B0B257F">
            <wp:extent cx="142875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g-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752475"/>
                    </a:xfrm>
                    <a:prstGeom prst="rect">
                      <a:avLst/>
                    </a:prstGeom>
                  </pic:spPr>
                </pic:pic>
              </a:graphicData>
            </a:graphic>
          </wp:inline>
        </w:drawing>
      </w:r>
    </w:p>
    <w:p w14:paraId="4BAB30E7" w14:textId="77777777" w:rsidR="00A95930" w:rsidRPr="00A52AEE" w:rsidRDefault="00A95930" w:rsidP="00A52AEE">
      <w:pPr>
        <w:rPr>
          <w:noProof/>
        </w:rPr>
      </w:pPr>
    </w:p>
    <w:p w14:paraId="017FEB0F" w14:textId="37BD6870" w:rsidR="00A95930" w:rsidRPr="00A52AEE" w:rsidRDefault="00A95930" w:rsidP="00A52AEE">
      <w:pPr>
        <w:rPr>
          <w:noProof/>
        </w:rPr>
      </w:pPr>
      <w:r w:rsidRPr="00A52AEE">
        <w:rPr>
          <w:b/>
          <w:noProof/>
        </w:rPr>
        <w:t>Authors</w:t>
      </w:r>
      <w:r w:rsidRPr="00A52AEE">
        <w:rPr>
          <w:noProof/>
        </w:rPr>
        <w:t xml:space="preserve">: Sharon Smith, Hugh Joslin and </w:t>
      </w:r>
      <w:r w:rsidR="00F16C89" w:rsidRPr="00A52AEE">
        <w:rPr>
          <w:noProof/>
        </w:rPr>
        <w:t xml:space="preserve">Professor </w:t>
      </w:r>
      <w:r w:rsidRPr="00A52AEE">
        <w:rPr>
          <w:noProof/>
        </w:rPr>
        <w:t>Jill Jameson</w:t>
      </w:r>
    </w:p>
    <w:p w14:paraId="60403779" w14:textId="1A9CFB25" w:rsidR="00F16C89" w:rsidRPr="00A52AEE" w:rsidRDefault="00F16C89" w:rsidP="00A52AEE">
      <w:r w:rsidRPr="00A52AEE">
        <w:t>Centre for Leadership and Enterprise, Faculty of Education and Health</w:t>
      </w:r>
    </w:p>
    <w:p w14:paraId="23694976" w14:textId="77777777" w:rsidR="00A95930" w:rsidRPr="00A52AEE" w:rsidRDefault="00A95930" w:rsidP="00A52AEE">
      <w:r w:rsidRPr="00A52AEE">
        <w:t>University of Greenwich</w:t>
      </w:r>
    </w:p>
    <w:p w14:paraId="1933F163" w14:textId="77777777" w:rsidR="00A95930" w:rsidRPr="00A52AEE" w:rsidRDefault="00B65569" w:rsidP="00A52AEE">
      <w:pPr>
        <w:rPr>
          <w:noProof/>
          <w:color w:val="0070C0"/>
        </w:rPr>
      </w:pPr>
      <w:hyperlink r:id="rId14" w:history="1">
        <w:r w:rsidR="00A95930" w:rsidRPr="00A52AEE">
          <w:rPr>
            <w:noProof/>
            <w:color w:val="0070C0"/>
            <w:u w:val="single"/>
          </w:rPr>
          <w:t>h.d.joslin@greenwich.ac.uk</w:t>
        </w:r>
      </w:hyperlink>
    </w:p>
    <w:p w14:paraId="78C026CF" w14:textId="77777777" w:rsidR="00A95930" w:rsidRPr="00A52AEE" w:rsidRDefault="00A95930" w:rsidP="00A52AEE">
      <w:r w:rsidRPr="00A52AEE">
        <w:t>++44(0)20 8331 9487</w:t>
      </w:r>
    </w:p>
    <w:p w14:paraId="7E9DD276" w14:textId="77777777" w:rsidR="00A95930" w:rsidRPr="00A52AEE" w:rsidRDefault="00A95930" w:rsidP="00A52AEE"/>
    <w:p w14:paraId="079FF9D3" w14:textId="7DB622FF" w:rsidR="00A95930" w:rsidRPr="00A52AEE" w:rsidRDefault="00A95930" w:rsidP="00A52AEE">
      <w:r w:rsidRPr="00A52AEE">
        <w:t>The authors would like to thank Sue Betts, Director of Linking London</w:t>
      </w:r>
      <w:r w:rsidR="00DA196D" w:rsidRPr="00A52AEE">
        <w:t xml:space="preserve">, </w:t>
      </w:r>
      <w:r w:rsidR="001D219C">
        <w:t xml:space="preserve">the following sponsors: </w:t>
      </w:r>
      <w:r w:rsidR="00DA196D" w:rsidRPr="00A52AEE">
        <w:t>London Councils Young People’s Education and Skills</w:t>
      </w:r>
      <w:r w:rsidR="001D219C">
        <w:t>, King’s College London, SOAS, University of London</w:t>
      </w:r>
      <w:r w:rsidRPr="00A52AEE">
        <w:t xml:space="preserve"> and Dr Linda Burke, Pro Vice Chancellor, Faculty of Education and Health, University of Greenwich for their support for this project and also thank Rachel Thompson for her work on the databases and tables.</w:t>
      </w:r>
    </w:p>
    <w:p w14:paraId="1F3FB7FF" w14:textId="77777777" w:rsidR="00A95930" w:rsidRPr="00A52AEE" w:rsidRDefault="00A95930" w:rsidP="00A52AEE"/>
    <w:p w14:paraId="6A8268C8" w14:textId="78D7342A" w:rsidR="00A95930" w:rsidRPr="00A52AEE" w:rsidRDefault="00A95930" w:rsidP="00A52AEE">
      <w:r w:rsidRPr="00A52AEE">
        <w:t>The views expressed in this report are those of the authors and do not necessarily reflect those of Linking London, its member organisations or its sponsors</w:t>
      </w:r>
      <w:r w:rsidR="001D219C">
        <w:t xml:space="preserve">, </w:t>
      </w:r>
      <w:r w:rsidR="001D219C" w:rsidRPr="00A52AEE">
        <w:t>London Councils Young People’s Education and Skills</w:t>
      </w:r>
      <w:r w:rsidR="001D219C">
        <w:t>, King’s College London and SOAS, University of London</w:t>
      </w:r>
      <w:r w:rsidR="00455D65">
        <w:t>.</w:t>
      </w:r>
    </w:p>
    <w:p w14:paraId="27FAB4DF" w14:textId="77777777" w:rsidR="00A95930" w:rsidRPr="00A52AEE" w:rsidRDefault="00A95930" w:rsidP="00A52AEE"/>
    <w:p w14:paraId="57F99E49" w14:textId="77777777" w:rsidR="00A95930" w:rsidRPr="00A52AEE" w:rsidRDefault="00A95930" w:rsidP="00A52AEE"/>
    <w:p w14:paraId="2C9DAB45" w14:textId="77777777" w:rsidR="00A95930" w:rsidRPr="00A52AEE" w:rsidRDefault="00A95930" w:rsidP="00A52AEE">
      <w:pPr>
        <w:rPr>
          <w:lang w:val="en-US"/>
        </w:rPr>
      </w:pPr>
      <w:r w:rsidRPr="00A52AEE">
        <w:rPr>
          <w:lang w:val="en-US"/>
        </w:rPr>
        <w:t xml:space="preserve">Linking London </w:t>
      </w:r>
    </w:p>
    <w:p w14:paraId="37C03FA6" w14:textId="77777777" w:rsidR="00A95930" w:rsidRPr="00A52AEE" w:rsidRDefault="00A95930" w:rsidP="00A52AEE">
      <w:pPr>
        <w:rPr>
          <w:lang w:val="en-US"/>
        </w:rPr>
      </w:pPr>
      <w:r w:rsidRPr="00A52AEE">
        <w:rPr>
          <w:lang w:val="en-US"/>
        </w:rPr>
        <w:t>Birkbeck, University of London</w:t>
      </w:r>
    </w:p>
    <w:p w14:paraId="65568504" w14:textId="77777777" w:rsidR="00A95930" w:rsidRPr="00A52AEE" w:rsidRDefault="00A95930" w:rsidP="00A52AEE">
      <w:pPr>
        <w:rPr>
          <w:lang w:val="en-US"/>
        </w:rPr>
      </w:pPr>
      <w:r w:rsidRPr="00A52AEE">
        <w:rPr>
          <w:lang w:val="en-US"/>
        </w:rPr>
        <w:t>Egmont House,</w:t>
      </w:r>
    </w:p>
    <w:p w14:paraId="4339CFC2" w14:textId="77777777" w:rsidR="00A95930" w:rsidRPr="00A52AEE" w:rsidRDefault="00A95930" w:rsidP="00A52AEE">
      <w:pPr>
        <w:rPr>
          <w:lang w:val="en-US"/>
        </w:rPr>
      </w:pPr>
      <w:r w:rsidRPr="00A52AEE">
        <w:rPr>
          <w:lang w:val="en-US"/>
        </w:rPr>
        <w:t>25-31 Tavistock Place</w:t>
      </w:r>
    </w:p>
    <w:p w14:paraId="1BE40F22" w14:textId="77777777" w:rsidR="00A95930" w:rsidRPr="00A52AEE" w:rsidRDefault="00A95930" w:rsidP="00A52AEE">
      <w:pPr>
        <w:rPr>
          <w:lang w:val="en-US"/>
        </w:rPr>
      </w:pPr>
      <w:r w:rsidRPr="00A52AEE">
        <w:rPr>
          <w:lang w:val="en-US"/>
        </w:rPr>
        <w:t>London WC1H 9SF</w:t>
      </w:r>
    </w:p>
    <w:p w14:paraId="17255409" w14:textId="77777777" w:rsidR="00A95930" w:rsidRPr="00A52AEE" w:rsidRDefault="00B65569" w:rsidP="00A52AEE">
      <w:hyperlink r:id="rId15" w:history="1">
        <w:r w:rsidR="00A95930" w:rsidRPr="00A52AEE">
          <w:rPr>
            <w:color w:val="0000FF"/>
            <w:u w:val="single"/>
            <w:lang w:val="en-US"/>
          </w:rPr>
          <w:t>http://www.linkinglondon.ac.uk</w:t>
        </w:r>
      </w:hyperlink>
    </w:p>
    <w:p w14:paraId="438422BA" w14:textId="77777777" w:rsidR="00120700" w:rsidRPr="00A52AEE" w:rsidRDefault="00120700" w:rsidP="00A52AEE">
      <w:pPr>
        <w:rPr>
          <w:highlight w:val="yellow"/>
        </w:rPr>
      </w:pPr>
    </w:p>
    <w:p w14:paraId="0E159817" w14:textId="7211167F" w:rsidR="00A95930" w:rsidRPr="00A52AEE" w:rsidRDefault="00120700" w:rsidP="00A52AEE">
      <w:r w:rsidRPr="00A52AEE">
        <w:t>June</w:t>
      </w:r>
      <w:r w:rsidR="00A95930" w:rsidRPr="00A52AEE">
        <w:t xml:space="preserve"> 2015</w:t>
      </w:r>
    </w:p>
    <w:p w14:paraId="6D787462" w14:textId="77777777" w:rsidR="00A95930" w:rsidRPr="00A52AEE" w:rsidRDefault="00A95930" w:rsidP="00A52AEE"/>
    <w:p w14:paraId="70628223" w14:textId="7B2826FC" w:rsidR="00B73561" w:rsidRPr="00A52AEE" w:rsidRDefault="00A95930" w:rsidP="00A52AEE">
      <w:r w:rsidRPr="00A52AEE">
        <w:rPr>
          <w:b/>
        </w:rPr>
        <w:t>Linking London</w:t>
      </w:r>
      <w:r w:rsidRPr="00A52AEE">
        <w:t xml:space="preserve"> </w:t>
      </w:r>
      <w:r w:rsidRPr="00A52AEE">
        <w:rPr>
          <w:b/>
        </w:rPr>
        <w:t>Partners –</w:t>
      </w:r>
      <w:r w:rsidRPr="00A52AEE">
        <w:t xml:space="preserve"> Birkbeck, University of London; GSM London; Goldsmiths, University of London; King’s College London; Kingston University, London; London South Bank University; Middlesex University; Ravensbourne; </w:t>
      </w:r>
      <w:r w:rsidR="00230E49" w:rsidRPr="00A52AEE">
        <w:t xml:space="preserve">Royal Central School for Speech and Drama; </w:t>
      </w:r>
      <w:r w:rsidRPr="00A52AEE">
        <w:t xml:space="preserve">School of Oriental and African Studies, </w:t>
      </w:r>
      <w:r w:rsidR="00230E49" w:rsidRPr="00A52AEE">
        <w:t>University of London; University College London; University of East London; University of Greenwich; University of Westminster;</w:t>
      </w:r>
      <w:r w:rsidRPr="00A52AEE">
        <w:t xml:space="preserve"> </w:t>
      </w:r>
      <w:r w:rsidR="00230E49" w:rsidRPr="00A52AEE">
        <w:t xml:space="preserve">Barnet and Southgate College; </w:t>
      </w:r>
      <w:r w:rsidR="001D219C">
        <w:t xml:space="preserve">Bexley College; </w:t>
      </w:r>
      <w:r w:rsidR="00230E49" w:rsidRPr="00A52AEE">
        <w:t>Bromley College of Further and Higher Education; City and Islington College;</w:t>
      </w:r>
      <w:r w:rsidRPr="00A52AEE">
        <w:t xml:space="preserve"> </w:t>
      </w:r>
      <w:r w:rsidR="0045461C" w:rsidRPr="00A52AEE">
        <w:t xml:space="preserve">City of Westminster College; </w:t>
      </w:r>
      <w:r w:rsidRPr="00A52AEE">
        <w:t xml:space="preserve">The College of </w:t>
      </w:r>
      <w:r w:rsidR="00230E49" w:rsidRPr="00A52AEE">
        <w:t>Haringey</w:t>
      </w:r>
      <w:r w:rsidR="001D219C">
        <w:t>,</w:t>
      </w:r>
      <w:r w:rsidR="00230E49" w:rsidRPr="00A52AEE">
        <w:t xml:space="preserve"> </w:t>
      </w:r>
      <w:r w:rsidR="001D219C">
        <w:t xml:space="preserve">Enfield </w:t>
      </w:r>
      <w:r w:rsidR="00230E49" w:rsidRPr="00A52AEE">
        <w:t xml:space="preserve">and North East London; The College of North West London; </w:t>
      </w:r>
      <w:r w:rsidRPr="00A52AEE">
        <w:t xml:space="preserve"> </w:t>
      </w:r>
      <w:r w:rsidR="00230E49" w:rsidRPr="00A52AEE">
        <w:t xml:space="preserve">Harrow College; Havering College of Further and Higher Education; Hillcroft College; Kensington and Chelsea College; Lambeth College; Lewisham Southwark College; </w:t>
      </w:r>
      <w:r w:rsidRPr="00A52AEE">
        <w:t xml:space="preserve"> Morley College</w:t>
      </w:r>
      <w:r w:rsidR="00230E49" w:rsidRPr="00A52AEE">
        <w:t>;</w:t>
      </w:r>
      <w:r w:rsidRPr="00A52AEE">
        <w:t xml:space="preserve"> </w:t>
      </w:r>
      <w:r w:rsidR="0045461C" w:rsidRPr="00A52AEE">
        <w:t xml:space="preserve">Newham College of Further Education; </w:t>
      </w:r>
      <w:r w:rsidRPr="00A52AEE">
        <w:t>Newh</w:t>
      </w:r>
      <w:r w:rsidR="00230E49" w:rsidRPr="00A52AEE">
        <w:t>am Sixth Form College; Uxbridge College; Waltham Forest College; Westminster Kingsway College; City and Guilds;</w:t>
      </w:r>
      <w:r w:rsidRPr="00A52AEE">
        <w:t xml:space="preserve"> JISC London</w:t>
      </w:r>
      <w:r w:rsidR="00230E49" w:rsidRPr="00A52AEE">
        <w:t xml:space="preserve"> Region;</w:t>
      </w:r>
      <w:r w:rsidRPr="00A52AEE">
        <w:t xml:space="preserve"> </w:t>
      </w:r>
      <w:r w:rsidR="00230E49" w:rsidRPr="00A52AEE">
        <w:t xml:space="preserve">London Councils Young People’s Education and Skills Board; </w:t>
      </w:r>
      <w:r w:rsidRPr="00A52AEE">
        <w:t>Open College Network London</w:t>
      </w:r>
      <w:r w:rsidR="00D469CB" w:rsidRPr="00A52AEE">
        <w:t>; Pearson Education Ltd;</w:t>
      </w:r>
      <w:r w:rsidR="004F04FB" w:rsidRPr="00A52AEE">
        <w:t xml:space="preserve"> TUC Unionlearn</w:t>
      </w:r>
    </w:p>
    <w:p w14:paraId="4B8EAC10" w14:textId="77777777" w:rsidR="00B73561" w:rsidRPr="00A52AEE" w:rsidRDefault="00B73561" w:rsidP="00A52AEE">
      <w:pPr>
        <w:sectPr w:rsidR="00B73561" w:rsidRPr="00A52AEE" w:rsidSect="004F04FB">
          <w:headerReference w:type="even" r:id="rId16"/>
          <w:headerReference w:type="default" r:id="rId17"/>
          <w:footerReference w:type="even" r:id="rId18"/>
          <w:footerReference w:type="default" r:id="rId19"/>
          <w:headerReference w:type="first" r:id="rId20"/>
          <w:footerReference w:type="first" r:id="rId21"/>
          <w:pgSz w:w="11906" w:h="16838"/>
          <w:pgMar w:top="1191" w:right="1134" w:bottom="1247" w:left="1191" w:header="709" w:footer="170" w:gutter="0"/>
          <w:pgNumType w:start="1"/>
          <w:cols w:space="708"/>
          <w:titlePg/>
          <w:docGrid w:linePitch="360"/>
        </w:sectPr>
      </w:pPr>
    </w:p>
    <w:p w14:paraId="707C238F" w14:textId="77777777" w:rsidR="009443B2" w:rsidRDefault="009443B2" w:rsidP="009443B2">
      <w:pPr>
        <w:pStyle w:val="Heading1"/>
      </w:pPr>
      <w:bookmarkStart w:id="33" w:name="_Toc429151286"/>
      <w:bookmarkStart w:id="34" w:name="_Toc421702059"/>
      <w:bookmarkStart w:id="35" w:name="_Toc421802222"/>
      <w:r>
        <w:lastRenderedPageBreak/>
        <w:t>Foreword</w:t>
      </w:r>
      <w:bookmarkEnd w:id="33"/>
    </w:p>
    <w:p w14:paraId="5FA9EE0C" w14:textId="77777777" w:rsidR="009443B2" w:rsidRDefault="009443B2" w:rsidP="009443B2"/>
    <w:p w14:paraId="6211080B" w14:textId="77777777" w:rsidR="009443B2" w:rsidRDefault="009443B2" w:rsidP="009443B2">
      <w:r>
        <w:t>I am delighted to introduce this report to you, and after some delay due to forces beyond any of our control, I recommend this report to you. This is the second report</w:t>
      </w:r>
      <w:r>
        <w:rPr>
          <w:rStyle w:val="FootnoteReference"/>
        </w:rPr>
        <w:footnoteReference w:id="1"/>
      </w:r>
      <w:r>
        <w:t xml:space="preserve"> on the progression of college students in London to Higher Education (2007 – 12) that Linking London has commissioned from Sharon Smith, Hugh Joslin and Jill Jameson at the University of Greenwich.</w:t>
      </w:r>
    </w:p>
    <w:p w14:paraId="426E6F41" w14:textId="77777777" w:rsidR="009443B2" w:rsidRDefault="009443B2" w:rsidP="009443B2">
      <w:r>
        <w:t>This report takes our understanding of London college learner progression another step further. In tracking nearly a quarter of a million level three students it allows us to see the work that colleges are doing to support progression. The addition of the Key Stage 4 data illustrates the work colleges have to do to compensate for lack of earlier achievement.</w:t>
      </w:r>
    </w:p>
    <w:p w14:paraId="4E6C7D38" w14:textId="77777777" w:rsidR="001D219C" w:rsidRDefault="001D219C" w:rsidP="009443B2"/>
    <w:p w14:paraId="21AEE19D" w14:textId="77777777" w:rsidR="009443B2" w:rsidRDefault="009443B2" w:rsidP="009443B2">
      <w:r>
        <w:t xml:space="preserve">For our universities it shows those institutions who receive college learners, some in considerable numbers, who are from some of the most economically deprived areas of London. </w:t>
      </w:r>
    </w:p>
    <w:p w14:paraId="4D120513" w14:textId="77777777" w:rsidR="009443B2" w:rsidRDefault="009443B2" w:rsidP="009443B2">
      <w:r>
        <w:t>For our Awarding Body partners it provides a snapshot of qualification achievement over time and its ability to support progression to higher study.</w:t>
      </w:r>
    </w:p>
    <w:p w14:paraId="082D393B" w14:textId="77777777" w:rsidR="001D219C" w:rsidRDefault="001D219C" w:rsidP="009443B2"/>
    <w:p w14:paraId="475976DB" w14:textId="77777777" w:rsidR="009443B2" w:rsidRDefault="009443B2" w:rsidP="009443B2">
      <w:r>
        <w:t xml:space="preserve">There are lessons to be learnt for future planning: a focus on success and achievement and in some areas retention are things we all need to address, including how progression into the most appropriate higher level learning might be improved. This chimes with our partners desire to work collaboratively on a higher level skills policy for London. </w:t>
      </w:r>
    </w:p>
    <w:p w14:paraId="2951F081" w14:textId="77777777" w:rsidR="004E52FE" w:rsidRDefault="004E52FE" w:rsidP="009443B2"/>
    <w:p w14:paraId="4E3177F0" w14:textId="77777777" w:rsidR="009443B2" w:rsidRDefault="009443B2" w:rsidP="009443B2">
      <w:r>
        <w:t xml:space="preserve">I commend this report to our partners, with thanks to Hugh, Sharon and Jill and with special thanks to the partners who funded this research: Yolande Burgess at London Councils Young People Education and Skills, Anne-Marie Canning at Kings College London and Marva Coudray at SOAS. </w:t>
      </w:r>
    </w:p>
    <w:p w14:paraId="5A05D5F3" w14:textId="77777777" w:rsidR="001D219C" w:rsidRDefault="001D219C" w:rsidP="009443B2"/>
    <w:p w14:paraId="5AD31DDC" w14:textId="17379F48" w:rsidR="009443B2" w:rsidRDefault="009443B2" w:rsidP="009443B2">
      <w:r>
        <w:t xml:space="preserve">As we </w:t>
      </w:r>
      <w:r w:rsidR="00CD6D9A">
        <w:t>plan</w:t>
      </w:r>
      <w:r>
        <w:t xml:space="preserve"> our dissemination strategy for this important piece of research I look forward to working with others who are looking at complimentary aspects of progression work in the capital. </w:t>
      </w:r>
    </w:p>
    <w:p w14:paraId="20ADD91C" w14:textId="77777777" w:rsidR="009443B2" w:rsidRDefault="009443B2" w:rsidP="009443B2"/>
    <w:p w14:paraId="486ED9E4" w14:textId="77777777" w:rsidR="009443B2" w:rsidRDefault="009443B2" w:rsidP="009443B2"/>
    <w:p w14:paraId="702D5B6F" w14:textId="77777777" w:rsidR="009443B2" w:rsidRDefault="009443B2" w:rsidP="009443B2">
      <w:r>
        <w:t>Sue Betts</w:t>
      </w:r>
    </w:p>
    <w:p w14:paraId="17199B5A" w14:textId="77777777" w:rsidR="009443B2" w:rsidRDefault="009443B2" w:rsidP="009443B2">
      <w:r>
        <w:t xml:space="preserve">Director of Linking London </w:t>
      </w:r>
    </w:p>
    <w:p w14:paraId="4C698012" w14:textId="5C304E2D" w:rsidR="009443B2" w:rsidRDefault="00CD6D9A" w:rsidP="009443B2">
      <w:r>
        <w:t>August</w:t>
      </w:r>
      <w:r w:rsidR="009443B2">
        <w:t xml:space="preserve"> 2015. </w:t>
      </w:r>
    </w:p>
    <w:p w14:paraId="5646E907" w14:textId="656D2A8B" w:rsidR="009443B2" w:rsidRDefault="009443B2">
      <w:pPr>
        <w:spacing w:after="160" w:line="259" w:lineRule="auto"/>
        <w:rPr>
          <w:rFonts w:eastAsiaTheme="majorEastAsia" w:cstheme="majorBidi"/>
          <w:b/>
          <w:noProof/>
          <w:color w:val="323E4F" w:themeColor="text2" w:themeShade="BF"/>
          <w:sz w:val="56"/>
          <w:szCs w:val="32"/>
        </w:rPr>
      </w:pPr>
      <w:r>
        <w:br w:type="page"/>
      </w:r>
    </w:p>
    <w:p w14:paraId="068478B8" w14:textId="2E177DEE" w:rsidR="00D469CB" w:rsidRDefault="00D469CB" w:rsidP="009443B2">
      <w:pPr>
        <w:pStyle w:val="Heading1"/>
      </w:pPr>
      <w:bookmarkStart w:id="36" w:name="_Toc429151287"/>
      <w:r w:rsidRPr="00A52AEE">
        <w:lastRenderedPageBreak/>
        <w:t>Contents</w:t>
      </w:r>
      <w:bookmarkEnd w:id="34"/>
      <w:bookmarkEnd w:id="35"/>
      <w:bookmarkEnd w:id="36"/>
    </w:p>
    <w:p w14:paraId="7348663F" w14:textId="77777777" w:rsidR="003018B6" w:rsidRPr="003018B6" w:rsidRDefault="003018B6" w:rsidP="003018B6"/>
    <w:sdt>
      <w:sdtPr>
        <w:rPr>
          <w:b w:val="0"/>
          <w:noProof w:val="0"/>
        </w:rPr>
        <w:id w:val="-453867274"/>
        <w:docPartObj>
          <w:docPartGallery w:val="Table of Contents"/>
          <w:docPartUnique/>
        </w:docPartObj>
      </w:sdtPr>
      <w:sdtEndPr/>
      <w:sdtContent>
        <w:p w14:paraId="6A4F3117" w14:textId="77777777" w:rsidR="00781F1D" w:rsidRDefault="00D469CB">
          <w:pPr>
            <w:pStyle w:val="TOC1"/>
            <w:rPr>
              <w:rFonts w:eastAsiaTheme="minorEastAsia"/>
              <w:b w:val="0"/>
              <w:sz w:val="22"/>
              <w:lang w:eastAsia="en-GB"/>
            </w:rPr>
          </w:pPr>
          <w:r w:rsidRPr="00A52AEE">
            <w:fldChar w:fldCharType="begin"/>
          </w:r>
          <w:r w:rsidRPr="00A52AEE">
            <w:instrText xml:space="preserve"> TOC \o "1-3" \h \z \u </w:instrText>
          </w:r>
          <w:r w:rsidRPr="00A52AEE">
            <w:fldChar w:fldCharType="separate"/>
          </w:r>
          <w:hyperlink w:anchor="_Toc429151286" w:history="1">
            <w:r w:rsidR="00781F1D" w:rsidRPr="00F95F9A">
              <w:rPr>
                <w:rStyle w:val="Hyperlink"/>
              </w:rPr>
              <w:t>Foreword</w:t>
            </w:r>
            <w:r w:rsidR="00781F1D">
              <w:rPr>
                <w:webHidden/>
              </w:rPr>
              <w:tab/>
            </w:r>
            <w:r w:rsidR="00781F1D">
              <w:rPr>
                <w:webHidden/>
              </w:rPr>
              <w:fldChar w:fldCharType="begin"/>
            </w:r>
            <w:r w:rsidR="00781F1D">
              <w:rPr>
                <w:webHidden/>
              </w:rPr>
              <w:instrText xml:space="preserve"> PAGEREF _Toc429151286 \h </w:instrText>
            </w:r>
            <w:r w:rsidR="00781F1D">
              <w:rPr>
                <w:webHidden/>
              </w:rPr>
            </w:r>
            <w:r w:rsidR="00781F1D">
              <w:rPr>
                <w:webHidden/>
              </w:rPr>
              <w:fldChar w:fldCharType="separate"/>
            </w:r>
            <w:r w:rsidR="007C4502">
              <w:rPr>
                <w:webHidden/>
              </w:rPr>
              <w:t>3</w:t>
            </w:r>
            <w:r w:rsidR="00781F1D">
              <w:rPr>
                <w:webHidden/>
              </w:rPr>
              <w:fldChar w:fldCharType="end"/>
            </w:r>
          </w:hyperlink>
        </w:p>
        <w:p w14:paraId="7B1B2E52" w14:textId="77777777" w:rsidR="00781F1D" w:rsidRDefault="00B65569">
          <w:pPr>
            <w:pStyle w:val="TOC1"/>
            <w:rPr>
              <w:rFonts w:eastAsiaTheme="minorEastAsia"/>
              <w:b w:val="0"/>
              <w:sz w:val="22"/>
              <w:lang w:eastAsia="en-GB"/>
            </w:rPr>
          </w:pPr>
          <w:hyperlink w:anchor="_Toc429151287" w:history="1">
            <w:r w:rsidR="00781F1D" w:rsidRPr="00F95F9A">
              <w:rPr>
                <w:rStyle w:val="Hyperlink"/>
              </w:rPr>
              <w:t>Contents</w:t>
            </w:r>
            <w:r w:rsidR="00781F1D">
              <w:rPr>
                <w:webHidden/>
              </w:rPr>
              <w:tab/>
            </w:r>
            <w:r w:rsidR="00781F1D">
              <w:rPr>
                <w:webHidden/>
              </w:rPr>
              <w:fldChar w:fldCharType="begin"/>
            </w:r>
            <w:r w:rsidR="00781F1D">
              <w:rPr>
                <w:webHidden/>
              </w:rPr>
              <w:instrText xml:space="preserve"> PAGEREF _Toc429151287 \h </w:instrText>
            </w:r>
            <w:r w:rsidR="00781F1D">
              <w:rPr>
                <w:webHidden/>
              </w:rPr>
            </w:r>
            <w:r w:rsidR="00781F1D">
              <w:rPr>
                <w:webHidden/>
              </w:rPr>
              <w:fldChar w:fldCharType="separate"/>
            </w:r>
            <w:r w:rsidR="007C4502">
              <w:rPr>
                <w:webHidden/>
              </w:rPr>
              <w:t>4</w:t>
            </w:r>
            <w:r w:rsidR="00781F1D">
              <w:rPr>
                <w:webHidden/>
              </w:rPr>
              <w:fldChar w:fldCharType="end"/>
            </w:r>
          </w:hyperlink>
        </w:p>
        <w:p w14:paraId="5CCD005D" w14:textId="77777777" w:rsidR="00781F1D" w:rsidRDefault="00B65569">
          <w:pPr>
            <w:pStyle w:val="TOC1"/>
            <w:rPr>
              <w:rFonts w:eastAsiaTheme="minorEastAsia"/>
              <w:b w:val="0"/>
              <w:sz w:val="22"/>
              <w:lang w:eastAsia="en-GB"/>
            </w:rPr>
          </w:pPr>
          <w:hyperlink w:anchor="_Toc429151288" w:history="1">
            <w:r w:rsidR="00781F1D" w:rsidRPr="00F95F9A">
              <w:rPr>
                <w:rStyle w:val="Hyperlink"/>
              </w:rPr>
              <w:t>1.</w:t>
            </w:r>
            <w:r w:rsidR="00781F1D">
              <w:rPr>
                <w:rFonts w:eastAsiaTheme="minorEastAsia"/>
                <w:b w:val="0"/>
                <w:sz w:val="22"/>
                <w:lang w:eastAsia="en-GB"/>
              </w:rPr>
              <w:tab/>
            </w:r>
            <w:r w:rsidR="00781F1D" w:rsidRPr="00F95F9A">
              <w:rPr>
                <w:rStyle w:val="Hyperlink"/>
              </w:rPr>
              <w:t>Executive summary</w:t>
            </w:r>
            <w:r w:rsidR="00781F1D">
              <w:rPr>
                <w:webHidden/>
              </w:rPr>
              <w:tab/>
            </w:r>
            <w:r w:rsidR="00781F1D">
              <w:rPr>
                <w:webHidden/>
              </w:rPr>
              <w:fldChar w:fldCharType="begin"/>
            </w:r>
            <w:r w:rsidR="00781F1D">
              <w:rPr>
                <w:webHidden/>
              </w:rPr>
              <w:instrText xml:space="preserve"> PAGEREF _Toc429151288 \h </w:instrText>
            </w:r>
            <w:r w:rsidR="00781F1D">
              <w:rPr>
                <w:webHidden/>
              </w:rPr>
            </w:r>
            <w:r w:rsidR="00781F1D">
              <w:rPr>
                <w:webHidden/>
              </w:rPr>
              <w:fldChar w:fldCharType="separate"/>
            </w:r>
            <w:r w:rsidR="007C4502">
              <w:rPr>
                <w:webHidden/>
              </w:rPr>
              <w:t>7</w:t>
            </w:r>
            <w:r w:rsidR="00781F1D">
              <w:rPr>
                <w:webHidden/>
              </w:rPr>
              <w:fldChar w:fldCharType="end"/>
            </w:r>
          </w:hyperlink>
        </w:p>
        <w:p w14:paraId="3F93E44D" w14:textId="77777777" w:rsidR="00781F1D" w:rsidRDefault="00B65569">
          <w:pPr>
            <w:pStyle w:val="TOC2"/>
            <w:tabs>
              <w:tab w:val="left" w:pos="880"/>
              <w:tab w:val="right" w:leader="dot" w:pos="9571"/>
            </w:tabs>
            <w:rPr>
              <w:rFonts w:eastAsiaTheme="minorEastAsia"/>
              <w:noProof/>
              <w:sz w:val="22"/>
              <w:lang w:eastAsia="en-GB"/>
            </w:rPr>
          </w:pPr>
          <w:hyperlink w:anchor="_Toc429151289" w:history="1">
            <w:r w:rsidR="00781F1D" w:rsidRPr="00F95F9A">
              <w:rPr>
                <w:rStyle w:val="Hyperlink"/>
                <w:noProof/>
              </w:rPr>
              <w:t>1.1</w:t>
            </w:r>
            <w:r w:rsidR="00781F1D">
              <w:rPr>
                <w:rFonts w:eastAsiaTheme="minorEastAsia"/>
                <w:noProof/>
                <w:sz w:val="22"/>
                <w:lang w:eastAsia="en-GB"/>
              </w:rPr>
              <w:tab/>
            </w:r>
            <w:r w:rsidR="00781F1D" w:rsidRPr="00F95F9A">
              <w:rPr>
                <w:rStyle w:val="Hyperlink"/>
                <w:noProof/>
              </w:rPr>
              <w:t>Terminology</w:t>
            </w:r>
            <w:r w:rsidR="00781F1D">
              <w:rPr>
                <w:noProof/>
                <w:webHidden/>
              </w:rPr>
              <w:tab/>
            </w:r>
            <w:r w:rsidR="00781F1D">
              <w:rPr>
                <w:noProof/>
                <w:webHidden/>
              </w:rPr>
              <w:fldChar w:fldCharType="begin"/>
            </w:r>
            <w:r w:rsidR="00781F1D">
              <w:rPr>
                <w:noProof/>
                <w:webHidden/>
              </w:rPr>
              <w:instrText xml:space="preserve"> PAGEREF _Toc429151289 \h </w:instrText>
            </w:r>
            <w:r w:rsidR="00781F1D">
              <w:rPr>
                <w:noProof/>
                <w:webHidden/>
              </w:rPr>
            </w:r>
            <w:r w:rsidR="00781F1D">
              <w:rPr>
                <w:noProof/>
                <w:webHidden/>
              </w:rPr>
              <w:fldChar w:fldCharType="separate"/>
            </w:r>
            <w:r w:rsidR="007C4502">
              <w:rPr>
                <w:noProof/>
                <w:webHidden/>
              </w:rPr>
              <w:t>7</w:t>
            </w:r>
            <w:r w:rsidR="00781F1D">
              <w:rPr>
                <w:noProof/>
                <w:webHidden/>
              </w:rPr>
              <w:fldChar w:fldCharType="end"/>
            </w:r>
          </w:hyperlink>
        </w:p>
        <w:p w14:paraId="27AA22C2" w14:textId="77777777" w:rsidR="00781F1D" w:rsidRDefault="00B65569">
          <w:pPr>
            <w:pStyle w:val="TOC2"/>
            <w:tabs>
              <w:tab w:val="left" w:pos="880"/>
              <w:tab w:val="right" w:leader="dot" w:pos="9571"/>
            </w:tabs>
            <w:rPr>
              <w:rFonts w:eastAsiaTheme="minorEastAsia"/>
              <w:noProof/>
              <w:sz w:val="22"/>
              <w:lang w:eastAsia="en-GB"/>
            </w:rPr>
          </w:pPr>
          <w:hyperlink w:anchor="_Toc429151290" w:history="1">
            <w:r w:rsidR="00781F1D" w:rsidRPr="00F95F9A">
              <w:rPr>
                <w:rStyle w:val="Hyperlink"/>
                <w:noProof/>
              </w:rPr>
              <w:t>1.2</w:t>
            </w:r>
            <w:r w:rsidR="00781F1D">
              <w:rPr>
                <w:rFonts w:eastAsiaTheme="minorEastAsia"/>
                <w:noProof/>
                <w:sz w:val="22"/>
                <w:lang w:eastAsia="en-GB"/>
              </w:rPr>
              <w:tab/>
            </w:r>
            <w:r w:rsidR="00781F1D" w:rsidRPr="00F95F9A">
              <w:rPr>
                <w:rStyle w:val="Hyperlink"/>
                <w:noProof/>
              </w:rPr>
              <w:t>Key Results</w:t>
            </w:r>
            <w:r w:rsidR="00781F1D">
              <w:rPr>
                <w:noProof/>
                <w:webHidden/>
              </w:rPr>
              <w:tab/>
            </w:r>
            <w:r w:rsidR="00781F1D">
              <w:rPr>
                <w:noProof/>
                <w:webHidden/>
              </w:rPr>
              <w:fldChar w:fldCharType="begin"/>
            </w:r>
            <w:r w:rsidR="00781F1D">
              <w:rPr>
                <w:noProof/>
                <w:webHidden/>
              </w:rPr>
              <w:instrText xml:space="preserve"> PAGEREF _Toc429151290 \h </w:instrText>
            </w:r>
            <w:r w:rsidR="00781F1D">
              <w:rPr>
                <w:noProof/>
                <w:webHidden/>
              </w:rPr>
            </w:r>
            <w:r w:rsidR="00781F1D">
              <w:rPr>
                <w:noProof/>
                <w:webHidden/>
              </w:rPr>
              <w:fldChar w:fldCharType="separate"/>
            </w:r>
            <w:r w:rsidR="007C4502">
              <w:rPr>
                <w:noProof/>
                <w:webHidden/>
              </w:rPr>
              <w:t>8</w:t>
            </w:r>
            <w:r w:rsidR="00781F1D">
              <w:rPr>
                <w:noProof/>
                <w:webHidden/>
              </w:rPr>
              <w:fldChar w:fldCharType="end"/>
            </w:r>
          </w:hyperlink>
        </w:p>
        <w:p w14:paraId="45043C93" w14:textId="77777777" w:rsidR="00781F1D" w:rsidRDefault="00B65569">
          <w:pPr>
            <w:pStyle w:val="TOC3"/>
            <w:tabs>
              <w:tab w:val="left" w:pos="1320"/>
              <w:tab w:val="right" w:leader="dot" w:pos="9571"/>
            </w:tabs>
            <w:rPr>
              <w:rFonts w:eastAsiaTheme="minorEastAsia"/>
              <w:noProof/>
              <w:sz w:val="22"/>
              <w:lang w:eastAsia="en-GB"/>
            </w:rPr>
          </w:pPr>
          <w:hyperlink w:anchor="_Toc429151291" w:history="1">
            <w:r w:rsidR="00781F1D" w:rsidRPr="00F95F9A">
              <w:rPr>
                <w:rStyle w:val="Hyperlink"/>
                <w:noProof/>
              </w:rPr>
              <w:t>1.2.1</w:t>
            </w:r>
            <w:r w:rsidR="00781F1D">
              <w:rPr>
                <w:rFonts w:eastAsiaTheme="minorEastAsia"/>
                <w:noProof/>
                <w:sz w:val="22"/>
                <w:lang w:eastAsia="en-GB"/>
              </w:rPr>
              <w:tab/>
            </w:r>
            <w:r w:rsidR="00781F1D" w:rsidRPr="00F95F9A">
              <w:rPr>
                <w:rStyle w:val="Hyperlink"/>
                <w:noProof/>
              </w:rPr>
              <w:t>Characteristics of the London college cohorts</w:t>
            </w:r>
            <w:r w:rsidR="00781F1D">
              <w:rPr>
                <w:noProof/>
                <w:webHidden/>
              </w:rPr>
              <w:tab/>
            </w:r>
            <w:r w:rsidR="00781F1D">
              <w:rPr>
                <w:noProof/>
                <w:webHidden/>
              </w:rPr>
              <w:fldChar w:fldCharType="begin"/>
            </w:r>
            <w:r w:rsidR="00781F1D">
              <w:rPr>
                <w:noProof/>
                <w:webHidden/>
              </w:rPr>
              <w:instrText xml:space="preserve"> PAGEREF _Toc429151291 \h </w:instrText>
            </w:r>
            <w:r w:rsidR="00781F1D">
              <w:rPr>
                <w:noProof/>
                <w:webHidden/>
              </w:rPr>
            </w:r>
            <w:r w:rsidR="00781F1D">
              <w:rPr>
                <w:noProof/>
                <w:webHidden/>
              </w:rPr>
              <w:fldChar w:fldCharType="separate"/>
            </w:r>
            <w:r w:rsidR="007C4502">
              <w:rPr>
                <w:noProof/>
                <w:webHidden/>
              </w:rPr>
              <w:t>8</w:t>
            </w:r>
            <w:r w:rsidR="00781F1D">
              <w:rPr>
                <w:noProof/>
                <w:webHidden/>
              </w:rPr>
              <w:fldChar w:fldCharType="end"/>
            </w:r>
          </w:hyperlink>
        </w:p>
        <w:p w14:paraId="4E94B3E9" w14:textId="77777777" w:rsidR="00781F1D" w:rsidRDefault="00B65569">
          <w:pPr>
            <w:pStyle w:val="TOC3"/>
            <w:tabs>
              <w:tab w:val="left" w:pos="1320"/>
              <w:tab w:val="right" w:leader="dot" w:pos="9571"/>
            </w:tabs>
            <w:rPr>
              <w:rFonts w:eastAsiaTheme="minorEastAsia"/>
              <w:noProof/>
              <w:sz w:val="22"/>
              <w:lang w:eastAsia="en-GB"/>
            </w:rPr>
          </w:pPr>
          <w:hyperlink w:anchor="_Toc429151292" w:history="1">
            <w:r w:rsidR="00781F1D" w:rsidRPr="00F95F9A">
              <w:rPr>
                <w:rStyle w:val="Hyperlink"/>
                <w:noProof/>
              </w:rPr>
              <w:t>1.2.2</w:t>
            </w:r>
            <w:r w:rsidR="00781F1D">
              <w:rPr>
                <w:rFonts w:eastAsiaTheme="minorEastAsia"/>
                <w:noProof/>
                <w:sz w:val="22"/>
                <w:lang w:eastAsia="en-GB"/>
              </w:rPr>
              <w:tab/>
            </w:r>
            <w:r w:rsidR="00781F1D" w:rsidRPr="00F95F9A">
              <w:rPr>
                <w:rStyle w:val="Hyperlink"/>
                <w:noProof/>
              </w:rPr>
              <w:t>Higher education progression trends</w:t>
            </w:r>
            <w:r w:rsidR="00781F1D">
              <w:rPr>
                <w:noProof/>
                <w:webHidden/>
              </w:rPr>
              <w:tab/>
            </w:r>
            <w:r w:rsidR="00781F1D">
              <w:rPr>
                <w:noProof/>
                <w:webHidden/>
              </w:rPr>
              <w:fldChar w:fldCharType="begin"/>
            </w:r>
            <w:r w:rsidR="00781F1D">
              <w:rPr>
                <w:noProof/>
                <w:webHidden/>
              </w:rPr>
              <w:instrText xml:space="preserve"> PAGEREF _Toc429151292 \h </w:instrText>
            </w:r>
            <w:r w:rsidR="00781F1D">
              <w:rPr>
                <w:noProof/>
                <w:webHidden/>
              </w:rPr>
            </w:r>
            <w:r w:rsidR="00781F1D">
              <w:rPr>
                <w:noProof/>
                <w:webHidden/>
              </w:rPr>
              <w:fldChar w:fldCharType="separate"/>
            </w:r>
            <w:r w:rsidR="007C4502">
              <w:rPr>
                <w:noProof/>
                <w:webHidden/>
              </w:rPr>
              <w:t>9</w:t>
            </w:r>
            <w:r w:rsidR="00781F1D">
              <w:rPr>
                <w:noProof/>
                <w:webHidden/>
              </w:rPr>
              <w:fldChar w:fldCharType="end"/>
            </w:r>
          </w:hyperlink>
        </w:p>
        <w:p w14:paraId="39C6C9B0" w14:textId="77777777" w:rsidR="00781F1D" w:rsidRDefault="00B65569">
          <w:pPr>
            <w:pStyle w:val="TOC1"/>
            <w:rPr>
              <w:rFonts w:eastAsiaTheme="minorEastAsia"/>
              <w:b w:val="0"/>
              <w:sz w:val="22"/>
              <w:lang w:eastAsia="en-GB"/>
            </w:rPr>
          </w:pPr>
          <w:hyperlink w:anchor="_Toc429151293" w:history="1">
            <w:r w:rsidR="00781F1D" w:rsidRPr="00F95F9A">
              <w:rPr>
                <w:rStyle w:val="Hyperlink"/>
              </w:rPr>
              <w:t>2.</w:t>
            </w:r>
            <w:r w:rsidR="00781F1D">
              <w:rPr>
                <w:rFonts w:eastAsiaTheme="minorEastAsia"/>
                <w:b w:val="0"/>
                <w:sz w:val="22"/>
                <w:lang w:eastAsia="en-GB"/>
              </w:rPr>
              <w:tab/>
            </w:r>
            <w:r w:rsidR="00781F1D" w:rsidRPr="00F95F9A">
              <w:rPr>
                <w:rStyle w:val="Hyperlink"/>
              </w:rPr>
              <w:t>Introduction</w:t>
            </w:r>
            <w:r w:rsidR="00781F1D">
              <w:rPr>
                <w:webHidden/>
              </w:rPr>
              <w:tab/>
            </w:r>
            <w:r w:rsidR="00781F1D">
              <w:rPr>
                <w:webHidden/>
              </w:rPr>
              <w:fldChar w:fldCharType="begin"/>
            </w:r>
            <w:r w:rsidR="00781F1D">
              <w:rPr>
                <w:webHidden/>
              </w:rPr>
              <w:instrText xml:space="preserve"> PAGEREF _Toc429151293 \h </w:instrText>
            </w:r>
            <w:r w:rsidR="00781F1D">
              <w:rPr>
                <w:webHidden/>
              </w:rPr>
            </w:r>
            <w:r w:rsidR="00781F1D">
              <w:rPr>
                <w:webHidden/>
              </w:rPr>
              <w:fldChar w:fldCharType="separate"/>
            </w:r>
            <w:r w:rsidR="007C4502">
              <w:rPr>
                <w:webHidden/>
              </w:rPr>
              <w:t>13</w:t>
            </w:r>
            <w:r w:rsidR="00781F1D">
              <w:rPr>
                <w:webHidden/>
              </w:rPr>
              <w:fldChar w:fldCharType="end"/>
            </w:r>
          </w:hyperlink>
        </w:p>
        <w:p w14:paraId="1A3428D3" w14:textId="77777777" w:rsidR="00781F1D" w:rsidRDefault="00B65569">
          <w:pPr>
            <w:pStyle w:val="TOC2"/>
            <w:tabs>
              <w:tab w:val="left" w:pos="880"/>
              <w:tab w:val="right" w:leader="dot" w:pos="9571"/>
            </w:tabs>
            <w:rPr>
              <w:rFonts w:eastAsiaTheme="minorEastAsia"/>
              <w:noProof/>
              <w:sz w:val="22"/>
              <w:lang w:eastAsia="en-GB"/>
            </w:rPr>
          </w:pPr>
          <w:hyperlink w:anchor="_Toc429151294" w:history="1">
            <w:r w:rsidR="00781F1D" w:rsidRPr="00F95F9A">
              <w:rPr>
                <w:rStyle w:val="Hyperlink"/>
                <w:noProof/>
              </w:rPr>
              <w:t>2.1</w:t>
            </w:r>
            <w:r w:rsidR="00781F1D">
              <w:rPr>
                <w:rFonts w:eastAsiaTheme="minorEastAsia"/>
                <w:noProof/>
                <w:sz w:val="22"/>
                <w:lang w:eastAsia="en-GB"/>
              </w:rPr>
              <w:tab/>
            </w:r>
            <w:r w:rsidR="00781F1D" w:rsidRPr="00F95F9A">
              <w:rPr>
                <w:rStyle w:val="Hyperlink"/>
                <w:noProof/>
              </w:rPr>
              <w:t>Terminology</w:t>
            </w:r>
            <w:r w:rsidR="00781F1D">
              <w:rPr>
                <w:noProof/>
                <w:webHidden/>
              </w:rPr>
              <w:tab/>
            </w:r>
            <w:r w:rsidR="00781F1D">
              <w:rPr>
                <w:noProof/>
                <w:webHidden/>
              </w:rPr>
              <w:fldChar w:fldCharType="begin"/>
            </w:r>
            <w:r w:rsidR="00781F1D">
              <w:rPr>
                <w:noProof/>
                <w:webHidden/>
              </w:rPr>
              <w:instrText xml:space="preserve"> PAGEREF _Toc429151294 \h </w:instrText>
            </w:r>
            <w:r w:rsidR="00781F1D">
              <w:rPr>
                <w:noProof/>
                <w:webHidden/>
              </w:rPr>
            </w:r>
            <w:r w:rsidR="00781F1D">
              <w:rPr>
                <w:noProof/>
                <w:webHidden/>
              </w:rPr>
              <w:fldChar w:fldCharType="separate"/>
            </w:r>
            <w:r w:rsidR="007C4502">
              <w:rPr>
                <w:noProof/>
                <w:webHidden/>
              </w:rPr>
              <w:t>13</w:t>
            </w:r>
            <w:r w:rsidR="00781F1D">
              <w:rPr>
                <w:noProof/>
                <w:webHidden/>
              </w:rPr>
              <w:fldChar w:fldCharType="end"/>
            </w:r>
          </w:hyperlink>
        </w:p>
        <w:p w14:paraId="5E0EEFDB" w14:textId="77777777" w:rsidR="00781F1D" w:rsidRDefault="00B65569">
          <w:pPr>
            <w:pStyle w:val="TOC2"/>
            <w:tabs>
              <w:tab w:val="left" w:pos="880"/>
              <w:tab w:val="right" w:leader="dot" w:pos="9571"/>
            </w:tabs>
            <w:rPr>
              <w:rFonts w:eastAsiaTheme="minorEastAsia"/>
              <w:noProof/>
              <w:sz w:val="22"/>
              <w:lang w:eastAsia="en-GB"/>
            </w:rPr>
          </w:pPr>
          <w:hyperlink w:anchor="_Toc429151295" w:history="1">
            <w:r w:rsidR="00781F1D" w:rsidRPr="00F95F9A">
              <w:rPr>
                <w:rStyle w:val="Hyperlink"/>
                <w:noProof/>
              </w:rPr>
              <w:t>2.2</w:t>
            </w:r>
            <w:r w:rsidR="00781F1D">
              <w:rPr>
                <w:rFonts w:eastAsiaTheme="minorEastAsia"/>
                <w:noProof/>
                <w:sz w:val="22"/>
                <w:lang w:eastAsia="en-GB"/>
              </w:rPr>
              <w:tab/>
            </w:r>
            <w:r w:rsidR="00781F1D" w:rsidRPr="00F95F9A">
              <w:rPr>
                <w:rStyle w:val="Hyperlink"/>
                <w:noProof/>
              </w:rPr>
              <w:t>Policy context</w:t>
            </w:r>
            <w:r w:rsidR="00781F1D">
              <w:rPr>
                <w:noProof/>
                <w:webHidden/>
              </w:rPr>
              <w:tab/>
            </w:r>
            <w:r w:rsidR="00781F1D">
              <w:rPr>
                <w:noProof/>
                <w:webHidden/>
              </w:rPr>
              <w:fldChar w:fldCharType="begin"/>
            </w:r>
            <w:r w:rsidR="00781F1D">
              <w:rPr>
                <w:noProof/>
                <w:webHidden/>
              </w:rPr>
              <w:instrText xml:space="preserve"> PAGEREF _Toc429151295 \h </w:instrText>
            </w:r>
            <w:r w:rsidR="00781F1D">
              <w:rPr>
                <w:noProof/>
                <w:webHidden/>
              </w:rPr>
            </w:r>
            <w:r w:rsidR="00781F1D">
              <w:rPr>
                <w:noProof/>
                <w:webHidden/>
              </w:rPr>
              <w:fldChar w:fldCharType="separate"/>
            </w:r>
            <w:r w:rsidR="007C4502">
              <w:rPr>
                <w:noProof/>
                <w:webHidden/>
              </w:rPr>
              <w:t>14</w:t>
            </w:r>
            <w:r w:rsidR="00781F1D">
              <w:rPr>
                <w:noProof/>
                <w:webHidden/>
              </w:rPr>
              <w:fldChar w:fldCharType="end"/>
            </w:r>
          </w:hyperlink>
        </w:p>
        <w:p w14:paraId="7E149027" w14:textId="77777777" w:rsidR="00781F1D" w:rsidRDefault="00B65569">
          <w:pPr>
            <w:pStyle w:val="TOC2"/>
            <w:tabs>
              <w:tab w:val="left" w:pos="880"/>
              <w:tab w:val="right" w:leader="dot" w:pos="9571"/>
            </w:tabs>
            <w:rPr>
              <w:rFonts w:eastAsiaTheme="minorEastAsia"/>
              <w:noProof/>
              <w:sz w:val="22"/>
              <w:lang w:eastAsia="en-GB"/>
            </w:rPr>
          </w:pPr>
          <w:hyperlink w:anchor="_Toc429151296" w:history="1">
            <w:r w:rsidR="00781F1D" w:rsidRPr="00F95F9A">
              <w:rPr>
                <w:rStyle w:val="Hyperlink"/>
                <w:noProof/>
              </w:rPr>
              <w:t>2.3</w:t>
            </w:r>
            <w:r w:rsidR="00781F1D">
              <w:rPr>
                <w:rFonts w:eastAsiaTheme="minorEastAsia"/>
                <w:noProof/>
                <w:sz w:val="22"/>
                <w:lang w:eastAsia="en-GB"/>
              </w:rPr>
              <w:tab/>
            </w:r>
            <w:r w:rsidR="00781F1D" w:rsidRPr="00F95F9A">
              <w:rPr>
                <w:rStyle w:val="Hyperlink"/>
                <w:noProof/>
              </w:rPr>
              <w:t>Longitudinal perspective</w:t>
            </w:r>
            <w:r w:rsidR="00781F1D">
              <w:rPr>
                <w:noProof/>
                <w:webHidden/>
              </w:rPr>
              <w:tab/>
            </w:r>
            <w:r w:rsidR="00781F1D">
              <w:rPr>
                <w:noProof/>
                <w:webHidden/>
              </w:rPr>
              <w:fldChar w:fldCharType="begin"/>
            </w:r>
            <w:r w:rsidR="00781F1D">
              <w:rPr>
                <w:noProof/>
                <w:webHidden/>
              </w:rPr>
              <w:instrText xml:space="preserve"> PAGEREF _Toc429151296 \h </w:instrText>
            </w:r>
            <w:r w:rsidR="00781F1D">
              <w:rPr>
                <w:noProof/>
                <w:webHidden/>
              </w:rPr>
            </w:r>
            <w:r w:rsidR="00781F1D">
              <w:rPr>
                <w:noProof/>
                <w:webHidden/>
              </w:rPr>
              <w:fldChar w:fldCharType="separate"/>
            </w:r>
            <w:r w:rsidR="007C4502">
              <w:rPr>
                <w:noProof/>
                <w:webHidden/>
              </w:rPr>
              <w:t>16</w:t>
            </w:r>
            <w:r w:rsidR="00781F1D">
              <w:rPr>
                <w:noProof/>
                <w:webHidden/>
              </w:rPr>
              <w:fldChar w:fldCharType="end"/>
            </w:r>
          </w:hyperlink>
        </w:p>
        <w:p w14:paraId="75EB2213" w14:textId="77777777" w:rsidR="00781F1D" w:rsidRDefault="00B65569">
          <w:pPr>
            <w:pStyle w:val="TOC2"/>
            <w:tabs>
              <w:tab w:val="left" w:pos="880"/>
              <w:tab w:val="right" w:leader="dot" w:pos="9571"/>
            </w:tabs>
            <w:rPr>
              <w:rFonts w:eastAsiaTheme="minorEastAsia"/>
              <w:noProof/>
              <w:sz w:val="22"/>
              <w:lang w:eastAsia="en-GB"/>
            </w:rPr>
          </w:pPr>
          <w:hyperlink w:anchor="_Toc429151297" w:history="1">
            <w:r w:rsidR="00781F1D" w:rsidRPr="00F95F9A">
              <w:rPr>
                <w:rStyle w:val="Hyperlink"/>
                <w:noProof/>
              </w:rPr>
              <w:t>2.4</w:t>
            </w:r>
            <w:r w:rsidR="00781F1D">
              <w:rPr>
                <w:rFonts w:eastAsiaTheme="minorEastAsia"/>
                <w:noProof/>
                <w:sz w:val="22"/>
                <w:lang w:eastAsia="en-GB"/>
              </w:rPr>
              <w:tab/>
            </w:r>
            <w:r w:rsidR="00781F1D" w:rsidRPr="00F95F9A">
              <w:rPr>
                <w:rStyle w:val="Hyperlink"/>
                <w:noProof/>
              </w:rPr>
              <w:t>London educational context</w:t>
            </w:r>
            <w:r w:rsidR="00781F1D">
              <w:rPr>
                <w:noProof/>
                <w:webHidden/>
              </w:rPr>
              <w:tab/>
            </w:r>
            <w:r w:rsidR="00781F1D">
              <w:rPr>
                <w:noProof/>
                <w:webHidden/>
              </w:rPr>
              <w:fldChar w:fldCharType="begin"/>
            </w:r>
            <w:r w:rsidR="00781F1D">
              <w:rPr>
                <w:noProof/>
                <w:webHidden/>
              </w:rPr>
              <w:instrText xml:space="preserve"> PAGEREF _Toc429151297 \h </w:instrText>
            </w:r>
            <w:r w:rsidR="00781F1D">
              <w:rPr>
                <w:noProof/>
                <w:webHidden/>
              </w:rPr>
            </w:r>
            <w:r w:rsidR="00781F1D">
              <w:rPr>
                <w:noProof/>
                <w:webHidden/>
              </w:rPr>
              <w:fldChar w:fldCharType="separate"/>
            </w:r>
            <w:r w:rsidR="007C4502">
              <w:rPr>
                <w:noProof/>
                <w:webHidden/>
              </w:rPr>
              <w:t>17</w:t>
            </w:r>
            <w:r w:rsidR="00781F1D">
              <w:rPr>
                <w:noProof/>
                <w:webHidden/>
              </w:rPr>
              <w:fldChar w:fldCharType="end"/>
            </w:r>
          </w:hyperlink>
        </w:p>
        <w:p w14:paraId="5887211F" w14:textId="77777777" w:rsidR="00781F1D" w:rsidRDefault="00B65569">
          <w:pPr>
            <w:pStyle w:val="TOC2"/>
            <w:tabs>
              <w:tab w:val="left" w:pos="880"/>
              <w:tab w:val="right" w:leader="dot" w:pos="9571"/>
            </w:tabs>
            <w:rPr>
              <w:rFonts w:eastAsiaTheme="minorEastAsia"/>
              <w:noProof/>
              <w:sz w:val="22"/>
              <w:lang w:eastAsia="en-GB"/>
            </w:rPr>
          </w:pPr>
          <w:hyperlink w:anchor="_Toc429151298" w:history="1">
            <w:r w:rsidR="00781F1D" w:rsidRPr="00F95F9A">
              <w:rPr>
                <w:rStyle w:val="Hyperlink"/>
                <w:noProof/>
              </w:rPr>
              <w:t>2.5</w:t>
            </w:r>
            <w:r w:rsidR="00781F1D">
              <w:rPr>
                <w:rFonts w:eastAsiaTheme="minorEastAsia"/>
                <w:noProof/>
                <w:sz w:val="22"/>
                <w:lang w:eastAsia="en-GB"/>
              </w:rPr>
              <w:tab/>
            </w:r>
            <w:r w:rsidR="00781F1D" w:rsidRPr="00F95F9A">
              <w:rPr>
                <w:rStyle w:val="Hyperlink"/>
                <w:noProof/>
              </w:rPr>
              <w:t>Structure of the report</w:t>
            </w:r>
            <w:r w:rsidR="00781F1D">
              <w:rPr>
                <w:noProof/>
                <w:webHidden/>
              </w:rPr>
              <w:tab/>
            </w:r>
            <w:r w:rsidR="00781F1D">
              <w:rPr>
                <w:noProof/>
                <w:webHidden/>
              </w:rPr>
              <w:fldChar w:fldCharType="begin"/>
            </w:r>
            <w:r w:rsidR="00781F1D">
              <w:rPr>
                <w:noProof/>
                <w:webHidden/>
              </w:rPr>
              <w:instrText xml:space="preserve"> PAGEREF _Toc429151298 \h </w:instrText>
            </w:r>
            <w:r w:rsidR="00781F1D">
              <w:rPr>
                <w:noProof/>
                <w:webHidden/>
              </w:rPr>
            </w:r>
            <w:r w:rsidR="00781F1D">
              <w:rPr>
                <w:noProof/>
                <w:webHidden/>
              </w:rPr>
              <w:fldChar w:fldCharType="separate"/>
            </w:r>
            <w:r w:rsidR="007C4502">
              <w:rPr>
                <w:noProof/>
                <w:webHidden/>
              </w:rPr>
              <w:t>19</w:t>
            </w:r>
            <w:r w:rsidR="00781F1D">
              <w:rPr>
                <w:noProof/>
                <w:webHidden/>
              </w:rPr>
              <w:fldChar w:fldCharType="end"/>
            </w:r>
          </w:hyperlink>
        </w:p>
        <w:p w14:paraId="530E8398" w14:textId="77777777" w:rsidR="00781F1D" w:rsidRDefault="00B65569">
          <w:pPr>
            <w:pStyle w:val="TOC1"/>
            <w:rPr>
              <w:rFonts w:eastAsiaTheme="minorEastAsia"/>
              <w:b w:val="0"/>
              <w:sz w:val="22"/>
              <w:lang w:eastAsia="en-GB"/>
            </w:rPr>
          </w:pPr>
          <w:hyperlink w:anchor="_Toc429151299" w:history="1">
            <w:r w:rsidR="00781F1D" w:rsidRPr="00F95F9A">
              <w:rPr>
                <w:rStyle w:val="Hyperlink"/>
              </w:rPr>
              <w:t>3.</w:t>
            </w:r>
            <w:r w:rsidR="00781F1D">
              <w:rPr>
                <w:rFonts w:eastAsiaTheme="minorEastAsia"/>
                <w:b w:val="0"/>
                <w:sz w:val="22"/>
                <w:lang w:eastAsia="en-GB"/>
              </w:rPr>
              <w:tab/>
            </w:r>
            <w:r w:rsidR="00781F1D" w:rsidRPr="00F95F9A">
              <w:rPr>
                <w:rStyle w:val="Hyperlink"/>
              </w:rPr>
              <w:t>Methodology</w:t>
            </w:r>
            <w:r w:rsidR="00781F1D">
              <w:rPr>
                <w:webHidden/>
              </w:rPr>
              <w:tab/>
            </w:r>
            <w:r w:rsidR="00781F1D">
              <w:rPr>
                <w:webHidden/>
              </w:rPr>
              <w:fldChar w:fldCharType="begin"/>
            </w:r>
            <w:r w:rsidR="00781F1D">
              <w:rPr>
                <w:webHidden/>
              </w:rPr>
              <w:instrText xml:space="preserve"> PAGEREF _Toc429151299 \h </w:instrText>
            </w:r>
            <w:r w:rsidR="00781F1D">
              <w:rPr>
                <w:webHidden/>
              </w:rPr>
            </w:r>
            <w:r w:rsidR="00781F1D">
              <w:rPr>
                <w:webHidden/>
              </w:rPr>
              <w:fldChar w:fldCharType="separate"/>
            </w:r>
            <w:r w:rsidR="007C4502">
              <w:rPr>
                <w:webHidden/>
              </w:rPr>
              <w:t>20</w:t>
            </w:r>
            <w:r w:rsidR="00781F1D">
              <w:rPr>
                <w:webHidden/>
              </w:rPr>
              <w:fldChar w:fldCharType="end"/>
            </w:r>
          </w:hyperlink>
        </w:p>
        <w:p w14:paraId="6EDB362F" w14:textId="77777777" w:rsidR="00781F1D" w:rsidRDefault="00B65569">
          <w:pPr>
            <w:pStyle w:val="TOC2"/>
            <w:tabs>
              <w:tab w:val="left" w:pos="880"/>
              <w:tab w:val="right" w:leader="dot" w:pos="9571"/>
            </w:tabs>
            <w:rPr>
              <w:rFonts w:eastAsiaTheme="minorEastAsia"/>
              <w:noProof/>
              <w:sz w:val="22"/>
              <w:lang w:eastAsia="en-GB"/>
            </w:rPr>
          </w:pPr>
          <w:hyperlink w:anchor="_Toc429151300" w:history="1">
            <w:r w:rsidR="00781F1D" w:rsidRPr="00F95F9A">
              <w:rPr>
                <w:rStyle w:val="Hyperlink"/>
                <w:noProof/>
              </w:rPr>
              <w:t>3.1</w:t>
            </w:r>
            <w:r w:rsidR="00781F1D">
              <w:rPr>
                <w:rFonts w:eastAsiaTheme="minorEastAsia"/>
                <w:noProof/>
                <w:sz w:val="22"/>
                <w:lang w:eastAsia="en-GB"/>
              </w:rPr>
              <w:tab/>
            </w:r>
            <w:r w:rsidR="00781F1D" w:rsidRPr="00F95F9A">
              <w:rPr>
                <w:rStyle w:val="Hyperlink"/>
                <w:noProof/>
              </w:rPr>
              <w:t>Who is the tracked cohort?</w:t>
            </w:r>
            <w:r w:rsidR="00781F1D">
              <w:rPr>
                <w:noProof/>
                <w:webHidden/>
              </w:rPr>
              <w:tab/>
            </w:r>
            <w:r w:rsidR="00781F1D">
              <w:rPr>
                <w:noProof/>
                <w:webHidden/>
              </w:rPr>
              <w:fldChar w:fldCharType="begin"/>
            </w:r>
            <w:r w:rsidR="00781F1D">
              <w:rPr>
                <w:noProof/>
                <w:webHidden/>
              </w:rPr>
              <w:instrText xml:space="preserve"> PAGEREF _Toc429151300 \h </w:instrText>
            </w:r>
            <w:r w:rsidR="00781F1D">
              <w:rPr>
                <w:noProof/>
                <w:webHidden/>
              </w:rPr>
            </w:r>
            <w:r w:rsidR="00781F1D">
              <w:rPr>
                <w:noProof/>
                <w:webHidden/>
              </w:rPr>
              <w:fldChar w:fldCharType="separate"/>
            </w:r>
            <w:r w:rsidR="007C4502">
              <w:rPr>
                <w:noProof/>
                <w:webHidden/>
              </w:rPr>
              <w:t>20</w:t>
            </w:r>
            <w:r w:rsidR="00781F1D">
              <w:rPr>
                <w:noProof/>
                <w:webHidden/>
              </w:rPr>
              <w:fldChar w:fldCharType="end"/>
            </w:r>
          </w:hyperlink>
        </w:p>
        <w:p w14:paraId="6ABA8C5A" w14:textId="77777777" w:rsidR="00781F1D" w:rsidRDefault="00B65569">
          <w:pPr>
            <w:pStyle w:val="TOC2"/>
            <w:tabs>
              <w:tab w:val="left" w:pos="880"/>
              <w:tab w:val="right" w:leader="dot" w:pos="9571"/>
            </w:tabs>
            <w:rPr>
              <w:rFonts w:eastAsiaTheme="minorEastAsia"/>
              <w:noProof/>
              <w:sz w:val="22"/>
              <w:lang w:eastAsia="en-GB"/>
            </w:rPr>
          </w:pPr>
          <w:hyperlink w:anchor="_Toc429151301" w:history="1">
            <w:r w:rsidR="00781F1D" w:rsidRPr="00F95F9A">
              <w:rPr>
                <w:rStyle w:val="Hyperlink"/>
                <w:noProof/>
              </w:rPr>
              <w:t>3.2</w:t>
            </w:r>
            <w:r w:rsidR="00781F1D">
              <w:rPr>
                <w:rFonts w:eastAsiaTheme="minorEastAsia"/>
                <w:noProof/>
                <w:sz w:val="22"/>
                <w:lang w:eastAsia="en-GB"/>
              </w:rPr>
              <w:tab/>
            </w:r>
            <w:r w:rsidR="00781F1D" w:rsidRPr="00F95F9A">
              <w:rPr>
                <w:rStyle w:val="Hyperlink"/>
                <w:noProof/>
              </w:rPr>
              <w:t>The ILR – changes over time, classification and coding</w:t>
            </w:r>
            <w:r w:rsidR="00781F1D">
              <w:rPr>
                <w:noProof/>
                <w:webHidden/>
              </w:rPr>
              <w:tab/>
            </w:r>
            <w:r w:rsidR="00781F1D">
              <w:rPr>
                <w:noProof/>
                <w:webHidden/>
              </w:rPr>
              <w:fldChar w:fldCharType="begin"/>
            </w:r>
            <w:r w:rsidR="00781F1D">
              <w:rPr>
                <w:noProof/>
                <w:webHidden/>
              </w:rPr>
              <w:instrText xml:space="preserve"> PAGEREF _Toc429151301 \h </w:instrText>
            </w:r>
            <w:r w:rsidR="00781F1D">
              <w:rPr>
                <w:noProof/>
                <w:webHidden/>
              </w:rPr>
            </w:r>
            <w:r w:rsidR="00781F1D">
              <w:rPr>
                <w:noProof/>
                <w:webHidden/>
              </w:rPr>
              <w:fldChar w:fldCharType="separate"/>
            </w:r>
            <w:r w:rsidR="007C4502">
              <w:rPr>
                <w:noProof/>
                <w:webHidden/>
              </w:rPr>
              <w:t>20</w:t>
            </w:r>
            <w:r w:rsidR="00781F1D">
              <w:rPr>
                <w:noProof/>
                <w:webHidden/>
              </w:rPr>
              <w:fldChar w:fldCharType="end"/>
            </w:r>
          </w:hyperlink>
        </w:p>
        <w:p w14:paraId="11A74C76" w14:textId="77777777" w:rsidR="00781F1D" w:rsidRDefault="00B65569">
          <w:pPr>
            <w:pStyle w:val="TOC2"/>
            <w:tabs>
              <w:tab w:val="left" w:pos="880"/>
              <w:tab w:val="right" w:leader="dot" w:pos="9571"/>
            </w:tabs>
            <w:rPr>
              <w:rFonts w:eastAsiaTheme="minorEastAsia"/>
              <w:noProof/>
              <w:sz w:val="22"/>
              <w:lang w:eastAsia="en-GB"/>
            </w:rPr>
          </w:pPr>
          <w:hyperlink w:anchor="_Toc429151302" w:history="1">
            <w:r w:rsidR="00781F1D" w:rsidRPr="00F95F9A">
              <w:rPr>
                <w:rStyle w:val="Hyperlink"/>
                <w:noProof/>
              </w:rPr>
              <w:t>3.3</w:t>
            </w:r>
            <w:r w:rsidR="00781F1D">
              <w:rPr>
                <w:rFonts w:eastAsiaTheme="minorEastAsia"/>
                <w:noProof/>
                <w:sz w:val="22"/>
                <w:lang w:eastAsia="en-GB"/>
              </w:rPr>
              <w:tab/>
            </w:r>
            <w:r w:rsidR="00781F1D" w:rsidRPr="00F95F9A">
              <w:rPr>
                <w:rStyle w:val="Hyperlink"/>
                <w:noProof/>
              </w:rPr>
              <w:t>Linking to the Department for Education Key Stage 4 dataset</w:t>
            </w:r>
            <w:r w:rsidR="00781F1D">
              <w:rPr>
                <w:noProof/>
                <w:webHidden/>
              </w:rPr>
              <w:tab/>
            </w:r>
            <w:r w:rsidR="00781F1D">
              <w:rPr>
                <w:noProof/>
                <w:webHidden/>
              </w:rPr>
              <w:fldChar w:fldCharType="begin"/>
            </w:r>
            <w:r w:rsidR="00781F1D">
              <w:rPr>
                <w:noProof/>
                <w:webHidden/>
              </w:rPr>
              <w:instrText xml:space="preserve"> PAGEREF _Toc429151302 \h </w:instrText>
            </w:r>
            <w:r w:rsidR="00781F1D">
              <w:rPr>
                <w:noProof/>
                <w:webHidden/>
              </w:rPr>
            </w:r>
            <w:r w:rsidR="00781F1D">
              <w:rPr>
                <w:noProof/>
                <w:webHidden/>
              </w:rPr>
              <w:fldChar w:fldCharType="separate"/>
            </w:r>
            <w:r w:rsidR="007C4502">
              <w:rPr>
                <w:noProof/>
                <w:webHidden/>
              </w:rPr>
              <w:t>21</w:t>
            </w:r>
            <w:r w:rsidR="00781F1D">
              <w:rPr>
                <w:noProof/>
                <w:webHidden/>
              </w:rPr>
              <w:fldChar w:fldCharType="end"/>
            </w:r>
          </w:hyperlink>
        </w:p>
        <w:p w14:paraId="5A2D16B1" w14:textId="77777777" w:rsidR="00781F1D" w:rsidRDefault="00B65569">
          <w:pPr>
            <w:pStyle w:val="TOC2"/>
            <w:tabs>
              <w:tab w:val="left" w:pos="880"/>
              <w:tab w:val="right" w:leader="dot" w:pos="9571"/>
            </w:tabs>
            <w:rPr>
              <w:rFonts w:eastAsiaTheme="minorEastAsia"/>
              <w:noProof/>
              <w:sz w:val="22"/>
              <w:lang w:eastAsia="en-GB"/>
            </w:rPr>
          </w:pPr>
          <w:hyperlink w:anchor="_Toc429151303" w:history="1">
            <w:r w:rsidR="00781F1D" w:rsidRPr="00F95F9A">
              <w:rPr>
                <w:rStyle w:val="Hyperlink"/>
                <w:noProof/>
              </w:rPr>
              <w:t>3.4</w:t>
            </w:r>
            <w:r w:rsidR="00781F1D">
              <w:rPr>
                <w:rFonts w:eastAsiaTheme="minorEastAsia"/>
                <w:noProof/>
                <w:sz w:val="22"/>
                <w:lang w:eastAsia="en-GB"/>
              </w:rPr>
              <w:tab/>
            </w:r>
            <w:r w:rsidR="00781F1D" w:rsidRPr="00F95F9A">
              <w:rPr>
                <w:rStyle w:val="Hyperlink"/>
                <w:noProof/>
              </w:rPr>
              <w:t>Tracking HE achievement</w:t>
            </w:r>
            <w:r w:rsidR="00781F1D">
              <w:rPr>
                <w:noProof/>
                <w:webHidden/>
              </w:rPr>
              <w:tab/>
            </w:r>
            <w:r w:rsidR="00781F1D">
              <w:rPr>
                <w:noProof/>
                <w:webHidden/>
              </w:rPr>
              <w:fldChar w:fldCharType="begin"/>
            </w:r>
            <w:r w:rsidR="00781F1D">
              <w:rPr>
                <w:noProof/>
                <w:webHidden/>
              </w:rPr>
              <w:instrText xml:space="preserve"> PAGEREF _Toc429151303 \h </w:instrText>
            </w:r>
            <w:r w:rsidR="00781F1D">
              <w:rPr>
                <w:noProof/>
                <w:webHidden/>
              </w:rPr>
            </w:r>
            <w:r w:rsidR="00781F1D">
              <w:rPr>
                <w:noProof/>
                <w:webHidden/>
              </w:rPr>
              <w:fldChar w:fldCharType="separate"/>
            </w:r>
            <w:r w:rsidR="007C4502">
              <w:rPr>
                <w:noProof/>
                <w:webHidden/>
              </w:rPr>
              <w:t>21</w:t>
            </w:r>
            <w:r w:rsidR="00781F1D">
              <w:rPr>
                <w:noProof/>
                <w:webHidden/>
              </w:rPr>
              <w:fldChar w:fldCharType="end"/>
            </w:r>
          </w:hyperlink>
        </w:p>
        <w:p w14:paraId="0ECC7D9D" w14:textId="77777777" w:rsidR="00781F1D" w:rsidRDefault="00B65569">
          <w:pPr>
            <w:pStyle w:val="TOC1"/>
            <w:rPr>
              <w:rFonts w:eastAsiaTheme="minorEastAsia"/>
              <w:b w:val="0"/>
              <w:sz w:val="22"/>
              <w:lang w:eastAsia="en-GB"/>
            </w:rPr>
          </w:pPr>
          <w:hyperlink w:anchor="_Toc429151304" w:history="1">
            <w:r w:rsidR="00781F1D" w:rsidRPr="00F95F9A">
              <w:rPr>
                <w:rStyle w:val="Hyperlink"/>
              </w:rPr>
              <w:t>4.</w:t>
            </w:r>
            <w:r w:rsidR="00781F1D">
              <w:rPr>
                <w:rFonts w:eastAsiaTheme="minorEastAsia"/>
                <w:b w:val="0"/>
                <w:sz w:val="22"/>
                <w:lang w:eastAsia="en-GB"/>
              </w:rPr>
              <w:tab/>
            </w:r>
            <w:r w:rsidR="00781F1D" w:rsidRPr="00F95F9A">
              <w:rPr>
                <w:rStyle w:val="Hyperlink"/>
              </w:rPr>
              <w:t>Characteristics of the London college cohorts</w:t>
            </w:r>
            <w:r w:rsidR="00781F1D">
              <w:rPr>
                <w:webHidden/>
              </w:rPr>
              <w:tab/>
            </w:r>
            <w:r w:rsidR="00781F1D">
              <w:rPr>
                <w:webHidden/>
              </w:rPr>
              <w:fldChar w:fldCharType="begin"/>
            </w:r>
            <w:r w:rsidR="00781F1D">
              <w:rPr>
                <w:webHidden/>
              </w:rPr>
              <w:instrText xml:space="preserve"> PAGEREF _Toc429151304 \h </w:instrText>
            </w:r>
            <w:r w:rsidR="00781F1D">
              <w:rPr>
                <w:webHidden/>
              </w:rPr>
            </w:r>
            <w:r w:rsidR="00781F1D">
              <w:rPr>
                <w:webHidden/>
              </w:rPr>
              <w:fldChar w:fldCharType="separate"/>
            </w:r>
            <w:r w:rsidR="007C4502">
              <w:rPr>
                <w:webHidden/>
              </w:rPr>
              <w:t>22</w:t>
            </w:r>
            <w:r w:rsidR="00781F1D">
              <w:rPr>
                <w:webHidden/>
              </w:rPr>
              <w:fldChar w:fldCharType="end"/>
            </w:r>
          </w:hyperlink>
        </w:p>
        <w:p w14:paraId="55FBA66F" w14:textId="77777777" w:rsidR="00781F1D" w:rsidRDefault="00B65569">
          <w:pPr>
            <w:pStyle w:val="TOC2"/>
            <w:tabs>
              <w:tab w:val="left" w:pos="880"/>
              <w:tab w:val="right" w:leader="dot" w:pos="9571"/>
            </w:tabs>
            <w:rPr>
              <w:rFonts w:eastAsiaTheme="minorEastAsia"/>
              <w:noProof/>
              <w:sz w:val="22"/>
              <w:lang w:eastAsia="en-GB"/>
            </w:rPr>
          </w:pPr>
          <w:hyperlink w:anchor="_Toc429151305" w:history="1">
            <w:r w:rsidR="00781F1D" w:rsidRPr="00F95F9A">
              <w:rPr>
                <w:rStyle w:val="Hyperlink"/>
                <w:noProof/>
              </w:rPr>
              <w:t>4.1</w:t>
            </w:r>
            <w:r w:rsidR="00781F1D">
              <w:rPr>
                <w:rFonts w:eastAsiaTheme="minorEastAsia"/>
                <w:noProof/>
                <w:sz w:val="22"/>
                <w:lang w:eastAsia="en-GB"/>
              </w:rPr>
              <w:tab/>
            </w:r>
            <w:r w:rsidR="00781F1D" w:rsidRPr="00F95F9A">
              <w:rPr>
                <w:rStyle w:val="Hyperlink"/>
                <w:noProof/>
              </w:rPr>
              <w:t>Age</w:t>
            </w:r>
            <w:r w:rsidR="00781F1D">
              <w:rPr>
                <w:noProof/>
                <w:webHidden/>
              </w:rPr>
              <w:tab/>
            </w:r>
            <w:r w:rsidR="00781F1D">
              <w:rPr>
                <w:noProof/>
                <w:webHidden/>
              </w:rPr>
              <w:fldChar w:fldCharType="begin"/>
            </w:r>
            <w:r w:rsidR="00781F1D">
              <w:rPr>
                <w:noProof/>
                <w:webHidden/>
              </w:rPr>
              <w:instrText xml:space="preserve"> PAGEREF _Toc429151305 \h </w:instrText>
            </w:r>
            <w:r w:rsidR="00781F1D">
              <w:rPr>
                <w:noProof/>
                <w:webHidden/>
              </w:rPr>
            </w:r>
            <w:r w:rsidR="00781F1D">
              <w:rPr>
                <w:noProof/>
                <w:webHidden/>
              </w:rPr>
              <w:fldChar w:fldCharType="separate"/>
            </w:r>
            <w:r w:rsidR="007C4502">
              <w:rPr>
                <w:noProof/>
                <w:webHidden/>
              </w:rPr>
              <w:t>22</w:t>
            </w:r>
            <w:r w:rsidR="00781F1D">
              <w:rPr>
                <w:noProof/>
                <w:webHidden/>
              </w:rPr>
              <w:fldChar w:fldCharType="end"/>
            </w:r>
          </w:hyperlink>
        </w:p>
        <w:p w14:paraId="322CC538" w14:textId="77777777" w:rsidR="00781F1D" w:rsidRDefault="00B65569">
          <w:pPr>
            <w:pStyle w:val="TOC2"/>
            <w:tabs>
              <w:tab w:val="left" w:pos="880"/>
              <w:tab w:val="right" w:leader="dot" w:pos="9571"/>
            </w:tabs>
            <w:rPr>
              <w:rFonts w:eastAsiaTheme="minorEastAsia"/>
              <w:noProof/>
              <w:sz w:val="22"/>
              <w:lang w:eastAsia="en-GB"/>
            </w:rPr>
          </w:pPr>
          <w:hyperlink w:anchor="_Toc429151306" w:history="1">
            <w:r w:rsidR="00781F1D" w:rsidRPr="00F95F9A">
              <w:rPr>
                <w:rStyle w:val="Hyperlink"/>
                <w:noProof/>
              </w:rPr>
              <w:t>4.2</w:t>
            </w:r>
            <w:r w:rsidR="00781F1D">
              <w:rPr>
                <w:rFonts w:eastAsiaTheme="minorEastAsia"/>
                <w:noProof/>
                <w:sz w:val="22"/>
                <w:lang w:eastAsia="en-GB"/>
              </w:rPr>
              <w:tab/>
            </w:r>
            <w:r w:rsidR="00781F1D" w:rsidRPr="00F95F9A">
              <w:rPr>
                <w:rStyle w:val="Hyperlink"/>
                <w:noProof/>
              </w:rPr>
              <w:t>Qualifications</w:t>
            </w:r>
            <w:r w:rsidR="00781F1D">
              <w:rPr>
                <w:noProof/>
                <w:webHidden/>
              </w:rPr>
              <w:tab/>
            </w:r>
            <w:r w:rsidR="00781F1D">
              <w:rPr>
                <w:noProof/>
                <w:webHidden/>
              </w:rPr>
              <w:fldChar w:fldCharType="begin"/>
            </w:r>
            <w:r w:rsidR="00781F1D">
              <w:rPr>
                <w:noProof/>
                <w:webHidden/>
              </w:rPr>
              <w:instrText xml:space="preserve"> PAGEREF _Toc429151306 \h </w:instrText>
            </w:r>
            <w:r w:rsidR="00781F1D">
              <w:rPr>
                <w:noProof/>
                <w:webHidden/>
              </w:rPr>
            </w:r>
            <w:r w:rsidR="00781F1D">
              <w:rPr>
                <w:noProof/>
                <w:webHidden/>
              </w:rPr>
              <w:fldChar w:fldCharType="separate"/>
            </w:r>
            <w:r w:rsidR="007C4502">
              <w:rPr>
                <w:noProof/>
                <w:webHidden/>
              </w:rPr>
              <w:t>22</w:t>
            </w:r>
            <w:r w:rsidR="00781F1D">
              <w:rPr>
                <w:noProof/>
                <w:webHidden/>
              </w:rPr>
              <w:fldChar w:fldCharType="end"/>
            </w:r>
          </w:hyperlink>
        </w:p>
        <w:p w14:paraId="7A96C776" w14:textId="77777777" w:rsidR="00781F1D" w:rsidRDefault="00B65569">
          <w:pPr>
            <w:pStyle w:val="TOC2"/>
            <w:tabs>
              <w:tab w:val="left" w:pos="880"/>
              <w:tab w:val="right" w:leader="dot" w:pos="9571"/>
            </w:tabs>
            <w:rPr>
              <w:rFonts w:eastAsiaTheme="minorEastAsia"/>
              <w:noProof/>
              <w:sz w:val="22"/>
              <w:lang w:eastAsia="en-GB"/>
            </w:rPr>
          </w:pPr>
          <w:hyperlink w:anchor="_Toc429151307" w:history="1">
            <w:r w:rsidR="00781F1D" w:rsidRPr="00F95F9A">
              <w:rPr>
                <w:rStyle w:val="Hyperlink"/>
                <w:noProof/>
              </w:rPr>
              <w:t>4.3</w:t>
            </w:r>
            <w:r w:rsidR="00781F1D">
              <w:rPr>
                <w:rFonts w:eastAsiaTheme="minorEastAsia"/>
                <w:noProof/>
                <w:sz w:val="22"/>
                <w:lang w:eastAsia="en-GB"/>
              </w:rPr>
              <w:tab/>
            </w:r>
            <w:r w:rsidR="00781F1D" w:rsidRPr="00F95F9A">
              <w:rPr>
                <w:rStyle w:val="Hyperlink"/>
                <w:noProof/>
              </w:rPr>
              <w:t>Age and Level 3 qualification type</w:t>
            </w:r>
            <w:r w:rsidR="00781F1D">
              <w:rPr>
                <w:noProof/>
                <w:webHidden/>
              </w:rPr>
              <w:tab/>
            </w:r>
            <w:r w:rsidR="00781F1D">
              <w:rPr>
                <w:noProof/>
                <w:webHidden/>
              </w:rPr>
              <w:fldChar w:fldCharType="begin"/>
            </w:r>
            <w:r w:rsidR="00781F1D">
              <w:rPr>
                <w:noProof/>
                <w:webHidden/>
              </w:rPr>
              <w:instrText xml:space="preserve"> PAGEREF _Toc429151307 \h </w:instrText>
            </w:r>
            <w:r w:rsidR="00781F1D">
              <w:rPr>
                <w:noProof/>
                <w:webHidden/>
              </w:rPr>
            </w:r>
            <w:r w:rsidR="00781F1D">
              <w:rPr>
                <w:noProof/>
                <w:webHidden/>
              </w:rPr>
              <w:fldChar w:fldCharType="separate"/>
            </w:r>
            <w:r w:rsidR="007C4502">
              <w:rPr>
                <w:noProof/>
                <w:webHidden/>
              </w:rPr>
              <w:t>23</w:t>
            </w:r>
            <w:r w:rsidR="00781F1D">
              <w:rPr>
                <w:noProof/>
                <w:webHidden/>
              </w:rPr>
              <w:fldChar w:fldCharType="end"/>
            </w:r>
          </w:hyperlink>
        </w:p>
        <w:p w14:paraId="056EFD12" w14:textId="77777777" w:rsidR="00781F1D" w:rsidRDefault="00B65569">
          <w:pPr>
            <w:pStyle w:val="TOC2"/>
            <w:tabs>
              <w:tab w:val="left" w:pos="880"/>
              <w:tab w:val="right" w:leader="dot" w:pos="9571"/>
            </w:tabs>
            <w:rPr>
              <w:rFonts w:eastAsiaTheme="minorEastAsia"/>
              <w:noProof/>
              <w:sz w:val="22"/>
              <w:lang w:eastAsia="en-GB"/>
            </w:rPr>
          </w:pPr>
          <w:hyperlink w:anchor="_Toc429151308" w:history="1">
            <w:r w:rsidR="00781F1D" w:rsidRPr="00F95F9A">
              <w:rPr>
                <w:rStyle w:val="Hyperlink"/>
                <w:noProof/>
              </w:rPr>
              <w:t>4.4</w:t>
            </w:r>
            <w:r w:rsidR="00781F1D">
              <w:rPr>
                <w:rFonts w:eastAsiaTheme="minorEastAsia"/>
                <w:noProof/>
                <w:sz w:val="22"/>
                <w:lang w:eastAsia="en-GB"/>
              </w:rPr>
              <w:tab/>
            </w:r>
            <w:r w:rsidR="00781F1D" w:rsidRPr="00F95F9A">
              <w:rPr>
                <w:rStyle w:val="Hyperlink"/>
                <w:noProof/>
              </w:rPr>
              <w:t>Gender</w:t>
            </w:r>
            <w:r w:rsidR="00781F1D">
              <w:rPr>
                <w:noProof/>
                <w:webHidden/>
              </w:rPr>
              <w:tab/>
            </w:r>
            <w:r w:rsidR="00781F1D">
              <w:rPr>
                <w:noProof/>
                <w:webHidden/>
              </w:rPr>
              <w:fldChar w:fldCharType="begin"/>
            </w:r>
            <w:r w:rsidR="00781F1D">
              <w:rPr>
                <w:noProof/>
                <w:webHidden/>
              </w:rPr>
              <w:instrText xml:space="preserve"> PAGEREF _Toc429151308 \h </w:instrText>
            </w:r>
            <w:r w:rsidR="00781F1D">
              <w:rPr>
                <w:noProof/>
                <w:webHidden/>
              </w:rPr>
            </w:r>
            <w:r w:rsidR="00781F1D">
              <w:rPr>
                <w:noProof/>
                <w:webHidden/>
              </w:rPr>
              <w:fldChar w:fldCharType="separate"/>
            </w:r>
            <w:r w:rsidR="007C4502">
              <w:rPr>
                <w:noProof/>
                <w:webHidden/>
              </w:rPr>
              <w:t>24</w:t>
            </w:r>
            <w:r w:rsidR="00781F1D">
              <w:rPr>
                <w:noProof/>
                <w:webHidden/>
              </w:rPr>
              <w:fldChar w:fldCharType="end"/>
            </w:r>
          </w:hyperlink>
        </w:p>
        <w:p w14:paraId="0DEF511E" w14:textId="77777777" w:rsidR="00781F1D" w:rsidRDefault="00B65569">
          <w:pPr>
            <w:pStyle w:val="TOC2"/>
            <w:tabs>
              <w:tab w:val="left" w:pos="880"/>
              <w:tab w:val="right" w:leader="dot" w:pos="9571"/>
            </w:tabs>
            <w:rPr>
              <w:rFonts w:eastAsiaTheme="minorEastAsia"/>
              <w:noProof/>
              <w:sz w:val="22"/>
              <w:lang w:eastAsia="en-GB"/>
            </w:rPr>
          </w:pPr>
          <w:hyperlink w:anchor="_Toc429151309" w:history="1">
            <w:r w:rsidR="00781F1D" w:rsidRPr="00F95F9A">
              <w:rPr>
                <w:rStyle w:val="Hyperlink"/>
                <w:noProof/>
              </w:rPr>
              <w:t>4.5</w:t>
            </w:r>
            <w:r w:rsidR="00781F1D">
              <w:rPr>
                <w:rFonts w:eastAsiaTheme="minorEastAsia"/>
                <w:noProof/>
                <w:sz w:val="22"/>
                <w:lang w:eastAsia="en-GB"/>
              </w:rPr>
              <w:tab/>
            </w:r>
            <w:r w:rsidR="00781F1D" w:rsidRPr="00F95F9A">
              <w:rPr>
                <w:rStyle w:val="Hyperlink"/>
                <w:noProof/>
              </w:rPr>
              <w:t>Gender and Level 3 qualification type</w:t>
            </w:r>
            <w:r w:rsidR="00781F1D">
              <w:rPr>
                <w:noProof/>
                <w:webHidden/>
              </w:rPr>
              <w:tab/>
            </w:r>
            <w:r w:rsidR="00781F1D">
              <w:rPr>
                <w:noProof/>
                <w:webHidden/>
              </w:rPr>
              <w:fldChar w:fldCharType="begin"/>
            </w:r>
            <w:r w:rsidR="00781F1D">
              <w:rPr>
                <w:noProof/>
                <w:webHidden/>
              </w:rPr>
              <w:instrText xml:space="preserve"> PAGEREF _Toc429151309 \h </w:instrText>
            </w:r>
            <w:r w:rsidR="00781F1D">
              <w:rPr>
                <w:noProof/>
                <w:webHidden/>
              </w:rPr>
            </w:r>
            <w:r w:rsidR="00781F1D">
              <w:rPr>
                <w:noProof/>
                <w:webHidden/>
              </w:rPr>
              <w:fldChar w:fldCharType="separate"/>
            </w:r>
            <w:r w:rsidR="007C4502">
              <w:rPr>
                <w:noProof/>
                <w:webHidden/>
              </w:rPr>
              <w:t>24</w:t>
            </w:r>
            <w:r w:rsidR="00781F1D">
              <w:rPr>
                <w:noProof/>
                <w:webHidden/>
              </w:rPr>
              <w:fldChar w:fldCharType="end"/>
            </w:r>
          </w:hyperlink>
        </w:p>
        <w:p w14:paraId="31079A81" w14:textId="77777777" w:rsidR="00781F1D" w:rsidRDefault="00B65569">
          <w:pPr>
            <w:pStyle w:val="TOC2"/>
            <w:tabs>
              <w:tab w:val="left" w:pos="880"/>
              <w:tab w:val="right" w:leader="dot" w:pos="9571"/>
            </w:tabs>
            <w:rPr>
              <w:rFonts w:eastAsiaTheme="minorEastAsia"/>
              <w:noProof/>
              <w:sz w:val="22"/>
              <w:lang w:eastAsia="en-GB"/>
            </w:rPr>
          </w:pPr>
          <w:hyperlink w:anchor="_Toc429151310" w:history="1">
            <w:r w:rsidR="00781F1D" w:rsidRPr="00F95F9A">
              <w:rPr>
                <w:rStyle w:val="Hyperlink"/>
                <w:noProof/>
              </w:rPr>
              <w:t>4.6</w:t>
            </w:r>
            <w:r w:rsidR="00781F1D">
              <w:rPr>
                <w:rFonts w:eastAsiaTheme="minorEastAsia"/>
                <w:noProof/>
                <w:sz w:val="22"/>
                <w:lang w:eastAsia="en-GB"/>
              </w:rPr>
              <w:tab/>
            </w:r>
            <w:r w:rsidR="00781F1D" w:rsidRPr="00F95F9A">
              <w:rPr>
                <w:rStyle w:val="Hyperlink"/>
                <w:noProof/>
              </w:rPr>
              <w:t>FE Institution Type</w:t>
            </w:r>
            <w:r w:rsidR="00781F1D">
              <w:rPr>
                <w:noProof/>
                <w:webHidden/>
              </w:rPr>
              <w:tab/>
            </w:r>
            <w:r w:rsidR="00781F1D">
              <w:rPr>
                <w:noProof/>
                <w:webHidden/>
              </w:rPr>
              <w:fldChar w:fldCharType="begin"/>
            </w:r>
            <w:r w:rsidR="00781F1D">
              <w:rPr>
                <w:noProof/>
                <w:webHidden/>
              </w:rPr>
              <w:instrText xml:space="preserve"> PAGEREF _Toc429151310 \h </w:instrText>
            </w:r>
            <w:r w:rsidR="00781F1D">
              <w:rPr>
                <w:noProof/>
                <w:webHidden/>
              </w:rPr>
            </w:r>
            <w:r w:rsidR="00781F1D">
              <w:rPr>
                <w:noProof/>
                <w:webHidden/>
              </w:rPr>
              <w:fldChar w:fldCharType="separate"/>
            </w:r>
            <w:r w:rsidR="007C4502">
              <w:rPr>
                <w:noProof/>
                <w:webHidden/>
              </w:rPr>
              <w:t>25</w:t>
            </w:r>
            <w:r w:rsidR="00781F1D">
              <w:rPr>
                <w:noProof/>
                <w:webHidden/>
              </w:rPr>
              <w:fldChar w:fldCharType="end"/>
            </w:r>
          </w:hyperlink>
        </w:p>
        <w:p w14:paraId="0BBF1FF5" w14:textId="77777777" w:rsidR="00781F1D" w:rsidRDefault="00B65569">
          <w:pPr>
            <w:pStyle w:val="TOC2"/>
            <w:tabs>
              <w:tab w:val="left" w:pos="880"/>
              <w:tab w:val="right" w:leader="dot" w:pos="9571"/>
            </w:tabs>
            <w:rPr>
              <w:rFonts w:eastAsiaTheme="minorEastAsia"/>
              <w:noProof/>
              <w:sz w:val="22"/>
              <w:lang w:eastAsia="en-GB"/>
            </w:rPr>
          </w:pPr>
          <w:hyperlink w:anchor="_Toc429151311" w:history="1">
            <w:r w:rsidR="00781F1D" w:rsidRPr="00F95F9A">
              <w:rPr>
                <w:rStyle w:val="Hyperlink"/>
                <w:noProof/>
              </w:rPr>
              <w:t>4.7</w:t>
            </w:r>
            <w:r w:rsidR="00781F1D">
              <w:rPr>
                <w:rFonts w:eastAsiaTheme="minorEastAsia"/>
                <w:noProof/>
                <w:sz w:val="22"/>
                <w:lang w:eastAsia="en-GB"/>
              </w:rPr>
              <w:tab/>
            </w:r>
            <w:r w:rsidR="00781F1D" w:rsidRPr="00F95F9A">
              <w:rPr>
                <w:rStyle w:val="Hyperlink"/>
                <w:noProof/>
              </w:rPr>
              <w:t>Breakdown of the cohort figures by individual college</w:t>
            </w:r>
            <w:r w:rsidR="00781F1D">
              <w:rPr>
                <w:noProof/>
                <w:webHidden/>
              </w:rPr>
              <w:tab/>
            </w:r>
            <w:r w:rsidR="00781F1D">
              <w:rPr>
                <w:noProof/>
                <w:webHidden/>
              </w:rPr>
              <w:fldChar w:fldCharType="begin"/>
            </w:r>
            <w:r w:rsidR="00781F1D">
              <w:rPr>
                <w:noProof/>
                <w:webHidden/>
              </w:rPr>
              <w:instrText xml:space="preserve"> PAGEREF _Toc429151311 \h </w:instrText>
            </w:r>
            <w:r w:rsidR="00781F1D">
              <w:rPr>
                <w:noProof/>
                <w:webHidden/>
              </w:rPr>
            </w:r>
            <w:r w:rsidR="00781F1D">
              <w:rPr>
                <w:noProof/>
                <w:webHidden/>
              </w:rPr>
              <w:fldChar w:fldCharType="separate"/>
            </w:r>
            <w:r w:rsidR="007C4502">
              <w:rPr>
                <w:noProof/>
                <w:webHidden/>
              </w:rPr>
              <w:t>26</w:t>
            </w:r>
            <w:r w:rsidR="00781F1D">
              <w:rPr>
                <w:noProof/>
                <w:webHidden/>
              </w:rPr>
              <w:fldChar w:fldCharType="end"/>
            </w:r>
          </w:hyperlink>
        </w:p>
        <w:p w14:paraId="3E39AC5B" w14:textId="77777777" w:rsidR="00781F1D" w:rsidRDefault="00B65569">
          <w:pPr>
            <w:pStyle w:val="TOC2"/>
            <w:tabs>
              <w:tab w:val="left" w:pos="880"/>
              <w:tab w:val="right" w:leader="dot" w:pos="9571"/>
            </w:tabs>
            <w:rPr>
              <w:rFonts w:eastAsiaTheme="minorEastAsia"/>
              <w:noProof/>
              <w:sz w:val="22"/>
              <w:lang w:eastAsia="en-GB"/>
            </w:rPr>
          </w:pPr>
          <w:hyperlink w:anchor="_Toc429151312" w:history="1">
            <w:r w:rsidR="00781F1D" w:rsidRPr="00F95F9A">
              <w:rPr>
                <w:rStyle w:val="Hyperlink"/>
                <w:noProof/>
              </w:rPr>
              <w:t>4.8</w:t>
            </w:r>
            <w:r w:rsidR="00781F1D">
              <w:rPr>
                <w:rFonts w:eastAsiaTheme="minorEastAsia"/>
                <w:noProof/>
                <w:sz w:val="22"/>
                <w:lang w:eastAsia="en-GB"/>
              </w:rPr>
              <w:tab/>
            </w:r>
            <w:r w:rsidR="00781F1D" w:rsidRPr="00F95F9A">
              <w:rPr>
                <w:rStyle w:val="Hyperlink"/>
                <w:noProof/>
              </w:rPr>
              <w:t>Breakdown of the cohorts by London borough</w:t>
            </w:r>
            <w:r w:rsidR="00781F1D">
              <w:rPr>
                <w:noProof/>
                <w:webHidden/>
              </w:rPr>
              <w:tab/>
            </w:r>
            <w:r w:rsidR="00781F1D">
              <w:rPr>
                <w:noProof/>
                <w:webHidden/>
              </w:rPr>
              <w:fldChar w:fldCharType="begin"/>
            </w:r>
            <w:r w:rsidR="00781F1D">
              <w:rPr>
                <w:noProof/>
                <w:webHidden/>
              </w:rPr>
              <w:instrText xml:space="preserve"> PAGEREF _Toc429151312 \h </w:instrText>
            </w:r>
            <w:r w:rsidR="00781F1D">
              <w:rPr>
                <w:noProof/>
                <w:webHidden/>
              </w:rPr>
            </w:r>
            <w:r w:rsidR="00781F1D">
              <w:rPr>
                <w:noProof/>
                <w:webHidden/>
              </w:rPr>
              <w:fldChar w:fldCharType="separate"/>
            </w:r>
            <w:r w:rsidR="007C4502">
              <w:rPr>
                <w:noProof/>
                <w:webHidden/>
              </w:rPr>
              <w:t>28</w:t>
            </w:r>
            <w:r w:rsidR="00781F1D">
              <w:rPr>
                <w:noProof/>
                <w:webHidden/>
              </w:rPr>
              <w:fldChar w:fldCharType="end"/>
            </w:r>
          </w:hyperlink>
        </w:p>
        <w:p w14:paraId="4595FB4C" w14:textId="77777777" w:rsidR="00781F1D" w:rsidRDefault="00B65569">
          <w:pPr>
            <w:pStyle w:val="TOC2"/>
            <w:tabs>
              <w:tab w:val="left" w:pos="880"/>
              <w:tab w:val="right" w:leader="dot" w:pos="9571"/>
            </w:tabs>
            <w:rPr>
              <w:rFonts w:eastAsiaTheme="minorEastAsia"/>
              <w:noProof/>
              <w:sz w:val="22"/>
              <w:lang w:eastAsia="en-GB"/>
            </w:rPr>
          </w:pPr>
          <w:hyperlink w:anchor="_Toc429151313" w:history="1">
            <w:r w:rsidR="00781F1D" w:rsidRPr="00F95F9A">
              <w:rPr>
                <w:rStyle w:val="Hyperlink"/>
                <w:noProof/>
              </w:rPr>
              <w:t>4.9</w:t>
            </w:r>
            <w:r w:rsidR="00781F1D">
              <w:rPr>
                <w:rFonts w:eastAsiaTheme="minorEastAsia"/>
                <w:noProof/>
                <w:sz w:val="22"/>
                <w:lang w:eastAsia="en-GB"/>
              </w:rPr>
              <w:tab/>
            </w:r>
            <w:r w:rsidR="00781F1D" w:rsidRPr="00F95F9A">
              <w:rPr>
                <w:rStyle w:val="Hyperlink"/>
                <w:noProof/>
              </w:rPr>
              <w:t>London borough and age breakdown</w:t>
            </w:r>
            <w:r w:rsidR="00781F1D">
              <w:rPr>
                <w:noProof/>
                <w:webHidden/>
              </w:rPr>
              <w:tab/>
            </w:r>
            <w:r w:rsidR="00781F1D">
              <w:rPr>
                <w:noProof/>
                <w:webHidden/>
              </w:rPr>
              <w:fldChar w:fldCharType="begin"/>
            </w:r>
            <w:r w:rsidR="00781F1D">
              <w:rPr>
                <w:noProof/>
                <w:webHidden/>
              </w:rPr>
              <w:instrText xml:space="preserve"> PAGEREF _Toc429151313 \h </w:instrText>
            </w:r>
            <w:r w:rsidR="00781F1D">
              <w:rPr>
                <w:noProof/>
                <w:webHidden/>
              </w:rPr>
            </w:r>
            <w:r w:rsidR="00781F1D">
              <w:rPr>
                <w:noProof/>
                <w:webHidden/>
              </w:rPr>
              <w:fldChar w:fldCharType="separate"/>
            </w:r>
            <w:r w:rsidR="007C4502">
              <w:rPr>
                <w:noProof/>
                <w:webHidden/>
              </w:rPr>
              <w:t>29</w:t>
            </w:r>
            <w:r w:rsidR="00781F1D">
              <w:rPr>
                <w:noProof/>
                <w:webHidden/>
              </w:rPr>
              <w:fldChar w:fldCharType="end"/>
            </w:r>
          </w:hyperlink>
        </w:p>
        <w:p w14:paraId="25D65D17" w14:textId="77777777" w:rsidR="00781F1D" w:rsidRDefault="00B65569">
          <w:pPr>
            <w:pStyle w:val="TOC2"/>
            <w:tabs>
              <w:tab w:val="left" w:pos="1100"/>
              <w:tab w:val="right" w:leader="dot" w:pos="9571"/>
            </w:tabs>
            <w:rPr>
              <w:rFonts w:eastAsiaTheme="minorEastAsia"/>
              <w:noProof/>
              <w:sz w:val="22"/>
              <w:lang w:eastAsia="en-GB"/>
            </w:rPr>
          </w:pPr>
          <w:hyperlink w:anchor="_Toc429151314" w:history="1">
            <w:r w:rsidR="00781F1D" w:rsidRPr="00F95F9A">
              <w:rPr>
                <w:rStyle w:val="Hyperlink"/>
                <w:noProof/>
              </w:rPr>
              <w:t>4.10</w:t>
            </w:r>
            <w:r w:rsidR="00781F1D">
              <w:rPr>
                <w:rFonts w:eastAsiaTheme="minorEastAsia"/>
                <w:noProof/>
                <w:sz w:val="22"/>
                <w:lang w:eastAsia="en-GB"/>
              </w:rPr>
              <w:tab/>
            </w:r>
            <w:r w:rsidR="00781F1D" w:rsidRPr="00F95F9A">
              <w:rPr>
                <w:rStyle w:val="Hyperlink"/>
                <w:noProof/>
              </w:rPr>
              <w:t>London borough and Level 3 qualification breakdown</w:t>
            </w:r>
            <w:r w:rsidR="00781F1D">
              <w:rPr>
                <w:noProof/>
                <w:webHidden/>
              </w:rPr>
              <w:tab/>
            </w:r>
            <w:r w:rsidR="00781F1D">
              <w:rPr>
                <w:noProof/>
                <w:webHidden/>
              </w:rPr>
              <w:fldChar w:fldCharType="begin"/>
            </w:r>
            <w:r w:rsidR="00781F1D">
              <w:rPr>
                <w:noProof/>
                <w:webHidden/>
              </w:rPr>
              <w:instrText xml:space="preserve"> PAGEREF _Toc429151314 \h </w:instrText>
            </w:r>
            <w:r w:rsidR="00781F1D">
              <w:rPr>
                <w:noProof/>
                <w:webHidden/>
              </w:rPr>
            </w:r>
            <w:r w:rsidR="00781F1D">
              <w:rPr>
                <w:noProof/>
                <w:webHidden/>
              </w:rPr>
              <w:fldChar w:fldCharType="separate"/>
            </w:r>
            <w:r w:rsidR="007C4502">
              <w:rPr>
                <w:noProof/>
                <w:webHidden/>
              </w:rPr>
              <w:t>31</w:t>
            </w:r>
            <w:r w:rsidR="00781F1D">
              <w:rPr>
                <w:noProof/>
                <w:webHidden/>
              </w:rPr>
              <w:fldChar w:fldCharType="end"/>
            </w:r>
          </w:hyperlink>
        </w:p>
        <w:p w14:paraId="2BBE03F6" w14:textId="77777777" w:rsidR="00781F1D" w:rsidRDefault="00B65569">
          <w:pPr>
            <w:pStyle w:val="TOC2"/>
            <w:tabs>
              <w:tab w:val="left" w:pos="1100"/>
              <w:tab w:val="right" w:leader="dot" w:pos="9571"/>
            </w:tabs>
            <w:rPr>
              <w:rFonts w:eastAsiaTheme="minorEastAsia"/>
              <w:noProof/>
              <w:sz w:val="22"/>
              <w:lang w:eastAsia="en-GB"/>
            </w:rPr>
          </w:pPr>
          <w:hyperlink w:anchor="_Toc429151315" w:history="1">
            <w:r w:rsidR="00781F1D" w:rsidRPr="00F95F9A">
              <w:rPr>
                <w:rStyle w:val="Hyperlink"/>
                <w:noProof/>
              </w:rPr>
              <w:t>4.11</w:t>
            </w:r>
            <w:r w:rsidR="00781F1D">
              <w:rPr>
                <w:rFonts w:eastAsiaTheme="minorEastAsia"/>
                <w:noProof/>
                <w:sz w:val="22"/>
                <w:lang w:eastAsia="en-GB"/>
              </w:rPr>
              <w:tab/>
            </w:r>
            <w:r w:rsidR="00781F1D" w:rsidRPr="00F95F9A">
              <w:rPr>
                <w:rStyle w:val="Hyperlink"/>
                <w:noProof/>
              </w:rPr>
              <w:t xml:space="preserve"> Breakdown of the cohorts by educational disadvantage</w:t>
            </w:r>
            <w:r w:rsidR="00781F1D">
              <w:rPr>
                <w:noProof/>
                <w:webHidden/>
              </w:rPr>
              <w:tab/>
            </w:r>
            <w:r w:rsidR="00781F1D">
              <w:rPr>
                <w:noProof/>
                <w:webHidden/>
              </w:rPr>
              <w:fldChar w:fldCharType="begin"/>
            </w:r>
            <w:r w:rsidR="00781F1D">
              <w:rPr>
                <w:noProof/>
                <w:webHidden/>
              </w:rPr>
              <w:instrText xml:space="preserve"> PAGEREF _Toc429151315 \h </w:instrText>
            </w:r>
            <w:r w:rsidR="00781F1D">
              <w:rPr>
                <w:noProof/>
                <w:webHidden/>
              </w:rPr>
            </w:r>
            <w:r w:rsidR="00781F1D">
              <w:rPr>
                <w:noProof/>
                <w:webHidden/>
              </w:rPr>
              <w:fldChar w:fldCharType="separate"/>
            </w:r>
            <w:r w:rsidR="007C4502">
              <w:rPr>
                <w:noProof/>
                <w:webHidden/>
              </w:rPr>
              <w:t>32</w:t>
            </w:r>
            <w:r w:rsidR="00781F1D">
              <w:rPr>
                <w:noProof/>
                <w:webHidden/>
              </w:rPr>
              <w:fldChar w:fldCharType="end"/>
            </w:r>
          </w:hyperlink>
        </w:p>
        <w:p w14:paraId="33AACE95" w14:textId="77777777" w:rsidR="00781F1D" w:rsidRDefault="00B65569">
          <w:pPr>
            <w:pStyle w:val="TOC2"/>
            <w:tabs>
              <w:tab w:val="left" w:pos="1100"/>
              <w:tab w:val="right" w:leader="dot" w:pos="9571"/>
            </w:tabs>
            <w:rPr>
              <w:rFonts w:eastAsiaTheme="minorEastAsia"/>
              <w:noProof/>
              <w:sz w:val="22"/>
              <w:lang w:eastAsia="en-GB"/>
            </w:rPr>
          </w:pPr>
          <w:hyperlink w:anchor="_Toc429151316" w:history="1">
            <w:r w:rsidR="00781F1D" w:rsidRPr="00F95F9A">
              <w:rPr>
                <w:rStyle w:val="Hyperlink"/>
                <w:noProof/>
              </w:rPr>
              <w:t>4.12</w:t>
            </w:r>
            <w:r w:rsidR="00781F1D">
              <w:rPr>
                <w:rFonts w:eastAsiaTheme="minorEastAsia"/>
                <w:noProof/>
                <w:sz w:val="22"/>
                <w:lang w:eastAsia="en-GB"/>
              </w:rPr>
              <w:tab/>
            </w:r>
            <w:r w:rsidR="00781F1D" w:rsidRPr="00F95F9A">
              <w:rPr>
                <w:rStyle w:val="Hyperlink"/>
                <w:noProof/>
              </w:rPr>
              <w:t xml:space="preserve"> Disadvantage and qualifications studied</w:t>
            </w:r>
            <w:r w:rsidR="00781F1D">
              <w:rPr>
                <w:noProof/>
                <w:webHidden/>
              </w:rPr>
              <w:tab/>
            </w:r>
            <w:r w:rsidR="00781F1D">
              <w:rPr>
                <w:noProof/>
                <w:webHidden/>
              </w:rPr>
              <w:fldChar w:fldCharType="begin"/>
            </w:r>
            <w:r w:rsidR="00781F1D">
              <w:rPr>
                <w:noProof/>
                <w:webHidden/>
              </w:rPr>
              <w:instrText xml:space="preserve"> PAGEREF _Toc429151316 \h </w:instrText>
            </w:r>
            <w:r w:rsidR="00781F1D">
              <w:rPr>
                <w:noProof/>
                <w:webHidden/>
              </w:rPr>
            </w:r>
            <w:r w:rsidR="00781F1D">
              <w:rPr>
                <w:noProof/>
                <w:webHidden/>
              </w:rPr>
              <w:fldChar w:fldCharType="separate"/>
            </w:r>
            <w:r w:rsidR="007C4502">
              <w:rPr>
                <w:noProof/>
                <w:webHidden/>
              </w:rPr>
              <w:t>34</w:t>
            </w:r>
            <w:r w:rsidR="00781F1D">
              <w:rPr>
                <w:noProof/>
                <w:webHidden/>
              </w:rPr>
              <w:fldChar w:fldCharType="end"/>
            </w:r>
          </w:hyperlink>
        </w:p>
        <w:p w14:paraId="3AC3F848" w14:textId="77777777" w:rsidR="00781F1D" w:rsidRDefault="00B65569">
          <w:pPr>
            <w:pStyle w:val="TOC2"/>
            <w:tabs>
              <w:tab w:val="left" w:pos="1100"/>
              <w:tab w:val="right" w:leader="dot" w:pos="9571"/>
            </w:tabs>
            <w:rPr>
              <w:rFonts w:eastAsiaTheme="minorEastAsia"/>
              <w:noProof/>
              <w:sz w:val="22"/>
              <w:lang w:eastAsia="en-GB"/>
            </w:rPr>
          </w:pPr>
          <w:hyperlink w:anchor="_Toc429151317" w:history="1">
            <w:r w:rsidR="00781F1D" w:rsidRPr="00F95F9A">
              <w:rPr>
                <w:rStyle w:val="Hyperlink"/>
                <w:noProof/>
              </w:rPr>
              <w:t>4.13</w:t>
            </w:r>
            <w:r w:rsidR="00781F1D">
              <w:rPr>
                <w:rFonts w:eastAsiaTheme="minorEastAsia"/>
                <w:noProof/>
                <w:sz w:val="22"/>
                <w:lang w:eastAsia="en-GB"/>
              </w:rPr>
              <w:tab/>
            </w:r>
            <w:r w:rsidR="00781F1D" w:rsidRPr="00F95F9A">
              <w:rPr>
                <w:rStyle w:val="Hyperlink"/>
                <w:noProof/>
              </w:rPr>
              <w:t xml:space="preserve"> Disadvantage and London borough</w:t>
            </w:r>
            <w:r w:rsidR="00781F1D">
              <w:rPr>
                <w:noProof/>
                <w:webHidden/>
              </w:rPr>
              <w:tab/>
            </w:r>
            <w:r w:rsidR="00781F1D">
              <w:rPr>
                <w:noProof/>
                <w:webHidden/>
              </w:rPr>
              <w:fldChar w:fldCharType="begin"/>
            </w:r>
            <w:r w:rsidR="00781F1D">
              <w:rPr>
                <w:noProof/>
                <w:webHidden/>
              </w:rPr>
              <w:instrText xml:space="preserve"> PAGEREF _Toc429151317 \h </w:instrText>
            </w:r>
            <w:r w:rsidR="00781F1D">
              <w:rPr>
                <w:noProof/>
                <w:webHidden/>
              </w:rPr>
            </w:r>
            <w:r w:rsidR="00781F1D">
              <w:rPr>
                <w:noProof/>
                <w:webHidden/>
              </w:rPr>
              <w:fldChar w:fldCharType="separate"/>
            </w:r>
            <w:r w:rsidR="007C4502">
              <w:rPr>
                <w:noProof/>
                <w:webHidden/>
              </w:rPr>
              <w:t>34</w:t>
            </w:r>
            <w:r w:rsidR="00781F1D">
              <w:rPr>
                <w:noProof/>
                <w:webHidden/>
              </w:rPr>
              <w:fldChar w:fldCharType="end"/>
            </w:r>
          </w:hyperlink>
        </w:p>
        <w:p w14:paraId="0B18A6F2" w14:textId="77777777" w:rsidR="00781F1D" w:rsidRDefault="00B65569">
          <w:pPr>
            <w:pStyle w:val="TOC2"/>
            <w:tabs>
              <w:tab w:val="left" w:pos="1100"/>
              <w:tab w:val="right" w:leader="dot" w:pos="9571"/>
            </w:tabs>
            <w:rPr>
              <w:rFonts w:eastAsiaTheme="minorEastAsia"/>
              <w:noProof/>
              <w:sz w:val="22"/>
              <w:lang w:eastAsia="en-GB"/>
            </w:rPr>
          </w:pPr>
          <w:hyperlink w:anchor="_Toc429151318" w:history="1">
            <w:r w:rsidR="00781F1D" w:rsidRPr="00F95F9A">
              <w:rPr>
                <w:rStyle w:val="Hyperlink"/>
                <w:noProof/>
              </w:rPr>
              <w:t>4.14</w:t>
            </w:r>
            <w:r w:rsidR="00781F1D">
              <w:rPr>
                <w:rFonts w:eastAsiaTheme="minorEastAsia"/>
                <w:noProof/>
                <w:sz w:val="22"/>
                <w:lang w:eastAsia="en-GB"/>
              </w:rPr>
              <w:tab/>
            </w:r>
            <w:r w:rsidR="00781F1D" w:rsidRPr="00F95F9A">
              <w:rPr>
                <w:rStyle w:val="Hyperlink"/>
                <w:noProof/>
              </w:rPr>
              <w:t xml:space="preserve"> Level 3 sector skills areas</w:t>
            </w:r>
            <w:r w:rsidR="00781F1D">
              <w:rPr>
                <w:noProof/>
                <w:webHidden/>
              </w:rPr>
              <w:tab/>
            </w:r>
            <w:r w:rsidR="00781F1D">
              <w:rPr>
                <w:noProof/>
                <w:webHidden/>
              </w:rPr>
              <w:fldChar w:fldCharType="begin"/>
            </w:r>
            <w:r w:rsidR="00781F1D">
              <w:rPr>
                <w:noProof/>
                <w:webHidden/>
              </w:rPr>
              <w:instrText xml:space="preserve"> PAGEREF _Toc429151318 \h </w:instrText>
            </w:r>
            <w:r w:rsidR="00781F1D">
              <w:rPr>
                <w:noProof/>
                <w:webHidden/>
              </w:rPr>
            </w:r>
            <w:r w:rsidR="00781F1D">
              <w:rPr>
                <w:noProof/>
                <w:webHidden/>
              </w:rPr>
              <w:fldChar w:fldCharType="separate"/>
            </w:r>
            <w:r w:rsidR="007C4502">
              <w:rPr>
                <w:noProof/>
                <w:webHidden/>
              </w:rPr>
              <w:t>35</w:t>
            </w:r>
            <w:r w:rsidR="00781F1D">
              <w:rPr>
                <w:noProof/>
                <w:webHidden/>
              </w:rPr>
              <w:fldChar w:fldCharType="end"/>
            </w:r>
          </w:hyperlink>
        </w:p>
        <w:p w14:paraId="4BC93BA6" w14:textId="77777777" w:rsidR="00781F1D" w:rsidRDefault="00B65569">
          <w:pPr>
            <w:pStyle w:val="TOC2"/>
            <w:tabs>
              <w:tab w:val="left" w:pos="1100"/>
              <w:tab w:val="right" w:leader="dot" w:pos="9571"/>
            </w:tabs>
            <w:rPr>
              <w:rFonts w:eastAsiaTheme="minorEastAsia"/>
              <w:noProof/>
              <w:sz w:val="22"/>
              <w:lang w:eastAsia="en-GB"/>
            </w:rPr>
          </w:pPr>
          <w:hyperlink w:anchor="_Toc429151319" w:history="1">
            <w:r w:rsidR="00781F1D" w:rsidRPr="00F95F9A">
              <w:rPr>
                <w:rStyle w:val="Hyperlink"/>
                <w:noProof/>
              </w:rPr>
              <w:t>4.15</w:t>
            </w:r>
            <w:r w:rsidR="00781F1D">
              <w:rPr>
                <w:rFonts w:eastAsiaTheme="minorEastAsia"/>
                <w:noProof/>
                <w:sz w:val="22"/>
                <w:lang w:eastAsia="en-GB"/>
              </w:rPr>
              <w:tab/>
            </w:r>
            <w:r w:rsidR="00781F1D" w:rsidRPr="00F95F9A">
              <w:rPr>
                <w:rStyle w:val="Hyperlink"/>
                <w:noProof/>
              </w:rPr>
              <w:t xml:space="preserve"> Ethnic breakdown of the tracked cohorts</w:t>
            </w:r>
            <w:r w:rsidR="00781F1D">
              <w:rPr>
                <w:noProof/>
                <w:webHidden/>
              </w:rPr>
              <w:tab/>
            </w:r>
            <w:r w:rsidR="00781F1D">
              <w:rPr>
                <w:noProof/>
                <w:webHidden/>
              </w:rPr>
              <w:fldChar w:fldCharType="begin"/>
            </w:r>
            <w:r w:rsidR="00781F1D">
              <w:rPr>
                <w:noProof/>
                <w:webHidden/>
              </w:rPr>
              <w:instrText xml:space="preserve"> PAGEREF _Toc429151319 \h </w:instrText>
            </w:r>
            <w:r w:rsidR="00781F1D">
              <w:rPr>
                <w:noProof/>
                <w:webHidden/>
              </w:rPr>
            </w:r>
            <w:r w:rsidR="00781F1D">
              <w:rPr>
                <w:noProof/>
                <w:webHidden/>
              </w:rPr>
              <w:fldChar w:fldCharType="separate"/>
            </w:r>
            <w:r w:rsidR="007C4502">
              <w:rPr>
                <w:noProof/>
                <w:webHidden/>
              </w:rPr>
              <w:t>36</w:t>
            </w:r>
            <w:r w:rsidR="00781F1D">
              <w:rPr>
                <w:noProof/>
                <w:webHidden/>
              </w:rPr>
              <w:fldChar w:fldCharType="end"/>
            </w:r>
          </w:hyperlink>
        </w:p>
        <w:p w14:paraId="02022FD1" w14:textId="77777777" w:rsidR="00781F1D" w:rsidRDefault="00B65569">
          <w:pPr>
            <w:pStyle w:val="TOC2"/>
            <w:tabs>
              <w:tab w:val="left" w:pos="1100"/>
              <w:tab w:val="right" w:leader="dot" w:pos="9571"/>
            </w:tabs>
            <w:rPr>
              <w:rFonts w:eastAsiaTheme="minorEastAsia"/>
              <w:noProof/>
              <w:sz w:val="22"/>
              <w:lang w:eastAsia="en-GB"/>
            </w:rPr>
          </w:pPr>
          <w:hyperlink w:anchor="_Toc429151320" w:history="1">
            <w:r w:rsidR="00781F1D" w:rsidRPr="00F95F9A">
              <w:rPr>
                <w:rStyle w:val="Hyperlink"/>
                <w:noProof/>
              </w:rPr>
              <w:t>4.16</w:t>
            </w:r>
            <w:r w:rsidR="00781F1D">
              <w:rPr>
                <w:rFonts w:eastAsiaTheme="minorEastAsia"/>
                <w:noProof/>
                <w:sz w:val="22"/>
                <w:lang w:eastAsia="en-GB"/>
              </w:rPr>
              <w:tab/>
            </w:r>
            <w:r w:rsidR="00781F1D" w:rsidRPr="00F95F9A">
              <w:rPr>
                <w:rStyle w:val="Hyperlink"/>
                <w:noProof/>
              </w:rPr>
              <w:t xml:space="preserve"> Ethnic group and age breakdown</w:t>
            </w:r>
            <w:r w:rsidR="00781F1D">
              <w:rPr>
                <w:noProof/>
                <w:webHidden/>
              </w:rPr>
              <w:tab/>
            </w:r>
            <w:r w:rsidR="00781F1D">
              <w:rPr>
                <w:noProof/>
                <w:webHidden/>
              </w:rPr>
              <w:fldChar w:fldCharType="begin"/>
            </w:r>
            <w:r w:rsidR="00781F1D">
              <w:rPr>
                <w:noProof/>
                <w:webHidden/>
              </w:rPr>
              <w:instrText xml:space="preserve"> PAGEREF _Toc429151320 \h </w:instrText>
            </w:r>
            <w:r w:rsidR="00781F1D">
              <w:rPr>
                <w:noProof/>
                <w:webHidden/>
              </w:rPr>
            </w:r>
            <w:r w:rsidR="00781F1D">
              <w:rPr>
                <w:noProof/>
                <w:webHidden/>
              </w:rPr>
              <w:fldChar w:fldCharType="separate"/>
            </w:r>
            <w:r w:rsidR="007C4502">
              <w:rPr>
                <w:noProof/>
                <w:webHidden/>
              </w:rPr>
              <w:t>37</w:t>
            </w:r>
            <w:r w:rsidR="00781F1D">
              <w:rPr>
                <w:noProof/>
                <w:webHidden/>
              </w:rPr>
              <w:fldChar w:fldCharType="end"/>
            </w:r>
          </w:hyperlink>
        </w:p>
        <w:p w14:paraId="28F1169B" w14:textId="77777777" w:rsidR="00781F1D" w:rsidRDefault="00B65569">
          <w:pPr>
            <w:pStyle w:val="TOC2"/>
            <w:tabs>
              <w:tab w:val="left" w:pos="1100"/>
              <w:tab w:val="right" w:leader="dot" w:pos="9571"/>
            </w:tabs>
            <w:rPr>
              <w:rFonts w:eastAsiaTheme="minorEastAsia"/>
              <w:noProof/>
              <w:sz w:val="22"/>
              <w:lang w:eastAsia="en-GB"/>
            </w:rPr>
          </w:pPr>
          <w:hyperlink w:anchor="_Toc429151321" w:history="1">
            <w:r w:rsidR="00781F1D" w:rsidRPr="00F95F9A">
              <w:rPr>
                <w:rStyle w:val="Hyperlink"/>
                <w:noProof/>
              </w:rPr>
              <w:t>4.17</w:t>
            </w:r>
            <w:r w:rsidR="00781F1D">
              <w:rPr>
                <w:rFonts w:eastAsiaTheme="minorEastAsia"/>
                <w:noProof/>
                <w:sz w:val="22"/>
                <w:lang w:eastAsia="en-GB"/>
              </w:rPr>
              <w:tab/>
            </w:r>
            <w:r w:rsidR="00781F1D" w:rsidRPr="00F95F9A">
              <w:rPr>
                <w:rStyle w:val="Hyperlink"/>
                <w:noProof/>
              </w:rPr>
              <w:t xml:space="preserve"> Ethnic group and London borough breakdown</w:t>
            </w:r>
            <w:r w:rsidR="00781F1D">
              <w:rPr>
                <w:noProof/>
                <w:webHidden/>
              </w:rPr>
              <w:tab/>
            </w:r>
            <w:r w:rsidR="00781F1D">
              <w:rPr>
                <w:noProof/>
                <w:webHidden/>
              </w:rPr>
              <w:fldChar w:fldCharType="begin"/>
            </w:r>
            <w:r w:rsidR="00781F1D">
              <w:rPr>
                <w:noProof/>
                <w:webHidden/>
              </w:rPr>
              <w:instrText xml:space="preserve"> PAGEREF _Toc429151321 \h </w:instrText>
            </w:r>
            <w:r w:rsidR="00781F1D">
              <w:rPr>
                <w:noProof/>
                <w:webHidden/>
              </w:rPr>
            </w:r>
            <w:r w:rsidR="00781F1D">
              <w:rPr>
                <w:noProof/>
                <w:webHidden/>
              </w:rPr>
              <w:fldChar w:fldCharType="separate"/>
            </w:r>
            <w:r w:rsidR="007C4502">
              <w:rPr>
                <w:noProof/>
                <w:webHidden/>
              </w:rPr>
              <w:t>38</w:t>
            </w:r>
            <w:r w:rsidR="00781F1D">
              <w:rPr>
                <w:noProof/>
                <w:webHidden/>
              </w:rPr>
              <w:fldChar w:fldCharType="end"/>
            </w:r>
          </w:hyperlink>
        </w:p>
        <w:p w14:paraId="43FCFC32" w14:textId="77777777" w:rsidR="00781F1D" w:rsidRDefault="00B65569">
          <w:pPr>
            <w:pStyle w:val="TOC2"/>
            <w:tabs>
              <w:tab w:val="left" w:pos="1100"/>
              <w:tab w:val="right" w:leader="dot" w:pos="9571"/>
            </w:tabs>
            <w:rPr>
              <w:rFonts w:eastAsiaTheme="minorEastAsia"/>
              <w:noProof/>
              <w:sz w:val="22"/>
              <w:lang w:eastAsia="en-GB"/>
            </w:rPr>
          </w:pPr>
          <w:hyperlink w:anchor="_Toc429151322" w:history="1">
            <w:r w:rsidR="00781F1D" w:rsidRPr="00F95F9A">
              <w:rPr>
                <w:rStyle w:val="Hyperlink"/>
                <w:noProof/>
              </w:rPr>
              <w:t>4.18</w:t>
            </w:r>
            <w:r w:rsidR="00781F1D">
              <w:rPr>
                <w:rFonts w:eastAsiaTheme="minorEastAsia"/>
                <w:noProof/>
                <w:sz w:val="22"/>
                <w:lang w:eastAsia="en-GB"/>
              </w:rPr>
              <w:tab/>
            </w:r>
            <w:r w:rsidR="00781F1D" w:rsidRPr="00F95F9A">
              <w:rPr>
                <w:rStyle w:val="Hyperlink"/>
                <w:noProof/>
              </w:rPr>
              <w:t xml:space="preserve"> Ethnic group and Level 3 qualification type</w:t>
            </w:r>
            <w:r w:rsidR="00781F1D">
              <w:rPr>
                <w:noProof/>
                <w:webHidden/>
              </w:rPr>
              <w:tab/>
            </w:r>
            <w:r w:rsidR="00781F1D">
              <w:rPr>
                <w:noProof/>
                <w:webHidden/>
              </w:rPr>
              <w:fldChar w:fldCharType="begin"/>
            </w:r>
            <w:r w:rsidR="00781F1D">
              <w:rPr>
                <w:noProof/>
                <w:webHidden/>
              </w:rPr>
              <w:instrText xml:space="preserve"> PAGEREF _Toc429151322 \h </w:instrText>
            </w:r>
            <w:r w:rsidR="00781F1D">
              <w:rPr>
                <w:noProof/>
                <w:webHidden/>
              </w:rPr>
            </w:r>
            <w:r w:rsidR="00781F1D">
              <w:rPr>
                <w:noProof/>
                <w:webHidden/>
              </w:rPr>
              <w:fldChar w:fldCharType="separate"/>
            </w:r>
            <w:r w:rsidR="007C4502">
              <w:rPr>
                <w:noProof/>
                <w:webHidden/>
              </w:rPr>
              <w:t>39</w:t>
            </w:r>
            <w:r w:rsidR="00781F1D">
              <w:rPr>
                <w:noProof/>
                <w:webHidden/>
              </w:rPr>
              <w:fldChar w:fldCharType="end"/>
            </w:r>
          </w:hyperlink>
        </w:p>
        <w:p w14:paraId="5B63EA5F" w14:textId="77777777" w:rsidR="00781F1D" w:rsidRDefault="00B65569">
          <w:pPr>
            <w:pStyle w:val="TOC2"/>
            <w:tabs>
              <w:tab w:val="left" w:pos="1100"/>
              <w:tab w:val="right" w:leader="dot" w:pos="9571"/>
            </w:tabs>
            <w:rPr>
              <w:rFonts w:eastAsiaTheme="minorEastAsia"/>
              <w:noProof/>
              <w:sz w:val="22"/>
              <w:lang w:eastAsia="en-GB"/>
            </w:rPr>
          </w:pPr>
          <w:hyperlink w:anchor="_Toc429151323" w:history="1">
            <w:r w:rsidR="00781F1D" w:rsidRPr="00F95F9A">
              <w:rPr>
                <w:rStyle w:val="Hyperlink"/>
                <w:noProof/>
              </w:rPr>
              <w:t>4.19</w:t>
            </w:r>
            <w:r w:rsidR="00781F1D">
              <w:rPr>
                <w:rFonts w:eastAsiaTheme="minorEastAsia"/>
                <w:noProof/>
                <w:sz w:val="22"/>
                <w:lang w:eastAsia="en-GB"/>
              </w:rPr>
              <w:tab/>
            </w:r>
            <w:r w:rsidR="00781F1D" w:rsidRPr="00F95F9A">
              <w:rPr>
                <w:rStyle w:val="Hyperlink"/>
                <w:noProof/>
              </w:rPr>
              <w:t xml:space="preserve"> Ethnic group and Level 3 subject area</w:t>
            </w:r>
            <w:r w:rsidR="00781F1D">
              <w:rPr>
                <w:noProof/>
                <w:webHidden/>
              </w:rPr>
              <w:tab/>
            </w:r>
            <w:r w:rsidR="00781F1D">
              <w:rPr>
                <w:noProof/>
                <w:webHidden/>
              </w:rPr>
              <w:fldChar w:fldCharType="begin"/>
            </w:r>
            <w:r w:rsidR="00781F1D">
              <w:rPr>
                <w:noProof/>
                <w:webHidden/>
              </w:rPr>
              <w:instrText xml:space="preserve"> PAGEREF _Toc429151323 \h </w:instrText>
            </w:r>
            <w:r w:rsidR="00781F1D">
              <w:rPr>
                <w:noProof/>
                <w:webHidden/>
              </w:rPr>
            </w:r>
            <w:r w:rsidR="00781F1D">
              <w:rPr>
                <w:noProof/>
                <w:webHidden/>
              </w:rPr>
              <w:fldChar w:fldCharType="separate"/>
            </w:r>
            <w:r w:rsidR="007C4502">
              <w:rPr>
                <w:noProof/>
                <w:webHidden/>
              </w:rPr>
              <w:t>41</w:t>
            </w:r>
            <w:r w:rsidR="00781F1D">
              <w:rPr>
                <w:noProof/>
                <w:webHidden/>
              </w:rPr>
              <w:fldChar w:fldCharType="end"/>
            </w:r>
          </w:hyperlink>
        </w:p>
        <w:p w14:paraId="2323210B" w14:textId="77777777" w:rsidR="00781F1D" w:rsidRDefault="00B65569">
          <w:pPr>
            <w:pStyle w:val="TOC1"/>
            <w:rPr>
              <w:rFonts w:eastAsiaTheme="minorEastAsia"/>
              <w:b w:val="0"/>
              <w:sz w:val="22"/>
              <w:lang w:eastAsia="en-GB"/>
            </w:rPr>
          </w:pPr>
          <w:hyperlink w:anchor="_Toc429151324" w:history="1">
            <w:r w:rsidR="00781F1D" w:rsidRPr="00F95F9A">
              <w:rPr>
                <w:rStyle w:val="Hyperlink"/>
              </w:rPr>
              <w:t>5.</w:t>
            </w:r>
            <w:r w:rsidR="00781F1D">
              <w:rPr>
                <w:rFonts w:eastAsiaTheme="minorEastAsia"/>
                <w:b w:val="0"/>
                <w:sz w:val="22"/>
                <w:lang w:eastAsia="en-GB"/>
              </w:rPr>
              <w:tab/>
            </w:r>
            <w:r w:rsidR="00781F1D" w:rsidRPr="00F95F9A">
              <w:rPr>
                <w:rStyle w:val="Hyperlink"/>
              </w:rPr>
              <w:t>Progression to higher education</w:t>
            </w:r>
            <w:r w:rsidR="00781F1D">
              <w:rPr>
                <w:webHidden/>
              </w:rPr>
              <w:tab/>
            </w:r>
            <w:r w:rsidR="00781F1D">
              <w:rPr>
                <w:webHidden/>
              </w:rPr>
              <w:fldChar w:fldCharType="begin"/>
            </w:r>
            <w:r w:rsidR="00781F1D">
              <w:rPr>
                <w:webHidden/>
              </w:rPr>
              <w:instrText xml:space="preserve"> PAGEREF _Toc429151324 \h </w:instrText>
            </w:r>
            <w:r w:rsidR="00781F1D">
              <w:rPr>
                <w:webHidden/>
              </w:rPr>
            </w:r>
            <w:r w:rsidR="00781F1D">
              <w:rPr>
                <w:webHidden/>
              </w:rPr>
              <w:fldChar w:fldCharType="separate"/>
            </w:r>
            <w:r w:rsidR="007C4502">
              <w:rPr>
                <w:webHidden/>
              </w:rPr>
              <w:t>44</w:t>
            </w:r>
            <w:r w:rsidR="00781F1D">
              <w:rPr>
                <w:webHidden/>
              </w:rPr>
              <w:fldChar w:fldCharType="end"/>
            </w:r>
          </w:hyperlink>
        </w:p>
        <w:p w14:paraId="15B7775E" w14:textId="77777777" w:rsidR="00781F1D" w:rsidRDefault="00B65569">
          <w:pPr>
            <w:pStyle w:val="TOC2"/>
            <w:tabs>
              <w:tab w:val="left" w:pos="880"/>
              <w:tab w:val="right" w:leader="dot" w:pos="9571"/>
            </w:tabs>
            <w:rPr>
              <w:rFonts w:eastAsiaTheme="minorEastAsia"/>
              <w:noProof/>
              <w:sz w:val="22"/>
              <w:lang w:eastAsia="en-GB"/>
            </w:rPr>
          </w:pPr>
          <w:hyperlink w:anchor="_Toc429151325" w:history="1">
            <w:r w:rsidR="00781F1D" w:rsidRPr="00F95F9A">
              <w:rPr>
                <w:rStyle w:val="Hyperlink"/>
                <w:noProof/>
              </w:rPr>
              <w:t>5.1</w:t>
            </w:r>
            <w:r w:rsidR="00781F1D">
              <w:rPr>
                <w:rFonts w:eastAsiaTheme="minorEastAsia"/>
                <w:noProof/>
                <w:sz w:val="22"/>
                <w:lang w:eastAsia="en-GB"/>
              </w:rPr>
              <w:tab/>
            </w:r>
            <w:r w:rsidR="00781F1D" w:rsidRPr="00F95F9A">
              <w:rPr>
                <w:rStyle w:val="Hyperlink"/>
                <w:noProof/>
              </w:rPr>
              <w:t>Overall longitudinal progression across the cohorts</w:t>
            </w:r>
            <w:r w:rsidR="00781F1D">
              <w:rPr>
                <w:noProof/>
                <w:webHidden/>
              </w:rPr>
              <w:tab/>
            </w:r>
            <w:r w:rsidR="00781F1D">
              <w:rPr>
                <w:noProof/>
                <w:webHidden/>
              </w:rPr>
              <w:fldChar w:fldCharType="begin"/>
            </w:r>
            <w:r w:rsidR="00781F1D">
              <w:rPr>
                <w:noProof/>
                <w:webHidden/>
              </w:rPr>
              <w:instrText xml:space="preserve"> PAGEREF _Toc429151325 \h </w:instrText>
            </w:r>
            <w:r w:rsidR="00781F1D">
              <w:rPr>
                <w:noProof/>
                <w:webHidden/>
              </w:rPr>
            </w:r>
            <w:r w:rsidR="00781F1D">
              <w:rPr>
                <w:noProof/>
                <w:webHidden/>
              </w:rPr>
              <w:fldChar w:fldCharType="separate"/>
            </w:r>
            <w:r w:rsidR="007C4502">
              <w:rPr>
                <w:noProof/>
                <w:webHidden/>
              </w:rPr>
              <w:t>44</w:t>
            </w:r>
            <w:r w:rsidR="00781F1D">
              <w:rPr>
                <w:noProof/>
                <w:webHidden/>
              </w:rPr>
              <w:fldChar w:fldCharType="end"/>
            </w:r>
          </w:hyperlink>
        </w:p>
        <w:p w14:paraId="3A6B18DB" w14:textId="77777777" w:rsidR="00781F1D" w:rsidRDefault="00B65569">
          <w:pPr>
            <w:pStyle w:val="TOC2"/>
            <w:tabs>
              <w:tab w:val="left" w:pos="880"/>
              <w:tab w:val="right" w:leader="dot" w:pos="9571"/>
            </w:tabs>
            <w:rPr>
              <w:rFonts w:eastAsiaTheme="minorEastAsia"/>
              <w:noProof/>
              <w:sz w:val="22"/>
              <w:lang w:eastAsia="en-GB"/>
            </w:rPr>
          </w:pPr>
          <w:hyperlink w:anchor="_Toc429151326" w:history="1">
            <w:r w:rsidR="00781F1D" w:rsidRPr="00F95F9A">
              <w:rPr>
                <w:rStyle w:val="Hyperlink"/>
                <w:noProof/>
              </w:rPr>
              <w:t>5.2</w:t>
            </w:r>
            <w:r w:rsidR="00781F1D">
              <w:rPr>
                <w:rFonts w:eastAsiaTheme="minorEastAsia"/>
                <w:noProof/>
                <w:sz w:val="22"/>
                <w:lang w:eastAsia="en-GB"/>
              </w:rPr>
              <w:tab/>
            </w:r>
            <w:r w:rsidR="00781F1D" w:rsidRPr="00F95F9A">
              <w:rPr>
                <w:rStyle w:val="Hyperlink"/>
                <w:noProof/>
              </w:rPr>
              <w:t xml:space="preserve"> Longitudinal progression by age</w:t>
            </w:r>
            <w:r w:rsidR="00781F1D">
              <w:rPr>
                <w:noProof/>
                <w:webHidden/>
              </w:rPr>
              <w:tab/>
            </w:r>
            <w:r w:rsidR="00781F1D">
              <w:rPr>
                <w:noProof/>
                <w:webHidden/>
              </w:rPr>
              <w:fldChar w:fldCharType="begin"/>
            </w:r>
            <w:r w:rsidR="00781F1D">
              <w:rPr>
                <w:noProof/>
                <w:webHidden/>
              </w:rPr>
              <w:instrText xml:space="preserve"> PAGEREF _Toc429151326 \h </w:instrText>
            </w:r>
            <w:r w:rsidR="00781F1D">
              <w:rPr>
                <w:noProof/>
                <w:webHidden/>
              </w:rPr>
            </w:r>
            <w:r w:rsidR="00781F1D">
              <w:rPr>
                <w:noProof/>
                <w:webHidden/>
              </w:rPr>
              <w:fldChar w:fldCharType="separate"/>
            </w:r>
            <w:r w:rsidR="007C4502">
              <w:rPr>
                <w:noProof/>
                <w:webHidden/>
              </w:rPr>
              <w:t>45</w:t>
            </w:r>
            <w:r w:rsidR="00781F1D">
              <w:rPr>
                <w:noProof/>
                <w:webHidden/>
              </w:rPr>
              <w:fldChar w:fldCharType="end"/>
            </w:r>
          </w:hyperlink>
        </w:p>
        <w:p w14:paraId="39A55CE1" w14:textId="77777777" w:rsidR="00781F1D" w:rsidRDefault="00B65569">
          <w:pPr>
            <w:pStyle w:val="TOC2"/>
            <w:tabs>
              <w:tab w:val="left" w:pos="880"/>
              <w:tab w:val="right" w:leader="dot" w:pos="9571"/>
            </w:tabs>
            <w:rPr>
              <w:rFonts w:eastAsiaTheme="minorEastAsia"/>
              <w:noProof/>
              <w:sz w:val="22"/>
              <w:lang w:eastAsia="en-GB"/>
            </w:rPr>
          </w:pPr>
          <w:hyperlink w:anchor="_Toc429151327" w:history="1">
            <w:r w:rsidR="00781F1D" w:rsidRPr="00F95F9A">
              <w:rPr>
                <w:rStyle w:val="Hyperlink"/>
                <w:noProof/>
              </w:rPr>
              <w:t>5.3</w:t>
            </w:r>
            <w:r w:rsidR="00781F1D">
              <w:rPr>
                <w:rFonts w:eastAsiaTheme="minorEastAsia"/>
                <w:noProof/>
                <w:sz w:val="22"/>
                <w:lang w:eastAsia="en-GB"/>
              </w:rPr>
              <w:tab/>
            </w:r>
            <w:r w:rsidR="00781F1D" w:rsidRPr="00F95F9A">
              <w:rPr>
                <w:rStyle w:val="Hyperlink"/>
                <w:noProof/>
              </w:rPr>
              <w:t>Progression into prescribed and non-prescribed HE</w:t>
            </w:r>
            <w:r w:rsidR="00781F1D">
              <w:rPr>
                <w:noProof/>
                <w:webHidden/>
              </w:rPr>
              <w:tab/>
            </w:r>
            <w:r w:rsidR="00781F1D">
              <w:rPr>
                <w:noProof/>
                <w:webHidden/>
              </w:rPr>
              <w:fldChar w:fldCharType="begin"/>
            </w:r>
            <w:r w:rsidR="00781F1D">
              <w:rPr>
                <w:noProof/>
                <w:webHidden/>
              </w:rPr>
              <w:instrText xml:space="preserve"> PAGEREF _Toc429151327 \h </w:instrText>
            </w:r>
            <w:r w:rsidR="00781F1D">
              <w:rPr>
                <w:noProof/>
                <w:webHidden/>
              </w:rPr>
            </w:r>
            <w:r w:rsidR="00781F1D">
              <w:rPr>
                <w:noProof/>
                <w:webHidden/>
              </w:rPr>
              <w:fldChar w:fldCharType="separate"/>
            </w:r>
            <w:r w:rsidR="007C4502">
              <w:rPr>
                <w:noProof/>
                <w:webHidden/>
              </w:rPr>
              <w:t>46</w:t>
            </w:r>
            <w:r w:rsidR="00781F1D">
              <w:rPr>
                <w:noProof/>
                <w:webHidden/>
              </w:rPr>
              <w:fldChar w:fldCharType="end"/>
            </w:r>
          </w:hyperlink>
        </w:p>
        <w:p w14:paraId="17E8FCFB" w14:textId="77777777" w:rsidR="00781F1D" w:rsidRDefault="00B65569">
          <w:pPr>
            <w:pStyle w:val="TOC2"/>
            <w:tabs>
              <w:tab w:val="left" w:pos="880"/>
              <w:tab w:val="right" w:leader="dot" w:pos="9571"/>
            </w:tabs>
            <w:rPr>
              <w:rFonts w:eastAsiaTheme="minorEastAsia"/>
              <w:noProof/>
              <w:sz w:val="22"/>
              <w:lang w:eastAsia="en-GB"/>
            </w:rPr>
          </w:pPr>
          <w:hyperlink w:anchor="_Toc429151328" w:history="1">
            <w:r w:rsidR="00781F1D" w:rsidRPr="00F95F9A">
              <w:rPr>
                <w:rStyle w:val="Hyperlink"/>
                <w:noProof/>
              </w:rPr>
              <w:t>5.4</w:t>
            </w:r>
            <w:r w:rsidR="00781F1D">
              <w:rPr>
                <w:rFonts w:eastAsiaTheme="minorEastAsia"/>
                <w:noProof/>
                <w:sz w:val="22"/>
                <w:lang w:eastAsia="en-GB"/>
              </w:rPr>
              <w:tab/>
            </w:r>
            <w:r w:rsidR="00781F1D" w:rsidRPr="00F95F9A">
              <w:rPr>
                <w:rStyle w:val="Hyperlink"/>
                <w:noProof/>
              </w:rPr>
              <w:t>Immediate progression by age and gender</w:t>
            </w:r>
            <w:r w:rsidR="00781F1D">
              <w:rPr>
                <w:noProof/>
                <w:webHidden/>
              </w:rPr>
              <w:tab/>
            </w:r>
            <w:r w:rsidR="00781F1D">
              <w:rPr>
                <w:noProof/>
                <w:webHidden/>
              </w:rPr>
              <w:fldChar w:fldCharType="begin"/>
            </w:r>
            <w:r w:rsidR="00781F1D">
              <w:rPr>
                <w:noProof/>
                <w:webHidden/>
              </w:rPr>
              <w:instrText xml:space="preserve"> PAGEREF _Toc429151328 \h </w:instrText>
            </w:r>
            <w:r w:rsidR="00781F1D">
              <w:rPr>
                <w:noProof/>
                <w:webHidden/>
              </w:rPr>
            </w:r>
            <w:r w:rsidR="00781F1D">
              <w:rPr>
                <w:noProof/>
                <w:webHidden/>
              </w:rPr>
              <w:fldChar w:fldCharType="separate"/>
            </w:r>
            <w:r w:rsidR="007C4502">
              <w:rPr>
                <w:noProof/>
                <w:webHidden/>
              </w:rPr>
              <w:t>47</w:t>
            </w:r>
            <w:r w:rsidR="00781F1D">
              <w:rPr>
                <w:noProof/>
                <w:webHidden/>
              </w:rPr>
              <w:fldChar w:fldCharType="end"/>
            </w:r>
          </w:hyperlink>
        </w:p>
        <w:p w14:paraId="603DE978" w14:textId="77777777" w:rsidR="00781F1D" w:rsidRDefault="00B65569">
          <w:pPr>
            <w:pStyle w:val="TOC2"/>
            <w:tabs>
              <w:tab w:val="left" w:pos="880"/>
              <w:tab w:val="right" w:leader="dot" w:pos="9571"/>
            </w:tabs>
            <w:rPr>
              <w:rFonts w:eastAsiaTheme="minorEastAsia"/>
              <w:noProof/>
              <w:sz w:val="22"/>
              <w:lang w:eastAsia="en-GB"/>
            </w:rPr>
          </w:pPr>
          <w:hyperlink w:anchor="_Toc429151329" w:history="1">
            <w:r w:rsidR="00781F1D" w:rsidRPr="00F95F9A">
              <w:rPr>
                <w:rStyle w:val="Hyperlink"/>
                <w:noProof/>
              </w:rPr>
              <w:t>5.5</w:t>
            </w:r>
            <w:r w:rsidR="00781F1D">
              <w:rPr>
                <w:rFonts w:eastAsiaTheme="minorEastAsia"/>
                <w:noProof/>
                <w:sz w:val="22"/>
                <w:lang w:eastAsia="en-GB"/>
              </w:rPr>
              <w:tab/>
            </w:r>
            <w:r w:rsidR="00781F1D" w:rsidRPr="00F95F9A">
              <w:rPr>
                <w:rStyle w:val="Hyperlink"/>
                <w:noProof/>
              </w:rPr>
              <w:t>Progression rates by qualification type</w:t>
            </w:r>
            <w:r w:rsidR="00781F1D">
              <w:rPr>
                <w:noProof/>
                <w:webHidden/>
              </w:rPr>
              <w:tab/>
            </w:r>
            <w:r w:rsidR="00781F1D">
              <w:rPr>
                <w:noProof/>
                <w:webHidden/>
              </w:rPr>
              <w:fldChar w:fldCharType="begin"/>
            </w:r>
            <w:r w:rsidR="00781F1D">
              <w:rPr>
                <w:noProof/>
                <w:webHidden/>
              </w:rPr>
              <w:instrText xml:space="preserve"> PAGEREF _Toc429151329 \h </w:instrText>
            </w:r>
            <w:r w:rsidR="00781F1D">
              <w:rPr>
                <w:noProof/>
                <w:webHidden/>
              </w:rPr>
            </w:r>
            <w:r w:rsidR="00781F1D">
              <w:rPr>
                <w:noProof/>
                <w:webHidden/>
              </w:rPr>
              <w:fldChar w:fldCharType="separate"/>
            </w:r>
            <w:r w:rsidR="007C4502">
              <w:rPr>
                <w:noProof/>
                <w:webHidden/>
              </w:rPr>
              <w:t>48</w:t>
            </w:r>
            <w:r w:rsidR="00781F1D">
              <w:rPr>
                <w:noProof/>
                <w:webHidden/>
              </w:rPr>
              <w:fldChar w:fldCharType="end"/>
            </w:r>
          </w:hyperlink>
        </w:p>
        <w:p w14:paraId="42329AF4" w14:textId="77777777" w:rsidR="00781F1D" w:rsidRDefault="00B65569">
          <w:pPr>
            <w:pStyle w:val="TOC2"/>
            <w:tabs>
              <w:tab w:val="left" w:pos="880"/>
              <w:tab w:val="right" w:leader="dot" w:pos="9571"/>
            </w:tabs>
            <w:rPr>
              <w:rFonts w:eastAsiaTheme="minorEastAsia"/>
              <w:noProof/>
              <w:sz w:val="22"/>
              <w:lang w:eastAsia="en-GB"/>
            </w:rPr>
          </w:pPr>
          <w:hyperlink w:anchor="_Toc429151330" w:history="1">
            <w:r w:rsidR="00781F1D" w:rsidRPr="00F95F9A">
              <w:rPr>
                <w:rStyle w:val="Hyperlink"/>
                <w:noProof/>
              </w:rPr>
              <w:t>5.6</w:t>
            </w:r>
            <w:r w:rsidR="00781F1D">
              <w:rPr>
                <w:rFonts w:eastAsiaTheme="minorEastAsia"/>
                <w:noProof/>
                <w:sz w:val="22"/>
                <w:lang w:eastAsia="en-GB"/>
              </w:rPr>
              <w:tab/>
            </w:r>
            <w:r w:rsidR="00781F1D" w:rsidRPr="00F95F9A">
              <w:rPr>
                <w:rStyle w:val="Hyperlink"/>
                <w:noProof/>
              </w:rPr>
              <w:t>Breakdown of delivery of HE in FE Colleges and universities</w:t>
            </w:r>
            <w:r w:rsidR="00781F1D">
              <w:rPr>
                <w:noProof/>
                <w:webHidden/>
              </w:rPr>
              <w:tab/>
            </w:r>
            <w:r w:rsidR="00781F1D">
              <w:rPr>
                <w:noProof/>
                <w:webHidden/>
              </w:rPr>
              <w:fldChar w:fldCharType="begin"/>
            </w:r>
            <w:r w:rsidR="00781F1D">
              <w:rPr>
                <w:noProof/>
                <w:webHidden/>
              </w:rPr>
              <w:instrText xml:space="preserve"> PAGEREF _Toc429151330 \h </w:instrText>
            </w:r>
            <w:r w:rsidR="00781F1D">
              <w:rPr>
                <w:noProof/>
                <w:webHidden/>
              </w:rPr>
            </w:r>
            <w:r w:rsidR="00781F1D">
              <w:rPr>
                <w:noProof/>
                <w:webHidden/>
              </w:rPr>
              <w:fldChar w:fldCharType="separate"/>
            </w:r>
            <w:r w:rsidR="007C4502">
              <w:rPr>
                <w:noProof/>
                <w:webHidden/>
              </w:rPr>
              <w:t>49</w:t>
            </w:r>
            <w:r w:rsidR="00781F1D">
              <w:rPr>
                <w:noProof/>
                <w:webHidden/>
              </w:rPr>
              <w:fldChar w:fldCharType="end"/>
            </w:r>
          </w:hyperlink>
        </w:p>
        <w:p w14:paraId="2A6F4DDF" w14:textId="77777777" w:rsidR="00781F1D" w:rsidRDefault="00B65569">
          <w:pPr>
            <w:pStyle w:val="TOC2"/>
            <w:tabs>
              <w:tab w:val="left" w:pos="880"/>
              <w:tab w:val="right" w:leader="dot" w:pos="9571"/>
            </w:tabs>
            <w:rPr>
              <w:rFonts w:eastAsiaTheme="minorEastAsia"/>
              <w:noProof/>
              <w:sz w:val="22"/>
              <w:lang w:eastAsia="en-GB"/>
            </w:rPr>
          </w:pPr>
          <w:hyperlink w:anchor="_Toc429151331" w:history="1">
            <w:r w:rsidR="00781F1D" w:rsidRPr="00F95F9A">
              <w:rPr>
                <w:rStyle w:val="Hyperlink"/>
                <w:noProof/>
              </w:rPr>
              <w:t>5.7</w:t>
            </w:r>
            <w:r w:rsidR="00781F1D">
              <w:rPr>
                <w:rFonts w:eastAsiaTheme="minorEastAsia"/>
                <w:noProof/>
                <w:sz w:val="22"/>
                <w:lang w:eastAsia="en-GB"/>
              </w:rPr>
              <w:tab/>
            </w:r>
            <w:r w:rsidR="00781F1D" w:rsidRPr="00F95F9A">
              <w:rPr>
                <w:rStyle w:val="Hyperlink"/>
                <w:noProof/>
              </w:rPr>
              <w:t xml:space="preserve"> HE delivery breakdown and by age</w:t>
            </w:r>
            <w:r w:rsidR="00781F1D">
              <w:rPr>
                <w:noProof/>
                <w:webHidden/>
              </w:rPr>
              <w:tab/>
            </w:r>
            <w:r w:rsidR="00781F1D">
              <w:rPr>
                <w:noProof/>
                <w:webHidden/>
              </w:rPr>
              <w:fldChar w:fldCharType="begin"/>
            </w:r>
            <w:r w:rsidR="00781F1D">
              <w:rPr>
                <w:noProof/>
                <w:webHidden/>
              </w:rPr>
              <w:instrText xml:space="preserve"> PAGEREF _Toc429151331 \h </w:instrText>
            </w:r>
            <w:r w:rsidR="00781F1D">
              <w:rPr>
                <w:noProof/>
                <w:webHidden/>
              </w:rPr>
            </w:r>
            <w:r w:rsidR="00781F1D">
              <w:rPr>
                <w:noProof/>
                <w:webHidden/>
              </w:rPr>
              <w:fldChar w:fldCharType="separate"/>
            </w:r>
            <w:r w:rsidR="007C4502">
              <w:rPr>
                <w:noProof/>
                <w:webHidden/>
              </w:rPr>
              <w:t>49</w:t>
            </w:r>
            <w:r w:rsidR="00781F1D">
              <w:rPr>
                <w:noProof/>
                <w:webHidden/>
              </w:rPr>
              <w:fldChar w:fldCharType="end"/>
            </w:r>
          </w:hyperlink>
        </w:p>
        <w:p w14:paraId="0B0B2594" w14:textId="77777777" w:rsidR="00781F1D" w:rsidRDefault="00B65569">
          <w:pPr>
            <w:pStyle w:val="TOC2"/>
            <w:tabs>
              <w:tab w:val="left" w:pos="880"/>
              <w:tab w:val="right" w:leader="dot" w:pos="9571"/>
            </w:tabs>
            <w:rPr>
              <w:rFonts w:eastAsiaTheme="minorEastAsia"/>
              <w:noProof/>
              <w:sz w:val="22"/>
              <w:lang w:eastAsia="en-GB"/>
            </w:rPr>
          </w:pPr>
          <w:hyperlink w:anchor="_Toc429151332" w:history="1">
            <w:r w:rsidR="00781F1D" w:rsidRPr="00F95F9A">
              <w:rPr>
                <w:rStyle w:val="Hyperlink"/>
                <w:noProof/>
              </w:rPr>
              <w:t>5.8</w:t>
            </w:r>
            <w:r w:rsidR="00781F1D">
              <w:rPr>
                <w:rFonts w:eastAsiaTheme="minorEastAsia"/>
                <w:noProof/>
                <w:sz w:val="22"/>
                <w:lang w:eastAsia="en-GB"/>
              </w:rPr>
              <w:tab/>
            </w:r>
            <w:r w:rsidR="00781F1D" w:rsidRPr="00F95F9A">
              <w:rPr>
                <w:rStyle w:val="Hyperlink"/>
                <w:noProof/>
              </w:rPr>
              <w:t xml:space="preserve"> HE qualification breakdown and age</w:t>
            </w:r>
            <w:r w:rsidR="00781F1D">
              <w:rPr>
                <w:noProof/>
                <w:webHidden/>
              </w:rPr>
              <w:tab/>
            </w:r>
            <w:r w:rsidR="00781F1D">
              <w:rPr>
                <w:noProof/>
                <w:webHidden/>
              </w:rPr>
              <w:fldChar w:fldCharType="begin"/>
            </w:r>
            <w:r w:rsidR="00781F1D">
              <w:rPr>
                <w:noProof/>
                <w:webHidden/>
              </w:rPr>
              <w:instrText xml:space="preserve"> PAGEREF _Toc429151332 \h </w:instrText>
            </w:r>
            <w:r w:rsidR="00781F1D">
              <w:rPr>
                <w:noProof/>
                <w:webHidden/>
              </w:rPr>
            </w:r>
            <w:r w:rsidR="00781F1D">
              <w:rPr>
                <w:noProof/>
                <w:webHidden/>
              </w:rPr>
              <w:fldChar w:fldCharType="separate"/>
            </w:r>
            <w:r w:rsidR="007C4502">
              <w:rPr>
                <w:noProof/>
                <w:webHidden/>
              </w:rPr>
              <w:t>50</w:t>
            </w:r>
            <w:r w:rsidR="00781F1D">
              <w:rPr>
                <w:noProof/>
                <w:webHidden/>
              </w:rPr>
              <w:fldChar w:fldCharType="end"/>
            </w:r>
          </w:hyperlink>
        </w:p>
        <w:p w14:paraId="45AD4FC5" w14:textId="77777777" w:rsidR="00781F1D" w:rsidRDefault="00B65569">
          <w:pPr>
            <w:pStyle w:val="TOC2"/>
            <w:tabs>
              <w:tab w:val="left" w:pos="880"/>
              <w:tab w:val="right" w:leader="dot" w:pos="9571"/>
            </w:tabs>
            <w:rPr>
              <w:rFonts w:eastAsiaTheme="minorEastAsia"/>
              <w:noProof/>
              <w:sz w:val="22"/>
              <w:lang w:eastAsia="en-GB"/>
            </w:rPr>
          </w:pPr>
          <w:hyperlink w:anchor="_Toc429151333" w:history="1">
            <w:r w:rsidR="00781F1D" w:rsidRPr="00F95F9A">
              <w:rPr>
                <w:rStyle w:val="Hyperlink"/>
                <w:noProof/>
              </w:rPr>
              <w:t>5.9</w:t>
            </w:r>
            <w:r w:rsidR="00781F1D">
              <w:rPr>
                <w:rFonts w:eastAsiaTheme="minorEastAsia"/>
                <w:noProof/>
                <w:sz w:val="22"/>
                <w:lang w:eastAsia="en-GB"/>
              </w:rPr>
              <w:tab/>
            </w:r>
            <w:r w:rsidR="00781F1D" w:rsidRPr="00F95F9A">
              <w:rPr>
                <w:rStyle w:val="Hyperlink"/>
                <w:noProof/>
              </w:rPr>
              <w:t xml:space="preserve"> HE subject area breakdown and by age</w:t>
            </w:r>
            <w:r w:rsidR="00781F1D">
              <w:rPr>
                <w:noProof/>
                <w:webHidden/>
              </w:rPr>
              <w:tab/>
            </w:r>
            <w:r w:rsidR="00781F1D">
              <w:rPr>
                <w:noProof/>
                <w:webHidden/>
              </w:rPr>
              <w:fldChar w:fldCharType="begin"/>
            </w:r>
            <w:r w:rsidR="00781F1D">
              <w:rPr>
                <w:noProof/>
                <w:webHidden/>
              </w:rPr>
              <w:instrText xml:space="preserve"> PAGEREF _Toc429151333 \h </w:instrText>
            </w:r>
            <w:r w:rsidR="00781F1D">
              <w:rPr>
                <w:noProof/>
                <w:webHidden/>
              </w:rPr>
            </w:r>
            <w:r w:rsidR="00781F1D">
              <w:rPr>
                <w:noProof/>
                <w:webHidden/>
              </w:rPr>
              <w:fldChar w:fldCharType="separate"/>
            </w:r>
            <w:r w:rsidR="007C4502">
              <w:rPr>
                <w:noProof/>
                <w:webHidden/>
              </w:rPr>
              <w:t>50</w:t>
            </w:r>
            <w:r w:rsidR="00781F1D">
              <w:rPr>
                <w:noProof/>
                <w:webHidden/>
              </w:rPr>
              <w:fldChar w:fldCharType="end"/>
            </w:r>
          </w:hyperlink>
        </w:p>
        <w:p w14:paraId="24DA0A77" w14:textId="77777777" w:rsidR="00781F1D" w:rsidRDefault="00B65569">
          <w:pPr>
            <w:pStyle w:val="TOC2"/>
            <w:tabs>
              <w:tab w:val="left" w:pos="1100"/>
              <w:tab w:val="right" w:leader="dot" w:pos="9571"/>
            </w:tabs>
            <w:rPr>
              <w:rFonts w:eastAsiaTheme="minorEastAsia"/>
              <w:noProof/>
              <w:sz w:val="22"/>
              <w:lang w:eastAsia="en-GB"/>
            </w:rPr>
          </w:pPr>
          <w:hyperlink w:anchor="_Toc429151334" w:history="1">
            <w:r w:rsidR="00781F1D" w:rsidRPr="00F95F9A">
              <w:rPr>
                <w:rStyle w:val="Hyperlink"/>
                <w:noProof/>
              </w:rPr>
              <w:t>5.10</w:t>
            </w:r>
            <w:r w:rsidR="00781F1D">
              <w:rPr>
                <w:rFonts w:eastAsiaTheme="minorEastAsia"/>
                <w:noProof/>
                <w:sz w:val="22"/>
                <w:lang w:eastAsia="en-GB"/>
              </w:rPr>
              <w:tab/>
            </w:r>
            <w:r w:rsidR="00781F1D" w:rsidRPr="00F95F9A">
              <w:rPr>
                <w:rStyle w:val="Hyperlink"/>
                <w:noProof/>
              </w:rPr>
              <w:t xml:space="preserve"> HE progression rates by sector skills area</w:t>
            </w:r>
            <w:r w:rsidR="00781F1D">
              <w:rPr>
                <w:noProof/>
                <w:webHidden/>
              </w:rPr>
              <w:tab/>
            </w:r>
            <w:r w:rsidR="00781F1D">
              <w:rPr>
                <w:noProof/>
                <w:webHidden/>
              </w:rPr>
              <w:fldChar w:fldCharType="begin"/>
            </w:r>
            <w:r w:rsidR="00781F1D">
              <w:rPr>
                <w:noProof/>
                <w:webHidden/>
              </w:rPr>
              <w:instrText xml:space="preserve"> PAGEREF _Toc429151334 \h </w:instrText>
            </w:r>
            <w:r w:rsidR="00781F1D">
              <w:rPr>
                <w:noProof/>
                <w:webHidden/>
              </w:rPr>
            </w:r>
            <w:r w:rsidR="00781F1D">
              <w:rPr>
                <w:noProof/>
                <w:webHidden/>
              </w:rPr>
              <w:fldChar w:fldCharType="separate"/>
            </w:r>
            <w:r w:rsidR="007C4502">
              <w:rPr>
                <w:noProof/>
                <w:webHidden/>
              </w:rPr>
              <w:t>51</w:t>
            </w:r>
            <w:r w:rsidR="00781F1D">
              <w:rPr>
                <w:noProof/>
                <w:webHidden/>
              </w:rPr>
              <w:fldChar w:fldCharType="end"/>
            </w:r>
          </w:hyperlink>
        </w:p>
        <w:p w14:paraId="5BD03F29" w14:textId="77777777" w:rsidR="00781F1D" w:rsidRDefault="00B65569">
          <w:pPr>
            <w:pStyle w:val="TOC2"/>
            <w:tabs>
              <w:tab w:val="left" w:pos="1100"/>
              <w:tab w:val="right" w:leader="dot" w:pos="9571"/>
            </w:tabs>
            <w:rPr>
              <w:rFonts w:eastAsiaTheme="minorEastAsia"/>
              <w:noProof/>
              <w:sz w:val="22"/>
              <w:lang w:eastAsia="en-GB"/>
            </w:rPr>
          </w:pPr>
          <w:hyperlink w:anchor="_Toc429151335" w:history="1">
            <w:r w:rsidR="00781F1D" w:rsidRPr="00F95F9A">
              <w:rPr>
                <w:rStyle w:val="Hyperlink"/>
                <w:noProof/>
              </w:rPr>
              <w:t>5.11</w:t>
            </w:r>
            <w:r w:rsidR="00781F1D">
              <w:rPr>
                <w:rFonts w:eastAsiaTheme="minorEastAsia"/>
                <w:noProof/>
                <w:sz w:val="22"/>
                <w:lang w:eastAsia="en-GB"/>
              </w:rPr>
              <w:tab/>
            </w:r>
            <w:r w:rsidR="00781F1D" w:rsidRPr="00F95F9A">
              <w:rPr>
                <w:rStyle w:val="Hyperlink"/>
                <w:noProof/>
              </w:rPr>
              <w:t xml:space="preserve"> HE qualification studied by Level 3 qualification type</w:t>
            </w:r>
            <w:r w:rsidR="00781F1D">
              <w:rPr>
                <w:noProof/>
                <w:webHidden/>
              </w:rPr>
              <w:tab/>
            </w:r>
            <w:r w:rsidR="00781F1D">
              <w:rPr>
                <w:noProof/>
                <w:webHidden/>
              </w:rPr>
              <w:fldChar w:fldCharType="begin"/>
            </w:r>
            <w:r w:rsidR="00781F1D">
              <w:rPr>
                <w:noProof/>
                <w:webHidden/>
              </w:rPr>
              <w:instrText xml:space="preserve"> PAGEREF _Toc429151335 \h </w:instrText>
            </w:r>
            <w:r w:rsidR="00781F1D">
              <w:rPr>
                <w:noProof/>
                <w:webHidden/>
              </w:rPr>
            </w:r>
            <w:r w:rsidR="00781F1D">
              <w:rPr>
                <w:noProof/>
                <w:webHidden/>
              </w:rPr>
              <w:fldChar w:fldCharType="separate"/>
            </w:r>
            <w:r w:rsidR="007C4502">
              <w:rPr>
                <w:noProof/>
                <w:webHidden/>
              </w:rPr>
              <w:t>52</w:t>
            </w:r>
            <w:r w:rsidR="00781F1D">
              <w:rPr>
                <w:noProof/>
                <w:webHidden/>
              </w:rPr>
              <w:fldChar w:fldCharType="end"/>
            </w:r>
          </w:hyperlink>
        </w:p>
        <w:p w14:paraId="5F13F01E" w14:textId="77777777" w:rsidR="00781F1D" w:rsidRDefault="00B65569">
          <w:pPr>
            <w:pStyle w:val="TOC2"/>
            <w:tabs>
              <w:tab w:val="left" w:pos="1100"/>
              <w:tab w:val="right" w:leader="dot" w:pos="9571"/>
            </w:tabs>
            <w:rPr>
              <w:rFonts w:eastAsiaTheme="minorEastAsia"/>
              <w:noProof/>
              <w:sz w:val="22"/>
              <w:lang w:eastAsia="en-GB"/>
            </w:rPr>
          </w:pPr>
          <w:hyperlink w:anchor="_Toc429151336" w:history="1">
            <w:r w:rsidR="00781F1D" w:rsidRPr="00F95F9A">
              <w:rPr>
                <w:rStyle w:val="Hyperlink"/>
                <w:noProof/>
              </w:rPr>
              <w:t>5.12</w:t>
            </w:r>
            <w:r w:rsidR="00781F1D">
              <w:rPr>
                <w:rFonts w:eastAsiaTheme="minorEastAsia"/>
                <w:noProof/>
                <w:sz w:val="22"/>
                <w:lang w:eastAsia="en-GB"/>
              </w:rPr>
              <w:tab/>
            </w:r>
            <w:r w:rsidR="00781F1D" w:rsidRPr="00F95F9A">
              <w:rPr>
                <w:rStyle w:val="Hyperlink"/>
                <w:noProof/>
              </w:rPr>
              <w:t xml:space="preserve"> HE qualification, delivery and Level 3 qualification type</w:t>
            </w:r>
            <w:r w:rsidR="00781F1D">
              <w:rPr>
                <w:noProof/>
                <w:webHidden/>
              </w:rPr>
              <w:tab/>
            </w:r>
            <w:r w:rsidR="00781F1D">
              <w:rPr>
                <w:noProof/>
                <w:webHidden/>
              </w:rPr>
              <w:fldChar w:fldCharType="begin"/>
            </w:r>
            <w:r w:rsidR="00781F1D">
              <w:rPr>
                <w:noProof/>
                <w:webHidden/>
              </w:rPr>
              <w:instrText xml:space="preserve"> PAGEREF _Toc429151336 \h </w:instrText>
            </w:r>
            <w:r w:rsidR="00781F1D">
              <w:rPr>
                <w:noProof/>
                <w:webHidden/>
              </w:rPr>
            </w:r>
            <w:r w:rsidR="00781F1D">
              <w:rPr>
                <w:noProof/>
                <w:webHidden/>
              </w:rPr>
              <w:fldChar w:fldCharType="separate"/>
            </w:r>
            <w:r w:rsidR="007C4502">
              <w:rPr>
                <w:noProof/>
                <w:webHidden/>
              </w:rPr>
              <w:t>53</w:t>
            </w:r>
            <w:r w:rsidR="00781F1D">
              <w:rPr>
                <w:noProof/>
                <w:webHidden/>
              </w:rPr>
              <w:fldChar w:fldCharType="end"/>
            </w:r>
          </w:hyperlink>
        </w:p>
        <w:p w14:paraId="1AEFA224" w14:textId="77777777" w:rsidR="00781F1D" w:rsidRDefault="00B65569">
          <w:pPr>
            <w:pStyle w:val="TOC2"/>
            <w:tabs>
              <w:tab w:val="left" w:pos="1100"/>
              <w:tab w:val="right" w:leader="dot" w:pos="9571"/>
            </w:tabs>
            <w:rPr>
              <w:rFonts w:eastAsiaTheme="minorEastAsia"/>
              <w:noProof/>
              <w:sz w:val="22"/>
              <w:lang w:eastAsia="en-GB"/>
            </w:rPr>
          </w:pPr>
          <w:hyperlink w:anchor="_Toc429151337" w:history="1">
            <w:r w:rsidR="00781F1D" w:rsidRPr="00F95F9A">
              <w:rPr>
                <w:rStyle w:val="Hyperlink"/>
                <w:noProof/>
              </w:rPr>
              <w:t>5.13</w:t>
            </w:r>
            <w:r w:rsidR="00781F1D">
              <w:rPr>
                <w:rFonts w:eastAsiaTheme="minorEastAsia"/>
                <w:noProof/>
                <w:sz w:val="22"/>
                <w:lang w:eastAsia="en-GB"/>
              </w:rPr>
              <w:tab/>
            </w:r>
            <w:r w:rsidR="00781F1D" w:rsidRPr="00F95F9A">
              <w:rPr>
                <w:rStyle w:val="Hyperlink"/>
                <w:noProof/>
              </w:rPr>
              <w:t xml:space="preserve"> HE progression and mode of study</w:t>
            </w:r>
            <w:r w:rsidR="00781F1D">
              <w:rPr>
                <w:noProof/>
                <w:webHidden/>
              </w:rPr>
              <w:tab/>
            </w:r>
            <w:r w:rsidR="00781F1D">
              <w:rPr>
                <w:noProof/>
                <w:webHidden/>
              </w:rPr>
              <w:fldChar w:fldCharType="begin"/>
            </w:r>
            <w:r w:rsidR="00781F1D">
              <w:rPr>
                <w:noProof/>
                <w:webHidden/>
              </w:rPr>
              <w:instrText xml:space="preserve"> PAGEREF _Toc429151337 \h </w:instrText>
            </w:r>
            <w:r w:rsidR="00781F1D">
              <w:rPr>
                <w:noProof/>
                <w:webHidden/>
              </w:rPr>
            </w:r>
            <w:r w:rsidR="00781F1D">
              <w:rPr>
                <w:noProof/>
                <w:webHidden/>
              </w:rPr>
              <w:fldChar w:fldCharType="separate"/>
            </w:r>
            <w:r w:rsidR="007C4502">
              <w:rPr>
                <w:noProof/>
                <w:webHidden/>
              </w:rPr>
              <w:t>53</w:t>
            </w:r>
            <w:r w:rsidR="00781F1D">
              <w:rPr>
                <w:noProof/>
                <w:webHidden/>
              </w:rPr>
              <w:fldChar w:fldCharType="end"/>
            </w:r>
          </w:hyperlink>
        </w:p>
        <w:p w14:paraId="762C007D" w14:textId="77777777" w:rsidR="00781F1D" w:rsidRDefault="00B65569">
          <w:pPr>
            <w:pStyle w:val="TOC2"/>
            <w:tabs>
              <w:tab w:val="left" w:pos="1100"/>
              <w:tab w:val="right" w:leader="dot" w:pos="9571"/>
            </w:tabs>
            <w:rPr>
              <w:rFonts w:eastAsiaTheme="minorEastAsia"/>
              <w:noProof/>
              <w:sz w:val="22"/>
              <w:lang w:eastAsia="en-GB"/>
            </w:rPr>
          </w:pPr>
          <w:hyperlink w:anchor="_Toc429151338" w:history="1">
            <w:r w:rsidR="00781F1D" w:rsidRPr="00F95F9A">
              <w:rPr>
                <w:rStyle w:val="Hyperlink"/>
                <w:noProof/>
              </w:rPr>
              <w:t>5.14</w:t>
            </w:r>
            <w:r w:rsidR="00781F1D">
              <w:rPr>
                <w:rFonts w:eastAsiaTheme="minorEastAsia"/>
                <w:noProof/>
                <w:sz w:val="22"/>
                <w:lang w:eastAsia="en-GB"/>
              </w:rPr>
              <w:tab/>
            </w:r>
            <w:r w:rsidR="00781F1D" w:rsidRPr="00F95F9A">
              <w:rPr>
                <w:rStyle w:val="Hyperlink"/>
                <w:noProof/>
              </w:rPr>
              <w:t xml:space="preserve"> HE progression by London borough</w:t>
            </w:r>
            <w:r w:rsidR="00781F1D">
              <w:rPr>
                <w:noProof/>
                <w:webHidden/>
              </w:rPr>
              <w:tab/>
            </w:r>
            <w:r w:rsidR="00781F1D">
              <w:rPr>
                <w:noProof/>
                <w:webHidden/>
              </w:rPr>
              <w:fldChar w:fldCharType="begin"/>
            </w:r>
            <w:r w:rsidR="00781F1D">
              <w:rPr>
                <w:noProof/>
                <w:webHidden/>
              </w:rPr>
              <w:instrText xml:space="preserve"> PAGEREF _Toc429151338 \h </w:instrText>
            </w:r>
            <w:r w:rsidR="00781F1D">
              <w:rPr>
                <w:noProof/>
                <w:webHidden/>
              </w:rPr>
            </w:r>
            <w:r w:rsidR="00781F1D">
              <w:rPr>
                <w:noProof/>
                <w:webHidden/>
              </w:rPr>
              <w:fldChar w:fldCharType="separate"/>
            </w:r>
            <w:r w:rsidR="007C4502">
              <w:rPr>
                <w:noProof/>
                <w:webHidden/>
              </w:rPr>
              <w:t>55</w:t>
            </w:r>
            <w:r w:rsidR="00781F1D">
              <w:rPr>
                <w:noProof/>
                <w:webHidden/>
              </w:rPr>
              <w:fldChar w:fldCharType="end"/>
            </w:r>
          </w:hyperlink>
        </w:p>
        <w:p w14:paraId="111BAB35" w14:textId="77777777" w:rsidR="00781F1D" w:rsidRDefault="00B65569">
          <w:pPr>
            <w:pStyle w:val="TOC2"/>
            <w:tabs>
              <w:tab w:val="left" w:pos="1100"/>
              <w:tab w:val="right" w:leader="dot" w:pos="9571"/>
            </w:tabs>
            <w:rPr>
              <w:rFonts w:eastAsiaTheme="minorEastAsia"/>
              <w:noProof/>
              <w:sz w:val="22"/>
              <w:lang w:eastAsia="en-GB"/>
            </w:rPr>
          </w:pPr>
          <w:hyperlink w:anchor="_Toc429151339" w:history="1">
            <w:r w:rsidR="00781F1D" w:rsidRPr="00F95F9A">
              <w:rPr>
                <w:rStyle w:val="Hyperlink"/>
                <w:noProof/>
              </w:rPr>
              <w:t>5.15.</w:t>
            </w:r>
            <w:r w:rsidR="00781F1D">
              <w:rPr>
                <w:rFonts w:eastAsiaTheme="minorEastAsia"/>
                <w:noProof/>
                <w:sz w:val="22"/>
                <w:lang w:eastAsia="en-GB"/>
              </w:rPr>
              <w:tab/>
            </w:r>
            <w:r w:rsidR="00781F1D" w:rsidRPr="00F95F9A">
              <w:rPr>
                <w:rStyle w:val="Hyperlink"/>
                <w:noProof/>
              </w:rPr>
              <w:t>Breakdown of HE progression by ethnic grouping</w:t>
            </w:r>
            <w:r w:rsidR="00781F1D">
              <w:rPr>
                <w:noProof/>
                <w:webHidden/>
              </w:rPr>
              <w:tab/>
            </w:r>
            <w:r w:rsidR="00781F1D">
              <w:rPr>
                <w:noProof/>
                <w:webHidden/>
              </w:rPr>
              <w:fldChar w:fldCharType="begin"/>
            </w:r>
            <w:r w:rsidR="00781F1D">
              <w:rPr>
                <w:noProof/>
                <w:webHidden/>
              </w:rPr>
              <w:instrText xml:space="preserve"> PAGEREF _Toc429151339 \h </w:instrText>
            </w:r>
            <w:r w:rsidR="00781F1D">
              <w:rPr>
                <w:noProof/>
                <w:webHidden/>
              </w:rPr>
            </w:r>
            <w:r w:rsidR="00781F1D">
              <w:rPr>
                <w:noProof/>
                <w:webHidden/>
              </w:rPr>
              <w:fldChar w:fldCharType="separate"/>
            </w:r>
            <w:r w:rsidR="007C4502">
              <w:rPr>
                <w:noProof/>
                <w:webHidden/>
              </w:rPr>
              <w:t>56</w:t>
            </w:r>
            <w:r w:rsidR="00781F1D">
              <w:rPr>
                <w:noProof/>
                <w:webHidden/>
              </w:rPr>
              <w:fldChar w:fldCharType="end"/>
            </w:r>
          </w:hyperlink>
        </w:p>
        <w:p w14:paraId="6D83C407" w14:textId="77777777" w:rsidR="00781F1D" w:rsidRDefault="00B65569">
          <w:pPr>
            <w:pStyle w:val="TOC2"/>
            <w:tabs>
              <w:tab w:val="left" w:pos="1100"/>
              <w:tab w:val="right" w:leader="dot" w:pos="9571"/>
            </w:tabs>
            <w:rPr>
              <w:rFonts w:eastAsiaTheme="minorEastAsia"/>
              <w:noProof/>
              <w:sz w:val="22"/>
              <w:lang w:eastAsia="en-GB"/>
            </w:rPr>
          </w:pPr>
          <w:hyperlink w:anchor="_Toc429151340" w:history="1">
            <w:r w:rsidR="00781F1D" w:rsidRPr="00F95F9A">
              <w:rPr>
                <w:rStyle w:val="Hyperlink"/>
                <w:noProof/>
              </w:rPr>
              <w:t>5.16</w:t>
            </w:r>
            <w:r w:rsidR="00781F1D">
              <w:rPr>
                <w:rFonts w:eastAsiaTheme="minorEastAsia"/>
                <w:noProof/>
                <w:sz w:val="22"/>
                <w:lang w:eastAsia="en-GB"/>
              </w:rPr>
              <w:tab/>
            </w:r>
            <w:r w:rsidR="00781F1D" w:rsidRPr="00F95F9A">
              <w:rPr>
                <w:rStyle w:val="Hyperlink"/>
                <w:noProof/>
              </w:rPr>
              <w:t xml:space="preserve"> HE progression by ethnic background and age</w:t>
            </w:r>
            <w:r w:rsidR="00781F1D">
              <w:rPr>
                <w:noProof/>
                <w:webHidden/>
              </w:rPr>
              <w:tab/>
            </w:r>
            <w:r w:rsidR="00781F1D">
              <w:rPr>
                <w:noProof/>
                <w:webHidden/>
              </w:rPr>
              <w:fldChar w:fldCharType="begin"/>
            </w:r>
            <w:r w:rsidR="00781F1D">
              <w:rPr>
                <w:noProof/>
                <w:webHidden/>
              </w:rPr>
              <w:instrText xml:space="preserve"> PAGEREF _Toc429151340 \h </w:instrText>
            </w:r>
            <w:r w:rsidR="00781F1D">
              <w:rPr>
                <w:noProof/>
                <w:webHidden/>
              </w:rPr>
            </w:r>
            <w:r w:rsidR="00781F1D">
              <w:rPr>
                <w:noProof/>
                <w:webHidden/>
              </w:rPr>
              <w:fldChar w:fldCharType="separate"/>
            </w:r>
            <w:r w:rsidR="007C4502">
              <w:rPr>
                <w:noProof/>
                <w:webHidden/>
              </w:rPr>
              <w:t>57</w:t>
            </w:r>
            <w:r w:rsidR="00781F1D">
              <w:rPr>
                <w:noProof/>
                <w:webHidden/>
              </w:rPr>
              <w:fldChar w:fldCharType="end"/>
            </w:r>
          </w:hyperlink>
        </w:p>
        <w:p w14:paraId="73042E16" w14:textId="77777777" w:rsidR="00781F1D" w:rsidRDefault="00B65569">
          <w:pPr>
            <w:pStyle w:val="TOC2"/>
            <w:tabs>
              <w:tab w:val="left" w:pos="1100"/>
              <w:tab w:val="right" w:leader="dot" w:pos="9571"/>
            </w:tabs>
            <w:rPr>
              <w:rFonts w:eastAsiaTheme="minorEastAsia"/>
              <w:noProof/>
              <w:sz w:val="22"/>
              <w:lang w:eastAsia="en-GB"/>
            </w:rPr>
          </w:pPr>
          <w:hyperlink w:anchor="_Toc429151341" w:history="1">
            <w:r w:rsidR="00781F1D" w:rsidRPr="00F95F9A">
              <w:rPr>
                <w:rStyle w:val="Hyperlink"/>
                <w:noProof/>
              </w:rPr>
              <w:t>5.17</w:t>
            </w:r>
            <w:r w:rsidR="00781F1D">
              <w:rPr>
                <w:rFonts w:eastAsiaTheme="minorEastAsia"/>
                <w:noProof/>
                <w:sz w:val="22"/>
                <w:lang w:eastAsia="en-GB"/>
              </w:rPr>
              <w:tab/>
            </w:r>
            <w:r w:rsidR="00781F1D" w:rsidRPr="00F95F9A">
              <w:rPr>
                <w:rStyle w:val="Hyperlink"/>
                <w:noProof/>
              </w:rPr>
              <w:t xml:space="preserve"> HE progression by ethnic group, age and qualification</w:t>
            </w:r>
            <w:r w:rsidR="00781F1D">
              <w:rPr>
                <w:noProof/>
                <w:webHidden/>
              </w:rPr>
              <w:tab/>
            </w:r>
            <w:r w:rsidR="00781F1D">
              <w:rPr>
                <w:noProof/>
                <w:webHidden/>
              </w:rPr>
              <w:fldChar w:fldCharType="begin"/>
            </w:r>
            <w:r w:rsidR="00781F1D">
              <w:rPr>
                <w:noProof/>
                <w:webHidden/>
              </w:rPr>
              <w:instrText xml:space="preserve"> PAGEREF _Toc429151341 \h </w:instrText>
            </w:r>
            <w:r w:rsidR="00781F1D">
              <w:rPr>
                <w:noProof/>
                <w:webHidden/>
              </w:rPr>
            </w:r>
            <w:r w:rsidR="00781F1D">
              <w:rPr>
                <w:noProof/>
                <w:webHidden/>
              </w:rPr>
              <w:fldChar w:fldCharType="separate"/>
            </w:r>
            <w:r w:rsidR="007C4502">
              <w:rPr>
                <w:noProof/>
                <w:webHidden/>
              </w:rPr>
              <w:t>58</w:t>
            </w:r>
            <w:r w:rsidR="00781F1D">
              <w:rPr>
                <w:noProof/>
                <w:webHidden/>
              </w:rPr>
              <w:fldChar w:fldCharType="end"/>
            </w:r>
          </w:hyperlink>
        </w:p>
        <w:p w14:paraId="0268F16A" w14:textId="77777777" w:rsidR="00781F1D" w:rsidRDefault="00B65569">
          <w:pPr>
            <w:pStyle w:val="TOC2"/>
            <w:tabs>
              <w:tab w:val="left" w:pos="1100"/>
              <w:tab w:val="right" w:leader="dot" w:pos="9571"/>
            </w:tabs>
            <w:rPr>
              <w:rFonts w:eastAsiaTheme="minorEastAsia"/>
              <w:noProof/>
              <w:sz w:val="22"/>
              <w:lang w:eastAsia="en-GB"/>
            </w:rPr>
          </w:pPr>
          <w:hyperlink w:anchor="_Toc429151342" w:history="1">
            <w:r w:rsidR="00781F1D" w:rsidRPr="00F95F9A">
              <w:rPr>
                <w:rStyle w:val="Hyperlink"/>
                <w:noProof/>
              </w:rPr>
              <w:t>5.18</w:t>
            </w:r>
            <w:r w:rsidR="00781F1D">
              <w:rPr>
                <w:rFonts w:eastAsiaTheme="minorEastAsia"/>
                <w:noProof/>
                <w:sz w:val="22"/>
                <w:lang w:eastAsia="en-GB"/>
              </w:rPr>
              <w:tab/>
            </w:r>
            <w:r w:rsidR="00781F1D" w:rsidRPr="00F95F9A">
              <w:rPr>
                <w:rStyle w:val="Hyperlink"/>
                <w:noProof/>
              </w:rPr>
              <w:t xml:space="preserve"> HE progression rates by POLAR3 quintile</w:t>
            </w:r>
            <w:r w:rsidR="00781F1D">
              <w:rPr>
                <w:noProof/>
                <w:webHidden/>
              </w:rPr>
              <w:tab/>
            </w:r>
            <w:r w:rsidR="00781F1D">
              <w:rPr>
                <w:noProof/>
                <w:webHidden/>
              </w:rPr>
              <w:fldChar w:fldCharType="begin"/>
            </w:r>
            <w:r w:rsidR="00781F1D">
              <w:rPr>
                <w:noProof/>
                <w:webHidden/>
              </w:rPr>
              <w:instrText xml:space="preserve"> PAGEREF _Toc429151342 \h </w:instrText>
            </w:r>
            <w:r w:rsidR="00781F1D">
              <w:rPr>
                <w:noProof/>
                <w:webHidden/>
              </w:rPr>
            </w:r>
            <w:r w:rsidR="00781F1D">
              <w:rPr>
                <w:noProof/>
                <w:webHidden/>
              </w:rPr>
              <w:fldChar w:fldCharType="separate"/>
            </w:r>
            <w:r w:rsidR="007C4502">
              <w:rPr>
                <w:noProof/>
                <w:webHidden/>
              </w:rPr>
              <w:t>59</w:t>
            </w:r>
            <w:r w:rsidR="00781F1D">
              <w:rPr>
                <w:noProof/>
                <w:webHidden/>
              </w:rPr>
              <w:fldChar w:fldCharType="end"/>
            </w:r>
          </w:hyperlink>
        </w:p>
        <w:p w14:paraId="0F0226E2" w14:textId="77777777" w:rsidR="00781F1D" w:rsidRDefault="00B65569">
          <w:pPr>
            <w:pStyle w:val="TOC2"/>
            <w:tabs>
              <w:tab w:val="left" w:pos="1100"/>
              <w:tab w:val="right" w:leader="dot" w:pos="9571"/>
            </w:tabs>
            <w:rPr>
              <w:rFonts w:eastAsiaTheme="minorEastAsia"/>
              <w:noProof/>
              <w:sz w:val="22"/>
              <w:lang w:eastAsia="en-GB"/>
            </w:rPr>
          </w:pPr>
          <w:hyperlink w:anchor="_Toc429151343" w:history="1">
            <w:r w:rsidR="00781F1D" w:rsidRPr="00F95F9A">
              <w:rPr>
                <w:rStyle w:val="Hyperlink"/>
                <w:noProof/>
              </w:rPr>
              <w:t>5.19</w:t>
            </w:r>
            <w:r w:rsidR="00781F1D">
              <w:rPr>
                <w:rFonts w:eastAsiaTheme="minorEastAsia"/>
                <w:noProof/>
                <w:sz w:val="22"/>
                <w:lang w:eastAsia="en-GB"/>
              </w:rPr>
              <w:tab/>
            </w:r>
            <w:r w:rsidR="00781F1D" w:rsidRPr="00F95F9A">
              <w:rPr>
                <w:rStyle w:val="Hyperlink"/>
                <w:noProof/>
              </w:rPr>
              <w:t xml:space="preserve"> HE progression rates by IDACI quintile</w:t>
            </w:r>
            <w:r w:rsidR="00781F1D">
              <w:rPr>
                <w:noProof/>
                <w:webHidden/>
              </w:rPr>
              <w:tab/>
            </w:r>
            <w:r w:rsidR="00781F1D">
              <w:rPr>
                <w:noProof/>
                <w:webHidden/>
              </w:rPr>
              <w:fldChar w:fldCharType="begin"/>
            </w:r>
            <w:r w:rsidR="00781F1D">
              <w:rPr>
                <w:noProof/>
                <w:webHidden/>
              </w:rPr>
              <w:instrText xml:space="preserve"> PAGEREF _Toc429151343 \h </w:instrText>
            </w:r>
            <w:r w:rsidR="00781F1D">
              <w:rPr>
                <w:noProof/>
                <w:webHidden/>
              </w:rPr>
            </w:r>
            <w:r w:rsidR="00781F1D">
              <w:rPr>
                <w:noProof/>
                <w:webHidden/>
              </w:rPr>
              <w:fldChar w:fldCharType="separate"/>
            </w:r>
            <w:r w:rsidR="007C4502">
              <w:rPr>
                <w:noProof/>
                <w:webHidden/>
              </w:rPr>
              <w:t>60</w:t>
            </w:r>
            <w:r w:rsidR="00781F1D">
              <w:rPr>
                <w:noProof/>
                <w:webHidden/>
              </w:rPr>
              <w:fldChar w:fldCharType="end"/>
            </w:r>
          </w:hyperlink>
        </w:p>
        <w:p w14:paraId="609A687F" w14:textId="77777777" w:rsidR="00781F1D" w:rsidRDefault="00B65569">
          <w:pPr>
            <w:pStyle w:val="TOC2"/>
            <w:tabs>
              <w:tab w:val="left" w:pos="1100"/>
              <w:tab w:val="right" w:leader="dot" w:pos="9571"/>
            </w:tabs>
            <w:rPr>
              <w:rFonts w:eastAsiaTheme="minorEastAsia"/>
              <w:noProof/>
              <w:sz w:val="22"/>
              <w:lang w:eastAsia="en-GB"/>
            </w:rPr>
          </w:pPr>
          <w:hyperlink w:anchor="_Toc429151344" w:history="1">
            <w:r w:rsidR="00781F1D" w:rsidRPr="00F95F9A">
              <w:rPr>
                <w:rStyle w:val="Hyperlink"/>
                <w:noProof/>
              </w:rPr>
              <w:t>5.20</w:t>
            </w:r>
            <w:r w:rsidR="00781F1D">
              <w:rPr>
                <w:rFonts w:eastAsiaTheme="minorEastAsia"/>
                <w:noProof/>
                <w:sz w:val="22"/>
                <w:lang w:eastAsia="en-GB"/>
              </w:rPr>
              <w:tab/>
            </w:r>
            <w:r w:rsidR="00781F1D" w:rsidRPr="00F95F9A">
              <w:rPr>
                <w:rStyle w:val="Hyperlink"/>
                <w:noProof/>
              </w:rPr>
              <w:t xml:space="preserve"> HE providers</w:t>
            </w:r>
            <w:r w:rsidR="00781F1D">
              <w:rPr>
                <w:noProof/>
                <w:webHidden/>
              </w:rPr>
              <w:tab/>
            </w:r>
            <w:r w:rsidR="00781F1D">
              <w:rPr>
                <w:noProof/>
                <w:webHidden/>
              </w:rPr>
              <w:fldChar w:fldCharType="begin"/>
            </w:r>
            <w:r w:rsidR="00781F1D">
              <w:rPr>
                <w:noProof/>
                <w:webHidden/>
              </w:rPr>
              <w:instrText xml:space="preserve"> PAGEREF _Toc429151344 \h </w:instrText>
            </w:r>
            <w:r w:rsidR="00781F1D">
              <w:rPr>
                <w:noProof/>
                <w:webHidden/>
              </w:rPr>
            </w:r>
            <w:r w:rsidR="00781F1D">
              <w:rPr>
                <w:noProof/>
                <w:webHidden/>
              </w:rPr>
              <w:fldChar w:fldCharType="separate"/>
            </w:r>
            <w:r w:rsidR="007C4502">
              <w:rPr>
                <w:noProof/>
                <w:webHidden/>
              </w:rPr>
              <w:t>60</w:t>
            </w:r>
            <w:r w:rsidR="00781F1D">
              <w:rPr>
                <w:noProof/>
                <w:webHidden/>
              </w:rPr>
              <w:fldChar w:fldCharType="end"/>
            </w:r>
          </w:hyperlink>
        </w:p>
        <w:p w14:paraId="1EA7AA0E" w14:textId="77777777" w:rsidR="00781F1D" w:rsidRDefault="00B65569">
          <w:pPr>
            <w:pStyle w:val="TOC1"/>
            <w:rPr>
              <w:rFonts w:eastAsiaTheme="minorEastAsia"/>
              <w:b w:val="0"/>
              <w:sz w:val="22"/>
              <w:lang w:eastAsia="en-GB"/>
            </w:rPr>
          </w:pPr>
          <w:hyperlink w:anchor="_Toc429151345" w:history="1">
            <w:r w:rsidR="00781F1D" w:rsidRPr="00F95F9A">
              <w:rPr>
                <w:rStyle w:val="Hyperlink"/>
              </w:rPr>
              <w:t xml:space="preserve">6. </w:t>
            </w:r>
            <w:r w:rsidR="00781F1D">
              <w:rPr>
                <w:rFonts w:eastAsiaTheme="minorEastAsia"/>
                <w:b w:val="0"/>
                <w:sz w:val="22"/>
                <w:lang w:eastAsia="en-GB"/>
              </w:rPr>
              <w:tab/>
            </w:r>
            <w:r w:rsidR="00781F1D" w:rsidRPr="00F95F9A">
              <w:rPr>
                <w:rStyle w:val="Hyperlink"/>
              </w:rPr>
              <w:t>HE success rates of London FE and Sixth Form College students</w:t>
            </w:r>
            <w:r w:rsidR="00781F1D">
              <w:rPr>
                <w:webHidden/>
              </w:rPr>
              <w:tab/>
            </w:r>
            <w:r w:rsidR="00781F1D">
              <w:rPr>
                <w:webHidden/>
              </w:rPr>
              <w:fldChar w:fldCharType="begin"/>
            </w:r>
            <w:r w:rsidR="00781F1D">
              <w:rPr>
                <w:webHidden/>
              </w:rPr>
              <w:instrText xml:space="preserve"> PAGEREF _Toc429151345 \h </w:instrText>
            </w:r>
            <w:r w:rsidR="00781F1D">
              <w:rPr>
                <w:webHidden/>
              </w:rPr>
            </w:r>
            <w:r w:rsidR="00781F1D">
              <w:rPr>
                <w:webHidden/>
              </w:rPr>
              <w:fldChar w:fldCharType="separate"/>
            </w:r>
            <w:r w:rsidR="007C4502">
              <w:rPr>
                <w:webHidden/>
              </w:rPr>
              <w:t>63</w:t>
            </w:r>
            <w:r w:rsidR="00781F1D">
              <w:rPr>
                <w:webHidden/>
              </w:rPr>
              <w:fldChar w:fldCharType="end"/>
            </w:r>
          </w:hyperlink>
        </w:p>
        <w:p w14:paraId="21338D5D" w14:textId="77777777" w:rsidR="00781F1D" w:rsidRDefault="00B65569">
          <w:pPr>
            <w:pStyle w:val="TOC2"/>
            <w:tabs>
              <w:tab w:val="left" w:pos="880"/>
              <w:tab w:val="right" w:leader="dot" w:pos="9571"/>
            </w:tabs>
            <w:rPr>
              <w:rFonts w:eastAsiaTheme="minorEastAsia"/>
              <w:noProof/>
              <w:sz w:val="22"/>
              <w:lang w:eastAsia="en-GB"/>
            </w:rPr>
          </w:pPr>
          <w:hyperlink w:anchor="_Toc429151346" w:history="1">
            <w:r w:rsidR="00781F1D" w:rsidRPr="00F95F9A">
              <w:rPr>
                <w:rStyle w:val="Hyperlink"/>
                <w:noProof/>
              </w:rPr>
              <w:t>6.1</w:t>
            </w:r>
            <w:r w:rsidR="00781F1D">
              <w:rPr>
                <w:rFonts w:eastAsiaTheme="minorEastAsia"/>
                <w:noProof/>
                <w:sz w:val="22"/>
                <w:lang w:eastAsia="en-GB"/>
              </w:rPr>
              <w:tab/>
            </w:r>
            <w:r w:rsidR="00781F1D" w:rsidRPr="00F95F9A">
              <w:rPr>
                <w:rStyle w:val="Hyperlink"/>
                <w:noProof/>
              </w:rPr>
              <w:t>HE achievement of first degrees</w:t>
            </w:r>
            <w:r w:rsidR="00781F1D">
              <w:rPr>
                <w:noProof/>
                <w:webHidden/>
              </w:rPr>
              <w:tab/>
            </w:r>
            <w:r w:rsidR="00781F1D">
              <w:rPr>
                <w:noProof/>
                <w:webHidden/>
              </w:rPr>
              <w:fldChar w:fldCharType="begin"/>
            </w:r>
            <w:r w:rsidR="00781F1D">
              <w:rPr>
                <w:noProof/>
                <w:webHidden/>
              </w:rPr>
              <w:instrText xml:space="preserve"> PAGEREF _Toc429151346 \h </w:instrText>
            </w:r>
            <w:r w:rsidR="00781F1D">
              <w:rPr>
                <w:noProof/>
                <w:webHidden/>
              </w:rPr>
            </w:r>
            <w:r w:rsidR="00781F1D">
              <w:rPr>
                <w:noProof/>
                <w:webHidden/>
              </w:rPr>
              <w:fldChar w:fldCharType="separate"/>
            </w:r>
            <w:r w:rsidR="007C4502">
              <w:rPr>
                <w:noProof/>
                <w:webHidden/>
              </w:rPr>
              <w:t>63</w:t>
            </w:r>
            <w:r w:rsidR="00781F1D">
              <w:rPr>
                <w:noProof/>
                <w:webHidden/>
              </w:rPr>
              <w:fldChar w:fldCharType="end"/>
            </w:r>
          </w:hyperlink>
        </w:p>
        <w:p w14:paraId="51C2FE0E" w14:textId="77777777" w:rsidR="00781F1D" w:rsidRDefault="00B65569">
          <w:pPr>
            <w:pStyle w:val="TOC2"/>
            <w:tabs>
              <w:tab w:val="left" w:pos="880"/>
              <w:tab w:val="right" w:leader="dot" w:pos="9571"/>
            </w:tabs>
            <w:rPr>
              <w:rFonts w:eastAsiaTheme="minorEastAsia"/>
              <w:noProof/>
              <w:sz w:val="22"/>
              <w:lang w:eastAsia="en-GB"/>
            </w:rPr>
          </w:pPr>
          <w:hyperlink w:anchor="_Toc429151347" w:history="1">
            <w:r w:rsidR="00781F1D" w:rsidRPr="00F95F9A">
              <w:rPr>
                <w:rStyle w:val="Hyperlink"/>
                <w:noProof/>
              </w:rPr>
              <w:t>6.2</w:t>
            </w:r>
            <w:r w:rsidR="00781F1D">
              <w:rPr>
                <w:rFonts w:eastAsiaTheme="minorEastAsia"/>
                <w:noProof/>
                <w:sz w:val="22"/>
                <w:lang w:eastAsia="en-GB"/>
              </w:rPr>
              <w:tab/>
            </w:r>
            <w:r w:rsidR="00781F1D" w:rsidRPr="00F95F9A">
              <w:rPr>
                <w:rStyle w:val="Hyperlink"/>
                <w:noProof/>
              </w:rPr>
              <w:t>Classification of first degrees</w:t>
            </w:r>
            <w:r w:rsidR="00781F1D">
              <w:rPr>
                <w:noProof/>
                <w:webHidden/>
              </w:rPr>
              <w:tab/>
            </w:r>
            <w:r w:rsidR="00781F1D">
              <w:rPr>
                <w:noProof/>
                <w:webHidden/>
              </w:rPr>
              <w:fldChar w:fldCharType="begin"/>
            </w:r>
            <w:r w:rsidR="00781F1D">
              <w:rPr>
                <w:noProof/>
                <w:webHidden/>
              </w:rPr>
              <w:instrText xml:space="preserve"> PAGEREF _Toc429151347 \h </w:instrText>
            </w:r>
            <w:r w:rsidR="00781F1D">
              <w:rPr>
                <w:noProof/>
                <w:webHidden/>
              </w:rPr>
            </w:r>
            <w:r w:rsidR="00781F1D">
              <w:rPr>
                <w:noProof/>
                <w:webHidden/>
              </w:rPr>
              <w:fldChar w:fldCharType="separate"/>
            </w:r>
            <w:r w:rsidR="007C4502">
              <w:rPr>
                <w:noProof/>
                <w:webHidden/>
              </w:rPr>
              <w:t>64</w:t>
            </w:r>
            <w:r w:rsidR="00781F1D">
              <w:rPr>
                <w:noProof/>
                <w:webHidden/>
              </w:rPr>
              <w:fldChar w:fldCharType="end"/>
            </w:r>
          </w:hyperlink>
        </w:p>
        <w:p w14:paraId="40992DB0" w14:textId="77777777" w:rsidR="00781F1D" w:rsidRDefault="00B65569">
          <w:pPr>
            <w:pStyle w:val="TOC1"/>
            <w:rPr>
              <w:rFonts w:eastAsiaTheme="minorEastAsia"/>
              <w:b w:val="0"/>
              <w:sz w:val="22"/>
              <w:lang w:eastAsia="en-GB"/>
            </w:rPr>
          </w:pPr>
          <w:hyperlink w:anchor="_Toc429151348" w:history="1">
            <w:r w:rsidR="00781F1D" w:rsidRPr="00F95F9A">
              <w:rPr>
                <w:rStyle w:val="Hyperlink"/>
              </w:rPr>
              <w:t>7.</w:t>
            </w:r>
            <w:r w:rsidR="00781F1D">
              <w:rPr>
                <w:rFonts w:eastAsiaTheme="minorEastAsia"/>
                <w:b w:val="0"/>
                <w:sz w:val="22"/>
                <w:lang w:eastAsia="en-GB"/>
              </w:rPr>
              <w:tab/>
            </w:r>
            <w:r w:rsidR="00781F1D" w:rsidRPr="00F95F9A">
              <w:rPr>
                <w:rStyle w:val="Hyperlink"/>
              </w:rPr>
              <w:t>Prior Attainment at Key Stage 4 in School</w:t>
            </w:r>
            <w:r w:rsidR="00781F1D">
              <w:rPr>
                <w:webHidden/>
              </w:rPr>
              <w:tab/>
            </w:r>
            <w:r w:rsidR="00781F1D">
              <w:rPr>
                <w:webHidden/>
              </w:rPr>
              <w:fldChar w:fldCharType="begin"/>
            </w:r>
            <w:r w:rsidR="00781F1D">
              <w:rPr>
                <w:webHidden/>
              </w:rPr>
              <w:instrText xml:space="preserve"> PAGEREF _Toc429151348 \h </w:instrText>
            </w:r>
            <w:r w:rsidR="00781F1D">
              <w:rPr>
                <w:webHidden/>
              </w:rPr>
            </w:r>
            <w:r w:rsidR="00781F1D">
              <w:rPr>
                <w:webHidden/>
              </w:rPr>
              <w:fldChar w:fldCharType="separate"/>
            </w:r>
            <w:r w:rsidR="007C4502">
              <w:rPr>
                <w:webHidden/>
              </w:rPr>
              <w:t>65</w:t>
            </w:r>
            <w:r w:rsidR="00781F1D">
              <w:rPr>
                <w:webHidden/>
              </w:rPr>
              <w:fldChar w:fldCharType="end"/>
            </w:r>
          </w:hyperlink>
        </w:p>
        <w:p w14:paraId="4F7A812B" w14:textId="77777777" w:rsidR="00781F1D" w:rsidRDefault="00B65569">
          <w:pPr>
            <w:pStyle w:val="TOC2"/>
            <w:tabs>
              <w:tab w:val="left" w:pos="880"/>
              <w:tab w:val="right" w:leader="dot" w:pos="9571"/>
            </w:tabs>
            <w:rPr>
              <w:rFonts w:eastAsiaTheme="minorEastAsia"/>
              <w:noProof/>
              <w:sz w:val="22"/>
              <w:lang w:eastAsia="en-GB"/>
            </w:rPr>
          </w:pPr>
          <w:hyperlink w:anchor="_Toc429151349" w:history="1">
            <w:r w:rsidR="00781F1D" w:rsidRPr="00F95F9A">
              <w:rPr>
                <w:rStyle w:val="Hyperlink"/>
                <w:noProof/>
              </w:rPr>
              <w:t>7.1</w:t>
            </w:r>
            <w:r w:rsidR="00781F1D">
              <w:rPr>
                <w:rFonts w:eastAsiaTheme="minorEastAsia"/>
                <w:noProof/>
                <w:sz w:val="22"/>
                <w:lang w:eastAsia="en-GB"/>
              </w:rPr>
              <w:tab/>
            </w:r>
            <w:r w:rsidR="00781F1D" w:rsidRPr="00F95F9A">
              <w:rPr>
                <w:rStyle w:val="Hyperlink"/>
                <w:noProof/>
              </w:rPr>
              <w:t>The significance of Key Stage 4 for progression</w:t>
            </w:r>
            <w:r w:rsidR="00781F1D">
              <w:rPr>
                <w:noProof/>
                <w:webHidden/>
              </w:rPr>
              <w:tab/>
            </w:r>
            <w:r w:rsidR="00781F1D">
              <w:rPr>
                <w:noProof/>
                <w:webHidden/>
              </w:rPr>
              <w:fldChar w:fldCharType="begin"/>
            </w:r>
            <w:r w:rsidR="00781F1D">
              <w:rPr>
                <w:noProof/>
                <w:webHidden/>
              </w:rPr>
              <w:instrText xml:space="preserve"> PAGEREF _Toc429151349 \h </w:instrText>
            </w:r>
            <w:r w:rsidR="00781F1D">
              <w:rPr>
                <w:noProof/>
                <w:webHidden/>
              </w:rPr>
            </w:r>
            <w:r w:rsidR="00781F1D">
              <w:rPr>
                <w:noProof/>
                <w:webHidden/>
              </w:rPr>
              <w:fldChar w:fldCharType="separate"/>
            </w:r>
            <w:r w:rsidR="007C4502">
              <w:rPr>
                <w:noProof/>
                <w:webHidden/>
              </w:rPr>
              <w:t>65</w:t>
            </w:r>
            <w:r w:rsidR="00781F1D">
              <w:rPr>
                <w:noProof/>
                <w:webHidden/>
              </w:rPr>
              <w:fldChar w:fldCharType="end"/>
            </w:r>
          </w:hyperlink>
        </w:p>
        <w:p w14:paraId="29BA2C5C" w14:textId="77777777" w:rsidR="00781F1D" w:rsidRDefault="00B65569">
          <w:pPr>
            <w:pStyle w:val="TOC2"/>
            <w:tabs>
              <w:tab w:val="left" w:pos="880"/>
              <w:tab w:val="right" w:leader="dot" w:pos="9571"/>
            </w:tabs>
            <w:rPr>
              <w:rFonts w:eastAsiaTheme="minorEastAsia"/>
              <w:noProof/>
              <w:sz w:val="22"/>
              <w:lang w:eastAsia="en-GB"/>
            </w:rPr>
          </w:pPr>
          <w:hyperlink w:anchor="_Toc429151350" w:history="1">
            <w:r w:rsidR="00781F1D" w:rsidRPr="00F95F9A">
              <w:rPr>
                <w:rStyle w:val="Hyperlink"/>
                <w:noProof/>
              </w:rPr>
              <w:t>7.2</w:t>
            </w:r>
            <w:r w:rsidR="00781F1D">
              <w:rPr>
                <w:rFonts w:eastAsiaTheme="minorEastAsia"/>
                <w:noProof/>
                <w:sz w:val="22"/>
                <w:lang w:eastAsia="en-GB"/>
              </w:rPr>
              <w:tab/>
            </w:r>
            <w:r w:rsidR="00781F1D" w:rsidRPr="00F95F9A">
              <w:rPr>
                <w:rStyle w:val="Hyperlink"/>
                <w:noProof/>
              </w:rPr>
              <w:t>Key Stage 4 attainment of the London college Level 3 cohort</w:t>
            </w:r>
            <w:r w:rsidR="00781F1D">
              <w:rPr>
                <w:noProof/>
                <w:webHidden/>
              </w:rPr>
              <w:tab/>
            </w:r>
            <w:r w:rsidR="00781F1D">
              <w:rPr>
                <w:noProof/>
                <w:webHidden/>
              </w:rPr>
              <w:fldChar w:fldCharType="begin"/>
            </w:r>
            <w:r w:rsidR="00781F1D">
              <w:rPr>
                <w:noProof/>
                <w:webHidden/>
              </w:rPr>
              <w:instrText xml:space="preserve"> PAGEREF _Toc429151350 \h </w:instrText>
            </w:r>
            <w:r w:rsidR="00781F1D">
              <w:rPr>
                <w:noProof/>
                <w:webHidden/>
              </w:rPr>
            </w:r>
            <w:r w:rsidR="00781F1D">
              <w:rPr>
                <w:noProof/>
                <w:webHidden/>
              </w:rPr>
              <w:fldChar w:fldCharType="separate"/>
            </w:r>
            <w:r w:rsidR="007C4502">
              <w:rPr>
                <w:noProof/>
                <w:webHidden/>
              </w:rPr>
              <w:t>66</w:t>
            </w:r>
            <w:r w:rsidR="00781F1D">
              <w:rPr>
                <w:noProof/>
                <w:webHidden/>
              </w:rPr>
              <w:fldChar w:fldCharType="end"/>
            </w:r>
          </w:hyperlink>
        </w:p>
        <w:p w14:paraId="664481D0" w14:textId="77777777" w:rsidR="00781F1D" w:rsidRDefault="00B65569">
          <w:pPr>
            <w:pStyle w:val="TOC2"/>
            <w:tabs>
              <w:tab w:val="left" w:pos="880"/>
              <w:tab w:val="right" w:leader="dot" w:pos="9571"/>
            </w:tabs>
            <w:rPr>
              <w:rFonts w:eastAsiaTheme="minorEastAsia"/>
              <w:noProof/>
              <w:sz w:val="22"/>
              <w:lang w:eastAsia="en-GB"/>
            </w:rPr>
          </w:pPr>
          <w:hyperlink w:anchor="_Toc429151351" w:history="1">
            <w:r w:rsidR="00781F1D" w:rsidRPr="00F95F9A">
              <w:rPr>
                <w:rStyle w:val="Hyperlink"/>
                <w:noProof/>
              </w:rPr>
              <w:t>7.3</w:t>
            </w:r>
            <w:r w:rsidR="00781F1D">
              <w:rPr>
                <w:rFonts w:eastAsiaTheme="minorEastAsia"/>
                <w:noProof/>
                <w:sz w:val="22"/>
                <w:lang w:eastAsia="en-GB"/>
              </w:rPr>
              <w:tab/>
            </w:r>
            <w:r w:rsidR="00781F1D" w:rsidRPr="00F95F9A">
              <w:rPr>
                <w:rStyle w:val="Hyperlink"/>
                <w:noProof/>
              </w:rPr>
              <w:t>Key Stage 4 attainment and HE progression</w:t>
            </w:r>
            <w:r w:rsidR="00781F1D">
              <w:rPr>
                <w:noProof/>
                <w:webHidden/>
              </w:rPr>
              <w:tab/>
            </w:r>
            <w:r w:rsidR="00781F1D">
              <w:rPr>
                <w:noProof/>
                <w:webHidden/>
              </w:rPr>
              <w:fldChar w:fldCharType="begin"/>
            </w:r>
            <w:r w:rsidR="00781F1D">
              <w:rPr>
                <w:noProof/>
                <w:webHidden/>
              </w:rPr>
              <w:instrText xml:space="preserve"> PAGEREF _Toc429151351 \h </w:instrText>
            </w:r>
            <w:r w:rsidR="00781F1D">
              <w:rPr>
                <w:noProof/>
                <w:webHidden/>
              </w:rPr>
            </w:r>
            <w:r w:rsidR="00781F1D">
              <w:rPr>
                <w:noProof/>
                <w:webHidden/>
              </w:rPr>
              <w:fldChar w:fldCharType="separate"/>
            </w:r>
            <w:r w:rsidR="007C4502">
              <w:rPr>
                <w:noProof/>
                <w:webHidden/>
              </w:rPr>
              <w:t>68</w:t>
            </w:r>
            <w:r w:rsidR="00781F1D">
              <w:rPr>
                <w:noProof/>
                <w:webHidden/>
              </w:rPr>
              <w:fldChar w:fldCharType="end"/>
            </w:r>
          </w:hyperlink>
        </w:p>
        <w:p w14:paraId="6D34F1D6" w14:textId="77777777" w:rsidR="00781F1D" w:rsidRDefault="00B65569">
          <w:pPr>
            <w:pStyle w:val="TOC2"/>
            <w:tabs>
              <w:tab w:val="left" w:pos="880"/>
              <w:tab w:val="right" w:leader="dot" w:pos="9571"/>
            </w:tabs>
            <w:rPr>
              <w:rFonts w:eastAsiaTheme="minorEastAsia"/>
              <w:noProof/>
              <w:sz w:val="22"/>
              <w:lang w:eastAsia="en-GB"/>
            </w:rPr>
          </w:pPr>
          <w:hyperlink w:anchor="_Toc429151352" w:history="1">
            <w:r w:rsidR="00781F1D" w:rsidRPr="00F95F9A">
              <w:rPr>
                <w:rStyle w:val="Hyperlink"/>
                <w:noProof/>
              </w:rPr>
              <w:t>7.4</w:t>
            </w:r>
            <w:r w:rsidR="00781F1D">
              <w:rPr>
                <w:rFonts w:eastAsiaTheme="minorEastAsia"/>
                <w:noProof/>
                <w:sz w:val="22"/>
                <w:lang w:eastAsia="en-GB"/>
              </w:rPr>
              <w:tab/>
            </w:r>
            <w:r w:rsidR="00781F1D" w:rsidRPr="00F95F9A">
              <w:rPr>
                <w:rStyle w:val="Hyperlink"/>
                <w:noProof/>
              </w:rPr>
              <w:t>HE achievement related to Key Stage 4 attainment</w:t>
            </w:r>
            <w:r w:rsidR="00781F1D">
              <w:rPr>
                <w:noProof/>
                <w:webHidden/>
              </w:rPr>
              <w:tab/>
            </w:r>
            <w:r w:rsidR="00781F1D">
              <w:rPr>
                <w:noProof/>
                <w:webHidden/>
              </w:rPr>
              <w:fldChar w:fldCharType="begin"/>
            </w:r>
            <w:r w:rsidR="00781F1D">
              <w:rPr>
                <w:noProof/>
                <w:webHidden/>
              </w:rPr>
              <w:instrText xml:space="preserve"> PAGEREF _Toc429151352 \h </w:instrText>
            </w:r>
            <w:r w:rsidR="00781F1D">
              <w:rPr>
                <w:noProof/>
                <w:webHidden/>
              </w:rPr>
            </w:r>
            <w:r w:rsidR="00781F1D">
              <w:rPr>
                <w:noProof/>
                <w:webHidden/>
              </w:rPr>
              <w:fldChar w:fldCharType="separate"/>
            </w:r>
            <w:r w:rsidR="007C4502">
              <w:rPr>
                <w:noProof/>
                <w:webHidden/>
              </w:rPr>
              <w:t>69</w:t>
            </w:r>
            <w:r w:rsidR="00781F1D">
              <w:rPr>
                <w:noProof/>
                <w:webHidden/>
              </w:rPr>
              <w:fldChar w:fldCharType="end"/>
            </w:r>
          </w:hyperlink>
        </w:p>
        <w:p w14:paraId="232E8073" w14:textId="77777777" w:rsidR="00781F1D" w:rsidRDefault="00B65569">
          <w:pPr>
            <w:pStyle w:val="TOC1"/>
            <w:rPr>
              <w:rFonts w:eastAsiaTheme="minorEastAsia"/>
              <w:b w:val="0"/>
              <w:sz w:val="22"/>
              <w:lang w:eastAsia="en-GB"/>
            </w:rPr>
          </w:pPr>
          <w:hyperlink w:anchor="_Toc429151353" w:history="1">
            <w:r w:rsidR="00781F1D" w:rsidRPr="00F95F9A">
              <w:rPr>
                <w:rStyle w:val="Hyperlink"/>
              </w:rPr>
              <w:t>8.</w:t>
            </w:r>
            <w:r w:rsidR="00781F1D">
              <w:rPr>
                <w:rFonts w:eastAsiaTheme="minorEastAsia"/>
                <w:b w:val="0"/>
                <w:sz w:val="22"/>
                <w:lang w:eastAsia="en-GB"/>
              </w:rPr>
              <w:tab/>
            </w:r>
            <w:r w:rsidR="00781F1D" w:rsidRPr="00F95F9A">
              <w:rPr>
                <w:rStyle w:val="Hyperlink"/>
              </w:rPr>
              <w:t>London progression summaries</w:t>
            </w:r>
            <w:r w:rsidR="00781F1D">
              <w:rPr>
                <w:webHidden/>
              </w:rPr>
              <w:tab/>
            </w:r>
            <w:r w:rsidR="00781F1D">
              <w:rPr>
                <w:webHidden/>
              </w:rPr>
              <w:fldChar w:fldCharType="begin"/>
            </w:r>
            <w:r w:rsidR="00781F1D">
              <w:rPr>
                <w:webHidden/>
              </w:rPr>
              <w:instrText xml:space="preserve"> PAGEREF _Toc429151353 \h </w:instrText>
            </w:r>
            <w:r w:rsidR="00781F1D">
              <w:rPr>
                <w:webHidden/>
              </w:rPr>
            </w:r>
            <w:r w:rsidR="00781F1D">
              <w:rPr>
                <w:webHidden/>
              </w:rPr>
              <w:fldChar w:fldCharType="separate"/>
            </w:r>
            <w:r w:rsidR="007C4502">
              <w:rPr>
                <w:webHidden/>
              </w:rPr>
              <w:t>70</w:t>
            </w:r>
            <w:r w:rsidR="00781F1D">
              <w:rPr>
                <w:webHidden/>
              </w:rPr>
              <w:fldChar w:fldCharType="end"/>
            </w:r>
          </w:hyperlink>
        </w:p>
        <w:p w14:paraId="4A029039" w14:textId="77777777" w:rsidR="00781F1D" w:rsidRDefault="00B65569">
          <w:pPr>
            <w:pStyle w:val="TOC2"/>
            <w:tabs>
              <w:tab w:val="left" w:pos="880"/>
              <w:tab w:val="right" w:leader="dot" w:pos="9571"/>
            </w:tabs>
            <w:rPr>
              <w:rFonts w:eastAsiaTheme="minorEastAsia"/>
              <w:noProof/>
              <w:sz w:val="22"/>
              <w:lang w:eastAsia="en-GB"/>
            </w:rPr>
          </w:pPr>
          <w:hyperlink w:anchor="_Toc429151354" w:history="1">
            <w:r w:rsidR="00781F1D" w:rsidRPr="00F95F9A">
              <w:rPr>
                <w:rStyle w:val="Hyperlink"/>
                <w:noProof/>
              </w:rPr>
              <w:t>8.1</w:t>
            </w:r>
            <w:r w:rsidR="00781F1D">
              <w:rPr>
                <w:rFonts w:eastAsiaTheme="minorEastAsia"/>
                <w:noProof/>
                <w:sz w:val="22"/>
                <w:lang w:eastAsia="en-GB"/>
              </w:rPr>
              <w:tab/>
            </w:r>
            <w:r w:rsidR="00781F1D" w:rsidRPr="00F95F9A">
              <w:rPr>
                <w:rStyle w:val="Hyperlink"/>
                <w:noProof/>
              </w:rPr>
              <w:t>Progression map by FE qualification type</w:t>
            </w:r>
            <w:r w:rsidR="00781F1D">
              <w:rPr>
                <w:noProof/>
                <w:webHidden/>
              </w:rPr>
              <w:tab/>
            </w:r>
            <w:r w:rsidR="00781F1D">
              <w:rPr>
                <w:noProof/>
                <w:webHidden/>
              </w:rPr>
              <w:fldChar w:fldCharType="begin"/>
            </w:r>
            <w:r w:rsidR="00781F1D">
              <w:rPr>
                <w:noProof/>
                <w:webHidden/>
              </w:rPr>
              <w:instrText xml:space="preserve"> PAGEREF _Toc429151354 \h </w:instrText>
            </w:r>
            <w:r w:rsidR="00781F1D">
              <w:rPr>
                <w:noProof/>
                <w:webHidden/>
              </w:rPr>
            </w:r>
            <w:r w:rsidR="00781F1D">
              <w:rPr>
                <w:noProof/>
                <w:webHidden/>
              </w:rPr>
              <w:fldChar w:fldCharType="separate"/>
            </w:r>
            <w:r w:rsidR="007C4502">
              <w:rPr>
                <w:noProof/>
                <w:webHidden/>
              </w:rPr>
              <w:t>70</w:t>
            </w:r>
            <w:r w:rsidR="00781F1D">
              <w:rPr>
                <w:noProof/>
                <w:webHidden/>
              </w:rPr>
              <w:fldChar w:fldCharType="end"/>
            </w:r>
          </w:hyperlink>
        </w:p>
        <w:p w14:paraId="5F63A961" w14:textId="77777777" w:rsidR="00781F1D" w:rsidRDefault="00B65569">
          <w:pPr>
            <w:pStyle w:val="TOC2"/>
            <w:tabs>
              <w:tab w:val="left" w:pos="880"/>
              <w:tab w:val="right" w:leader="dot" w:pos="9571"/>
            </w:tabs>
            <w:rPr>
              <w:rFonts w:eastAsiaTheme="minorEastAsia"/>
              <w:noProof/>
              <w:sz w:val="22"/>
              <w:lang w:eastAsia="en-GB"/>
            </w:rPr>
          </w:pPr>
          <w:hyperlink w:anchor="_Toc429151355" w:history="1">
            <w:r w:rsidR="00781F1D" w:rsidRPr="00F95F9A">
              <w:rPr>
                <w:rStyle w:val="Hyperlink"/>
                <w:noProof/>
              </w:rPr>
              <w:t>8.2</w:t>
            </w:r>
            <w:r w:rsidR="00781F1D">
              <w:rPr>
                <w:rFonts w:eastAsiaTheme="minorEastAsia"/>
                <w:noProof/>
                <w:sz w:val="22"/>
                <w:lang w:eastAsia="en-GB"/>
              </w:rPr>
              <w:tab/>
            </w:r>
            <w:r w:rsidR="00781F1D" w:rsidRPr="00F95F9A">
              <w:rPr>
                <w:rStyle w:val="Hyperlink"/>
                <w:noProof/>
              </w:rPr>
              <w:t>HE success mapped by FE qualification type</w:t>
            </w:r>
            <w:r w:rsidR="00781F1D">
              <w:rPr>
                <w:noProof/>
                <w:webHidden/>
              </w:rPr>
              <w:tab/>
            </w:r>
            <w:r w:rsidR="00781F1D">
              <w:rPr>
                <w:noProof/>
                <w:webHidden/>
              </w:rPr>
              <w:fldChar w:fldCharType="begin"/>
            </w:r>
            <w:r w:rsidR="00781F1D">
              <w:rPr>
                <w:noProof/>
                <w:webHidden/>
              </w:rPr>
              <w:instrText xml:space="preserve"> PAGEREF _Toc429151355 \h </w:instrText>
            </w:r>
            <w:r w:rsidR="00781F1D">
              <w:rPr>
                <w:noProof/>
                <w:webHidden/>
              </w:rPr>
            </w:r>
            <w:r w:rsidR="00781F1D">
              <w:rPr>
                <w:noProof/>
                <w:webHidden/>
              </w:rPr>
              <w:fldChar w:fldCharType="separate"/>
            </w:r>
            <w:r w:rsidR="007C4502">
              <w:rPr>
                <w:noProof/>
                <w:webHidden/>
              </w:rPr>
              <w:t>71</w:t>
            </w:r>
            <w:r w:rsidR="00781F1D">
              <w:rPr>
                <w:noProof/>
                <w:webHidden/>
              </w:rPr>
              <w:fldChar w:fldCharType="end"/>
            </w:r>
          </w:hyperlink>
        </w:p>
        <w:p w14:paraId="0D65E3CE" w14:textId="77777777" w:rsidR="00781F1D" w:rsidRDefault="00B65569">
          <w:pPr>
            <w:pStyle w:val="TOC2"/>
            <w:tabs>
              <w:tab w:val="left" w:pos="880"/>
              <w:tab w:val="right" w:leader="dot" w:pos="9571"/>
            </w:tabs>
            <w:rPr>
              <w:rFonts w:eastAsiaTheme="minorEastAsia"/>
              <w:noProof/>
              <w:sz w:val="22"/>
              <w:lang w:eastAsia="en-GB"/>
            </w:rPr>
          </w:pPr>
          <w:hyperlink w:anchor="_Toc429151356" w:history="1">
            <w:r w:rsidR="00781F1D" w:rsidRPr="00F95F9A">
              <w:rPr>
                <w:rStyle w:val="Hyperlink"/>
                <w:noProof/>
              </w:rPr>
              <w:t>8.3</w:t>
            </w:r>
            <w:r w:rsidR="00781F1D">
              <w:rPr>
                <w:rFonts w:eastAsiaTheme="minorEastAsia"/>
                <w:noProof/>
                <w:sz w:val="22"/>
                <w:lang w:eastAsia="en-GB"/>
              </w:rPr>
              <w:tab/>
            </w:r>
            <w:r w:rsidR="00781F1D" w:rsidRPr="00F95F9A">
              <w:rPr>
                <w:rStyle w:val="Hyperlink"/>
                <w:noProof/>
              </w:rPr>
              <w:t>Age and HE progression summary</w:t>
            </w:r>
            <w:r w:rsidR="00781F1D">
              <w:rPr>
                <w:noProof/>
                <w:webHidden/>
              </w:rPr>
              <w:tab/>
            </w:r>
            <w:r w:rsidR="00781F1D">
              <w:rPr>
                <w:noProof/>
                <w:webHidden/>
              </w:rPr>
              <w:fldChar w:fldCharType="begin"/>
            </w:r>
            <w:r w:rsidR="00781F1D">
              <w:rPr>
                <w:noProof/>
                <w:webHidden/>
              </w:rPr>
              <w:instrText xml:space="preserve"> PAGEREF _Toc429151356 \h </w:instrText>
            </w:r>
            <w:r w:rsidR="00781F1D">
              <w:rPr>
                <w:noProof/>
                <w:webHidden/>
              </w:rPr>
            </w:r>
            <w:r w:rsidR="00781F1D">
              <w:rPr>
                <w:noProof/>
                <w:webHidden/>
              </w:rPr>
              <w:fldChar w:fldCharType="separate"/>
            </w:r>
            <w:r w:rsidR="007C4502">
              <w:rPr>
                <w:noProof/>
                <w:webHidden/>
              </w:rPr>
              <w:t>72</w:t>
            </w:r>
            <w:r w:rsidR="00781F1D">
              <w:rPr>
                <w:noProof/>
                <w:webHidden/>
              </w:rPr>
              <w:fldChar w:fldCharType="end"/>
            </w:r>
          </w:hyperlink>
        </w:p>
        <w:p w14:paraId="18E10917" w14:textId="77777777" w:rsidR="00781F1D" w:rsidRDefault="00B65569">
          <w:pPr>
            <w:pStyle w:val="TOC1"/>
            <w:rPr>
              <w:rFonts w:eastAsiaTheme="minorEastAsia"/>
              <w:b w:val="0"/>
              <w:sz w:val="22"/>
              <w:lang w:eastAsia="en-GB"/>
            </w:rPr>
          </w:pPr>
          <w:hyperlink w:anchor="_Toc429151357" w:history="1">
            <w:r w:rsidR="00781F1D" w:rsidRPr="00F95F9A">
              <w:rPr>
                <w:rStyle w:val="Hyperlink"/>
              </w:rPr>
              <w:t>9.</w:t>
            </w:r>
            <w:r w:rsidR="00781F1D">
              <w:rPr>
                <w:rFonts w:eastAsiaTheme="minorEastAsia"/>
                <w:b w:val="0"/>
                <w:sz w:val="22"/>
                <w:lang w:eastAsia="en-GB"/>
              </w:rPr>
              <w:tab/>
            </w:r>
            <w:r w:rsidR="00781F1D" w:rsidRPr="00F95F9A">
              <w:rPr>
                <w:rStyle w:val="Hyperlink"/>
              </w:rPr>
              <w:t xml:space="preserve"> Conclusions</w:t>
            </w:r>
            <w:r w:rsidR="00781F1D">
              <w:rPr>
                <w:webHidden/>
              </w:rPr>
              <w:tab/>
            </w:r>
            <w:r w:rsidR="00781F1D">
              <w:rPr>
                <w:webHidden/>
              </w:rPr>
              <w:fldChar w:fldCharType="begin"/>
            </w:r>
            <w:r w:rsidR="00781F1D">
              <w:rPr>
                <w:webHidden/>
              </w:rPr>
              <w:instrText xml:space="preserve"> PAGEREF _Toc429151357 \h </w:instrText>
            </w:r>
            <w:r w:rsidR="00781F1D">
              <w:rPr>
                <w:webHidden/>
              </w:rPr>
            </w:r>
            <w:r w:rsidR="00781F1D">
              <w:rPr>
                <w:webHidden/>
              </w:rPr>
              <w:fldChar w:fldCharType="separate"/>
            </w:r>
            <w:r w:rsidR="007C4502">
              <w:rPr>
                <w:webHidden/>
              </w:rPr>
              <w:t>73</w:t>
            </w:r>
            <w:r w:rsidR="00781F1D">
              <w:rPr>
                <w:webHidden/>
              </w:rPr>
              <w:fldChar w:fldCharType="end"/>
            </w:r>
          </w:hyperlink>
        </w:p>
        <w:p w14:paraId="0C267420" w14:textId="77777777" w:rsidR="00781F1D" w:rsidRDefault="00B65569">
          <w:pPr>
            <w:pStyle w:val="TOC1"/>
            <w:rPr>
              <w:rFonts w:eastAsiaTheme="minorEastAsia"/>
              <w:b w:val="0"/>
              <w:sz w:val="22"/>
              <w:lang w:eastAsia="en-GB"/>
            </w:rPr>
          </w:pPr>
          <w:hyperlink w:anchor="_Toc429151358" w:history="1">
            <w:r w:rsidR="00781F1D" w:rsidRPr="00F95F9A">
              <w:rPr>
                <w:rStyle w:val="Hyperlink"/>
              </w:rPr>
              <w:t>10.</w:t>
            </w:r>
            <w:r w:rsidR="00781F1D">
              <w:rPr>
                <w:rFonts w:eastAsiaTheme="minorEastAsia"/>
                <w:b w:val="0"/>
                <w:sz w:val="22"/>
                <w:lang w:eastAsia="en-GB"/>
              </w:rPr>
              <w:tab/>
            </w:r>
            <w:r w:rsidR="00781F1D" w:rsidRPr="00F95F9A">
              <w:rPr>
                <w:rStyle w:val="Hyperlink"/>
              </w:rPr>
              <w:t>References</w:t>
            </w:r>
            <w:r w:rsidR="00781F1D">
              <w:rPr>
                <w:webHidden/>
              </w:rPr>
              <w:tab/>
            </w:r>
            <w:r w:rsidR="00781F1D">
              <w:rPr>
                <w:webHidden/>
              </w:rPr>
              <w:fldChar w:fldCharType="begin"/>
            </w:r>
            <w:r w:rsidR="00781F1D">
              <w:rPr>
                <w:webHidden/>
              </w:rPr>
              <w:instrText xml:space="preserve"> PAGEREF _Toc429151358 \h </w:instrText>
            </w:r>
            <w:r w:rsidR="00781F1D">
              <w:rPr>
                <w:webHidden/>
              </w:rPr>
            </w:r>
            <w:r w:rsidR="00781F1D">
              <w:rPr>
                <w:webHidden/>
              </w:rPr>
              <w:fldChar w:fldCharType="separate"/>
            </w:r>
            <w:r w:rsidR="007C4502">
              <w:rPr>
                <w:webHidden/>
              </w:rPr>
              <w:t>75</w:t>
            </w:r>
            <w:r w:rsidR="00781F1D">
              <w:rPr>
                <w:webHidden/>
              </w:rPr>
              <w:fldChar w:fldCharType="end"/>
            </w:r>
          </w:hyperlink>
        </w:p>
        <w:p w14:paraId="4A64F9C1" w14:textId="4F0DEF29" w:rsidR="00D469CB" w:rsidRPr="00A52AEE" w:rsidRDefault="00D469CB" w:rsidP="00A52AEE">
          <w:r w:rsidRPr="00A52AEE">
            <w:rPr>
              <w:noProof/>
            </w:rPr>
            <w:fldChar w:fldCharType="end"/>
          </w:r>
        </w:p>
      </w:sdtContent>
    </w:sdt>
    <w:p w14:paraId="437B4165" w14:textId="77777777" w:rsidR="00A52AEE" w:rsidRDefault="00A52AEE" w:rsidP="00A52AEE">
      <w:pPr>
        <w:rPr>
          <w:rFonts w:eastAsiaTheme="majorEastAsia" w:cstheme="majorBidi"/>
          <w:b/>
          <w:noProof/>
          <w:color w:val="323E4F" w:themeColor="text2" w:themeShade="BF"/>
          <w:sz w:val="48"/>
          <w:szCs w:val="32"/>
        </w:rPr>
      </w:pPr>
      <w:r>
        <w:br w:type="page"/>
      </w:r>
    </w:p>
    <w:p w14:paraId="480D27CC" w14:textId="178EF150" w:rsidR="00102706" w:rsidRPr="00771DD0" w:rsidRDefault="00771DD0" w:rsidP="009443B2">
      <w:pPr>
        <w:pStyle w:val="Heading1"/>
      </w:pPr>
      <w:bookmarkStart w:id="37" w:name="_Toc429151288"/>
      <w:r>
        <w:lastRenderedPageBreak/>
        <w:t>1.</w:t>
      </w:r>
      <w:r>
        <w:tab/>
        <w:t>E</w:t>
      </w:r>
      <w:r w:rsidR="00C208F3" w:rsidRPr="00771DD0">
        <w:t>xecutive s</w:t>
      </w:r>
      <w:r w:rsidR="00D469CB" w:rsidRPr="00771DD0">
        <w:t>ummary</w:t>
      </w:r>
      <w:bookmarkEnd w:id="37"/>
    </w:p>
    <w:p w14:paraId="73B9A686" w14:textId="77777777" w:rsidR="00D469CB" w:rsidRPr="00A52AEE" w:rsidRDefault="00D469CB" w:rsidP="00A52AEE"/>
    <w:p w14:paraId="343D524D" w14:textId="26332B1A" w:rsidR="00C435ED" w:rsidRPr="00A52AEE" w:rsidRDefault="00C435ED" w:rsidP="00A52AEE">
      <w:r w:rsidRPr="00A52AEE">
        <w:t>This report presents the findings of research undertaken for L</w:t>
      </w:r>
      <w:r w:rsidR="001D219C">
        <w:t xml:space="preserve">inking London and </w:t>
      </w:r>
      <w:r w:rsidR="008B07E3" w:rsidRPr="00A52AEE">
        <w:t xml:space="preserve">sponsors into the progression </w:t>
      </w:r>
      <w:r w:rsidRPr="00A52AEE">
        <w:t xml:space="preserve">to higher education of </w:t>
      </w:r>
      <w:r w:rsidR="00842186" w:rsidRPr="00A52AEE">
        <w:t>student</w:t>
      </w:r>
      <w:r w:rsidRPr="00A52AEE">
        <w:t>s from London Further Education (FE) and Sixth Form Colleges between 2007-08 and 2012-13.  The report is based on data derived from a national study funded by BIS into the progression to higher education of students from all FE and Sixth Form Colleges in England</w:t>
      </w:r>
      <w:sdt>
        <w:sdtPr>
          <w:id w:val="289174873"/>
          <w:citation/>
        </w:sdtPr>
        <w:sdtEndPr/>
        <w:sdtContent>
          <w:r w:rsidRPr="00A52AEE">
            <w:fldChar w:fldCharType="begin"/>
          </w:r>
          <w:r w:rsidRPr="00A52AEE">
            <w:instrText xml:space="preserve"> CITATION Smi15 \l 2057 </w:instrText>
          </w:r>
          <w:r w:rsidRPr="00A52AEE">
            <w:fldChar w:fldCharType="separate"/>
          </w:r>
          <w:r w:rsidR="004E52FE">
            <w:rPr>
              <w:noProof/>
            </w:rPr>
            <w:t xml:space="preserve"> (Smith, Joslin, &amp; Jameson, 2015)</w:t>
          </w:r>
          <w:r w:rsidRPr="00A52AEE">
            <w:fldChar w:fldCharType="end"/>
          </w:r>
        </w:sdtContent>
      </w:sdt>
      <w:r w:rsidRPr="00A52AEE">
        <w:t xml:space="preserve">.  </w:t>
      </w:r>
    </w:p>
    <w:p w14:paraId="2F8B1CBB" w14:textId="77777777" w:rsidR="00C435ED" w:rsidRPr="00A52AEE" w:rsidRDefault="00C435ED" w:rsidP="00A52AEE"/>
    <w:p w14:paraId="06D9F3B9" w14:textId="703FF9C3" w:rsidR="00C435ED" w:rsidRPr="00A52AEE" w:rsidRDefault="00C435ED" w:rsidP="00A52AEE">
      <w:r w:rsidRPr="00A52AEE">
        <w:t>It should be noted that figures in this report will not necessarily match data for the same years shown in the previous London report</w:t>
      </w:r>
      <w:sdt>
        <w:sdtPr>
          <w:id w:val="-1883626742"/>
          <w:citation/>
        </w:sdtPr>
        <w:sdtEndPr/>
        <w:sdtContent>
          <w:r w:rsidRPr="00A52AEE">
            <w:fldChar w:fldCharType="begin"/>
          </w:r>
          <w:r w:rsidR="008B07E3" w:rsidRPr="00A52AEE">
            <w:instrText xml:space="preserve">CITATION Jol13 \l 2057 </w:instrText>
          </w:r>
          <w:r w:rsidRPr="00A52AEE">
            <w:fldChar w:fldCharType="separate"/>
          </w:r>
          <w:r w:rsidR="004E52FE">
            <w:rPr>
              <w:noProof/>
            </w:rPr>
            <w:t xml:space="preserve"> (Joslin &amp; Smith, 2013)</w:t>
          </w:r>
          <w:r w:rsidRPr="00A52AEE">
            <w:fldChar w:fldCharType="end"/>
          </w:r>
        </w:sdtContent>
      </w:sdt>
      <w:r w:rsidRPr="00A52AEE">
        <w:t xml:space="preserve">.  This is because of differences in the ILR dataset when run two years later, minor improvements to the methodology and changes to the classification of qualifications.  Further differences include the inclusion in this report of more detailed information about achievement and through linkage with the DfE’s Key Stage 4 dataset, information about the prior GCSE attainment of London’s FE cohorts. </w:t>
      </w:r>
    </w:p>
    <w:p w14:paraId="7267C61D" w14:textId="77777777" w:rsidR="00C435ED" w:rsidRPr="00A52AEE" w:rsidRDefault="00C435ED" w:rsidP="00A52AEE"/>
    <w:p w14:paraId="1228326F" w14:textId="0B180E9B" w:rsidR="00C435ED" w:rsidRPr="00A52AEE" w:rsidRDefault="00C435ED" w:rsidP="00A52AEE">
      <w:r w:rsidRPr="00A52AEE">
        <w:t xml:space="preserve">These research findings are based on the matching of ILR (Individualised Learner Record) datasets with HESA (Higher Education Statistics Agency) datasets between the years 2007-08 and 2012-13. They provide a detailed analysis of the nature of the progression of </w:t>
      </w:r>
      <w:r w:rsidR="00842186" w:rsidRPr="00A52AEE">
        <w:t>student</w:t>
      </w:r>
      <w:r w:rsidRPr="00A52AEE">
        <w:t xml:space="preserve">s from the </w:t>
      </w:r>
      <w:r w:rsidR="0076166E" w:rsidRPr="00A52AEE">
        <w:t>London</w:t>
      </w:r>
      <w:r w:rsidRPr="00A52AEE">
        <w:t xml:space="preserve"> colleges, trends in progression rates over time and</w:t>
      </w:r>
      <w:r w:rsidR="008B07E3" w:rsidRPr="00A52AEE">
        <w:t xml:space="preserve"> they</w:t>
      </w:r>
      <w:r w:rsidRPr="00A52AEE">
        <w:t xml:space="preserve"> highlight the progression to higher education in both FE colleges and universities. The matched records contain demographic information about the </w:t>
      </w:r>
      <w:r w:rsidR="00842186" w:rsidRPr="00A52AEE">
        <w:t>student</w:t>
      </w:r>
      <w:r w:rsidRPr="00A52AEE">
        <w:t>s such as gender, age, ethnicity and domicile, and also data about where they progressed from and where they progressed to, hence there are a wide set of variables that can be compared and this report provides a selection.  Where relevant, the data for London has been compared to the national data.</w:t>
      </w:r>
    </w:p>
    <w:p w14:paraId="7E80B53D" w14:textId="77777777" w:rsidR="003D034C" w:rsidRPr="00A52AEE" w:rsidRDefault="003D034C" w:rsidP="00A52AEE"/>
    <w:p w14:paraId="31757745" w14:textId="205F3767" w:rsidR="00E02409" w:rsidRPr="00A52AEE" w:rsidRDefault="00E02409" w:rsidP="008D527A">
      <w:pPr>
        <w:pStyle w:val="Heading2"/>
      </w:pPr>
      <w:bookmarkStart w:id="38" w:name="_Toc429151289"/>
      <w:r w:rsidRPr="00A52AEE">
        <w:t>1.1</w:t>
      </w:r>
      <w:r w:rsidRPr="00A52AEE">
        <w:tab/>
        <w:t>Terminology</w:t>
      </w:r>
      <w:bookmarkEnd w:id="38"/>
      <w:r w:rsidRPr="00A52AEE">
        <w:tab/>
      </w:r>
    </w:p>
    <w:p w14:paraId="0FA47C0C" w14:textId="77777777" w:rsidR="003D034C" w:rsidRPr="00A52AEE" w:rsidRDefault="003D034C" w:rsidP="00A52AEE">
      <w:r w:rsidRPr="00A52AEE">
        <w:t>Certain terms have been used in this report that might require clarification:</w:t>
      </w:r>
    </w:p>
    <w:p w14:paraId="19BCE3ED" w14:textId="77777777" w:rsidR="003D034C" w:rsidRPr="00A52AEE" w:rsidRDefault="003D034C" w:rsidP="00A52AEE">
      <w:pPr>
        <w:rPr>
          <w:rStyle w:val="Emphasis"/>
          <w:b/>
          <w:i w:val="0"/>
          <w:sz w:val="16"/>
          <w:szCs w:val="16"/>
        </w:rPr>
      </w:pPr>
    </w:p>
    <w:tbl>
      <w:tblPr>
        <w:tblW w:w="4799" w:type="pct"/>
        <w:tblInd w:w="289"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113" w:type="dxa"/>
          <w:right w:w="113" w:type="dxa"/>
        </w:tblCellMar>
        <w:tblLook w:val="01E0" w:firstRow="1" w:lastRow="1" w:firstColumn="1" w:lastColumn="1" w:noHBand="0" w:noVBand="0"/>
      </w:tblPr>
      <w:tblGrid>
        <w:gridCol w:w="2767"/>
        <w:gridCol w:w="6419"/>
      </w:tblGrid>
      <w:tr w:rsidR="003D034C" w:rsidRPr="00455D65" w14:paraId="0C34458F" w14:textId="77777777" w:rsidTr="00FE1165">
        <w:trPr>
          <w:trHeight w:val="159"/>
          <w:tblHeader/>
        </w:trPr>
        <w:tc>
          <w:tcPr>
            <w:tcW w:w="1506" w:type="pct"/>
            <w:shd w:val="clear" w:color="auto" w:fill="1F4E79" w:themeFill="accent1" w:themeFillShade="80"/>
            <w:tcMar>
              <w:top w:w="113" w:type="dxa"/>
              <w:bottom w:w="113" w:type="dxa"/>
            </w:tcMar>
          </w:tcPr>
          <w:p w14:paraId="2C0009DB" w14:textId="77777777" w:rsidR="003D034C" w:rsidRPr="00455D65" w:rsidRDefault="003D034C" w:rsidP="00A52AEE">
            <w:pPr>
              <w:rPr>
                <w:b/>
                <w:color w:val="FFFFFF" w:themeColor="background1"/>
              </w:rPr>
            </w:pPr>
            <w:r w:rsidRPr="00455D65">
              <w:rPr>
                <w:rStyle w:val="Heading3Char"/>
                <w:color w:val="FFFFFF" w:themeColor="background1"/>
              </w:rPr>
              <w:t xml:space="preserve">  </w:t>
            </w:r>
            <w:r w:rsidRPr="00455D65">
              <w:rPr>
                <w:b/>
                <w:color w:val="FFFFFF" w:themeColor="background1"/>
              </w:rPr>
              <w:t>Levels</w:t>
            </w:r>
          </w:p>
        </w:tc>
        <w:tc>
          <w:tcPr>
            <w:tcW w:w="3494" w:type="pct"/>
            <w:shd w:val="clear" w:color="auto" w:fill="1F4E79" w:themeFill="accent1" w:themeFillShade="80"/>
            <w:tcMar>
              <w:top w:w="113" w:type="dxa"/>
              <w:bottom w:w="113" w:type="dxa"/>
            </w:tcMar>
          </w:tcPr>
          <w:p w14:paraId="1886F366" w14:textId="77777777" w:rsidR="003D034C" w:rsidRPr="00455D65" w:rsidRDefault="003D034C" w:rsidP="00A52AEE">
            <w:pPr>
              <w:pStyle w:val="TableTitleRomanWhite"/>
            </w:pPr>
            <w:r w:rsidRPr="00455D65">
              <w:t xml:space="preserve">  Qualifications</w:t>
            </w:r>
          </w:p>
        </w:tc>
      </w:tr>
      <w:tr w:rsidR="003D034C" w:rsidRPr="00A52AEE" w14:paraId="1C8F6863" w14:textId="77777777" w:rsidTr="00C435ED">
        <w:trPr>
          <w:trHeight w:val="1048"/>
        </w:trPr>
        <w:tc>
          <w:tcPr>
            <w:tcW w:w="1506" w:type="pct"/>
            <w:shd w:val="clear" w:color="auto" w:fill="auto"/>
            <w:tcMar>
              <w:top w:w="113" w:type="dxa"/>
              <w:bottom w:w="113" w:type="dxa"/>
            </w:tcMar>
            <w:vAlign w:val="center"/>
          </w:tcPr>
          <w:p w14:paraId="4C5D2696" w14:textId="77777777" w:rsidR="003D034C" w:rsidRPr="00A52AEE" w:rsidRDefault="003D034C" w:rsidP="00A52AEE">
            <w:pPr>
              <w:rPr>
                <w:rStyle w:val="Emphasis"/>
                <w:b/>
                <w:i w:val="0"/>
              </w:rPr>
            </w:pPr>
            <w:r w:rsidRPr="00A52AEE">
              <w:rPr>
                <w:rStyle w:val="Emphasis"/>
                <w:b/>
                <w:i w:val="0"/>
              </w:rPr>
              <w:t xml:space="preserve"> FE College or </w:t>
            </w:r>
          </w:p>
          <w:p w14:paraId="2C9E25B4" w14:textId="77777777" w:rsidR="003D034C" w:rsidRPr="00A52AEE" w:rsidRDefault="003D034C" w:rsidP="00A52AEE">
            <w:pPr>
              <w:rPr>
                <w:rStyle w:val="Emphasis"/>
                <w:b/>
                <w:i w:val="0"/>
              </w:rPr>
            </w:pPr>
            <w:r w:rsidRPr="00A52AEE">
              <w:rPr>
                <w:rStyle w:val="Emphasis"/>
                <w:b/>
                <w:i w:val="0"/>
              </w:rPr>
              <w:t xml:space="preserve"> Sixth Form College</w:t>
            </w:r>
          </w:p>
          <w:p w14:paraId="4A1942BB" w14:textId="5E5198B1" w:rsidR="003D034C" w:rsidRPr="00A52AEE" w:rsidRDefault="003D034C" w:rsidP="00A52AEE">
            <w:pPr>
              <w:rPr>
                <w:i/>
              </w:rPr>
            </w:pPr>
            <w:r w:rsidRPr="00A52AEE">
              <w:rPr>
                <w:rStyle w:val="Emphasis"/>
                <w:b/>
                <w:i w:val="0"/>
              </w:rPr>
              <w:t xml:space="preserve"> </w:t>
            </w:r>
            <w:r w:rsidR="0021637B" w:rsidRPr="00A52AEE">
              <w:rPr>
                <w:rStyle w:val="Emphasis"/>
                <w:b/>
                <w:i w:val="0"/>
              </w:rPr>
              <w:t>Level</w:t>
            </w:r>
            <w:r w:rsidRPr="00A52AEE">
              <w:rPr>
                <w:rStyle w:val="Emphasis"/>
                <w:b/>
                <w:i w:val="0"/>
              </w:rPr>
              <w:t xml:space="preserve"> </w:t>
            </w:r>
            <w:r w:rsidR="008B07E3" w:rsidRPr="00A52AEE">
              <w:rPr>
                <w:rStyle w:val="Emphasis"/>
                <w:b/>
                <w:i w:val="0"/>
              </w:rPr>
              <w:t>3</w:t>
            </w:r>
            <w:r w:rsidRPr="00A52AEE">
              <w:rPr>
                <w:rStyle w:val="Emphasis"/>
                <w:b/>
                <w:i w:val="0"/>
              </w:rPr>
              <w:t xml:space="preserve"> qualifications</w:t>
            </w:r>
          </w:p>
        </w:tc>
        <w:tc>
          <w:tcPr>
            <w:tcW w:w="3494" w:type="pct"/>
            <w:shd w:val="clear" w:color="auto" w:fill="auto"/>
            <w:tcMar>
              <w:top w:w="113" w:type="dxa"/>
              <w:bottom w:w="113" w:type="dxa"/>
            </w:tcMar>
            <w:vAlign w:val="center"/>
          </w:tcPr>
          <w:p w14:paraId="4621DFB1" w14:textId="6F6582D1" w:rsidR="003D034C" w:rsidRPr="00A52AEE" w:rsidRDefault="003D034C" w:rsidP="00A52AEE">
            <w:r w:rsidRPr="00A52AEE">
              <w:rPr>
                <w:b/>
              </w:rPr>
              <w:t xml:space="preserve">A </w:t>
            </w:r>
            <w:r w:rsidR="0021637B" w:rsidRPr="00A52AEE">
              <w:rPr>
                <w:b/>
              </w:rPr>
              <w:t>Level</w:t>
            </w:r>
            <w:r w:rsidRPr="00A52AEE">
              <w:rPr>
                <w:b/>
              </w:rPr>
              <w:t>s; International Baccalaureate</w:t>
            </w:r>
            <w:r w:rsidRPr="00A52AEE">
              <w:t xml:space="preserve"> (IB)</w:t>
            </w:r>
            <w:r w:rsidRPr="00A52AEE">
              <w:rPr>
                <w:rStyle w:val="FootnoteReference"/>
                <w:sz w:val="20"/>
              </w:rPr>
              <w:footnoteReference w:id="2"/>
            </w:r>
            <w:r w:rsidRPr="00A52AEE">
              <w:t xml:space="preserve">; </w:t>
            </w:r>
            <w:r w:rsidRPr="00A52AEE">
              <w:rPr>
                <w:b/>
              </w:rPr>
              <w:t>BTEC</w:t>
            </w:r>
            <w:r w:rsidRPr="00A52AEE">
              <w:t>;</w:t>
            </w:r>
            <w:r w:rsidRPr="00A52AEE">
              <w:rPr>
                <w:b/>
              </w:rPr>
              <w:t xml:space="preserve"> Access to HE</w:t>
            </w:r>
            <w:r w:rsidRPr="00A52AEE">
              <w:t>;</w:t>
            </w:r>
            <w:r w:rsidRPr="00A52AEE">
              <w:rPr>
                <w:b/>
              </w:rPr>
              <w:t xml:space="preserve"> AS </w:t>
            </w:r>
            <w:r w:rsidR="0021637B" w:rsidRPr="00A52AEE">
              <w:rPr>
                <w:b/>
              </w:rPr>
              <w:t>Level</w:t>
            </w:r>
            <w:r w:rsidRPr="00A52AEE">
              <w:t xml:space="preserve"> and </w:t>
            </w:r>
            <w:r w:rsidRPr="00A52AEE">
              <w:rPr>
                <w:b/>
              </w:rPr>
              <w:t xml:space="preserve">Other Vocational </w:t>
            </w:r>
            <w:r w:rsidRPr="00A52AEE">
              <w:t>qualifications (which include other qualifications like Art Foundation and Cache Diploma as well as other vocational full and part-time Certificate and Diploma programmes).</w:t>
            </w:r>
          </w:p>
        </w:tc>
      </w:tr>
      <w:tr w:rsidR="003D034C" w:rsidRPr="00A52AEE" w14:paraId="542D5475" w14:textId="77777777" w:rsidTr="003D034C">
        <w:trPr>
          <w:trHeight w:val="472"/>
        </w:trPr>
        <w:tc>
          <w:tcPr>
            <w:tcW w:w="1506" w:type="pct"/>
            <w:vMerge w:val="restart"/>
            <w:shd w:val="clear" w:color="auto" w:fill="auto"/>
            <w:tcMar>
              <w:top w:w="113" w:type="dxa"/>
              <w:bottom w:w="113" w:type="dxa"/>
            </w:tcMar>
            <w:vAlign w:val="center"/>
          </w:tcPr>
          <w:p w14:paraId="44A464B2" w14:textId="77777777" w:rsidR="003D034C" w:rsidRPr="00A52AEE" w:rsidRDefault="003D034C" w:rsidP="00A52AEE">
            <w:pPr>
              <w:rPr>
                <w:rStyle w:val="Emphasis"/>
                <w:b/>
                <w:i w:val="0"/>
              </w:rPr>
            </w:pPr>
            <w:r w:rsidRPr="00A52AEE">
              <w:rPr>
                <w:rStyle w:val="Emphasis"/>
                <w:b/>
                <w:i w:val="0"/>
              </w:rPr>
              <w:t xml:space="preserve"> Higher education   </w:t>
            </w:r>
          </w:p>
          <w:p w14:paraId="71B7EC7C" w14:textId="77777777" w:rsidR="003D034C" w:rsidRPr="00A52AEE" w:rsidRDefault="003D034C" w:rsidP="00A52AEE">
            <w:pPr>
              <w:rPr>
                <w:rStyle w:val="Emphasis"/>
                <w:b/>
                <w:i w:val="0"/>
              </w:rPr>
            </w:pPr>
            <w:r w:rsidRPr="00A52AEE">
              <w:rPr>
                <w:rStyle w:val="Emphasis"/>
                <w:b/>
                <w:i w:val="0"/>
              </w:rPr>
              <w:t xml:space="preserve"> qualifications in </w:t>
            </w:r>
          </w:p>
          <w:p w14:paraId="37F8397F" w14:textId="77777777" w:rsidR="003D034C" w:rsidRPr="00A52AEE" w:rsidRDefault="003D034C" w:rsidP="00A52AEE">
            <w:pPr>
              <w:rPr>
                <w:rStyle w:val="Emphasis"/>
                <w:b/>
                <w:i w:val="0"/>
              </w:rPr>
            </w:pPr>
            <w:r w:rsidRPr="00A52AEE">
              <w:rPr>
                <w:rStyle w:val="Emphasis"/>
                <w:b/>
                <w:i w:val="0"/>
              </w:rPr>
              <w:t xml:space="preserve"> Universities and FE</w:t>
            </w:r>
          </w:p>
          <w:p w14:paraId="48C29F11" w14:textId="77777777" w:rsidR="003D034C" w:rsidRPr="00A52AEE" w:rsidRDefault="003D034C" w:rsidP="00A52AEE">
            <w:pPr>
              <w:rPr>
                <w:rStyle w:val="Emphasis"/>
                <w:b/>
                <w:i w:val="0"/>
              </w:rPr>
            </w:pPr>
            <w:r w:rsidRPr="00A52AEE">
              <w:rPr>
                <w:rStyle w:val="Emphasis"/>
                <w:b/>
                <w:i w:val="0"/>
              </w:rPr>
              <w:t xml:space="preserve"> Colleges</w:t>
            </w:r>
          </w:p>
          <w:p w14:paraId="6D5D3886" w14:textId="77777777" w:rsidR="003D034C" w:rsidRPr="00A52AEE" w:rsidRDefault="003D034C" w:rsidP="00A52AEE"/>
        </w:tc>
        <w:tc>
          <w:tcPr>
            <w:tcW w:w="3494" w:type="pct"/>
            <w:shd w:val="clear" w:color="auto" w:fill="auto"/>
            <w:tcMar>
              <w:top w:w="113" w:type="dxa"/>
              <w:bottom w:w="113" w:type="dxa"/>
            </w:tcMar>
            <w:vAlign w:val="center"/>
          </w:tcPr>
          <w:p w14:paraId="2C4E555B" w14:textId="04C62BA3" w:rsidR="003D034C" w:rsidRPr="00A52AEE" w:rsidRDefault="003D034C" w:rsidP="00A52AEE">
            <w:r w:rsidRPr="00855E4A">
              <w:rPr>
                <w:rStyle w:val="Emphasis"/>
                <w:rFonts w:cs="Arial"/>
                <w:b/>
              </w:rPr>
              <w:t>Prescribed higher education</w:t>
            </w:r>
            <w:r w:rsidRPr="00855E4A">
              <w:rPr>
                <w:rStyle w:val="Emphasis"/>
                <w:rFonts w:cs="Arial"/>
              </w:rPr>
              <w:t xml:space="preserve"> </w:t>
            </w:r>
            <w:r w:rsidRPr="00A52AEE">
              <w:t xml:space="preserve">– Delivered in universities and FE Colleges with funding directed by the Higher Education Funding Council for England (HEFCE).  The following qualifications are included: </w:t>
            </w:r>
            <w:r w:rsidRPr="00A52AEE">
              <w:rPr>
                <w:b/>
              </w:rPr>
              <w:t>First degrees</w:t>
            </w:r>
            <w:r w:rsidRPr="00A52AEE">
              <w:t xml:space="preserve"> (</w:t>
            </w:r>
            <w:r w:rsidR="0021637B" w:rsidRPr="00A52AEE">
              <w:t>Level</w:t>
            </w:r>
            <w:r w:rsidRPr="00A52AEE">
              <w:t xml:space="preserve"> 6) and </w:t>
            </w:r>
            <w:r w:rsidRPr="00A52AEE">
              <w:rPr>
                <w:b/>
              </w:rPr>
              <w:t>Other Undergraduate</w:t>
            </w:r>
            <w:r w:rsidRPr="00A52AEE">
              <w:t xml:space="preserve"> (OUG) qualifications including </w:t>
            </w:r>
            <w:r w:rsidRPr="00A52AEE">
              <w:rPr>
                <w:b/>
              </w:rPr>
              <w:t>Higher National Certificates</w:t>
            </w:r>
            <w:r w:rsidRPr="00A52AEE">
              <w:t xml:space="preserve"> (HNC) and </w:t>
            </w:r>
            <w:r w:rsidRPr="00A52AEE">
              <w:rPr>
                <w:b/>
              </w:rPr>
              <w:t>Certificates of Higher Education</w:t>
            </w:r>
            <w:r w:rsidRPr="00A52AEE">
              <w:t xml:space="preserve"> at </w:t>
            </w:r>
            <w:r w:rsidR="0021637B" w:rsidRPr="00A52AEE">
              <w:t>Level</w:t>
            </w:r>
            <w:r w:rsidRPr="00A52AEE">
              <w:t xml:space="preserve"> 4; </w:t>
            </w:r>
            <w:r w:rsidRPr="00A52AEE">
              <w:rPr>
                <w:b/>
              </w:rPr>
              <w:t>Higher National Diplomas</w:t>
            </w:r>
            <w:r w:rsidRPr="00A52AEE">
              <w:t xml:space="preserve"> (HND), </w:t>
            </w:r>
            <w:r w:rsidRPr="00A52AEE">
              <w:rPr>
                <w:b/>
              </w:rPr>
              <w:t>Diplomas of Higher Education</w:t>
            </w:r>
            <w:r w:rsidRPr="00A52AEE">
              <w:t xml:space="preserve"> and </w:t>
            </w:r>
            <w:r w:rsidRPr="00A52AEE">
              <w:rPr>
                <w:b/>
              </w:rPr>
              <w:t>Foundation degrees</w:t>
            </w:r>
            <w:r w:rsidRPr="00A52AEE">
              <w:t xml:space="preserve"> at </w:t>
            </w:r>
            <w:r w:rsidR="0021637B" w:rsidRPr="00A52AEE">
              <w:t>Level</w:t>
            </w:r>
            <w:r w:rsidRPr="00A52AEE">
              <w:t xml:space="preserve"> 5.  </w:t>
            </w:r>
          </w:p>
        </w:tc>
      </w:tr>
      <w:tr w:rsidR="003D034C" w:rsidRPr="00A52AEE" w14:paraId="796E478A" w14:textId="77777777" w:rsidTr="00FE1165">
        <w:trPr>
          <w:trHeight w:val="1342"/>
        </w:trPr>
        <w:tc>
          <w:tcPr>
            <w:tcW w:w="1506" w:type="pct"/>
            <w:vMerge/>
            <w:shd w:val="clear" w:color="auto" w:fill="auto"/>
            <w:tcMar>
              <w:top w:w="113" w:type="dxa"/>
              <w:bottom w:w="113" w:type="dxa"/>
            </w:tcMar>
          </w:tcPr>
          <w:p w14:paraId="6A0DE285" w14:textId="77777777" w:rsidR="003D034C" w:rsidRPr="00A52AEE" w:rsidRDefault="003D034C" w:rsidP="00A52AEE"/>
        </w:tc>
        <w:tc>
          <w:tcPr>
            <w:tcW w:w="3494" w:type="pct"/>
            <w:shd w:val="clear" w:color="auto" w:fill="auto"/>
            <w:tcMar>
              <w:top w:w="113" w:type="dxa"/>
              <w:bottom w:w="113" w:type="dxa"/>
            </w:tcMar>
            <w:vAlign w:val="center"/>
          </w:tcPr>
          <w:p w14:paraId="31B7F63D" w14:textId="1F867AC6" w:rsidR="003D034C" w:rsidRPr="00A52AEE" w:rsidRDefault="003D034C" w:rsidP="00A52AEE">
            <w:r w:rsidRPr="00855E4A">
              <w:rPr>
                <w:rStyle w:val="Emphasis"/>
                <w:rFonts w:cs="Arial"/>
                <w:b/>
              </w:rPr>
              <w:t>Non-prescribed higher education</w:t>
            </w:r>
            <w:r w:rsidRPr="00855E4A">
              <w:rPr>
                <w:sz w:val="32"/>
              </w:rPr>
              <w:t xml:space="preserve"> </w:t>
            </w:r>
            <w:r w:rsidRPr="00A52AEE">
              <w:t xml:space="preserve">– Delivered in FE Colleges with funding directed by the Learning and Skills Council (LSC) up to 2010 and since then by the Skills Funding Agency (SFA).  Qualifications include </w:t>
            </w:r>
            <w:r w:rsidRPr="00A52AEE">
              <w:rPr>
                <w:b/>
              </w:rPr>
              <w:t>NVQ</w:t>
            </w:r>
            <w:r w:rsidRPr="00A52AEE">
              <w:t xml:space="preserve"> programmes and </w:t>
            </w:r>
            <w:r w:rsidRPr="00A52AEE">
              <w:rPr>
                <w:b/>
              </w:rPr>
              <w:t>Professional Certificates</w:t>
            </w:r>
            <w:r w:rsidRPr="00A52AEE">
              <w:t xml:space="preserve"> and </w:t>
            </w:r>
            <w:r w:rsidRPr="00A52AEE">
              <w:rPr>
                <w:b/>
              </w:rPr>
              <w:t>Diplomas</w:t>
            </w:r>
            <w:r w:rsidRPr="00A52AEE">
              <w:t xml:space="preserve"> at </w:t>
            </w:r>
            <w:r w:rsidR="0021637B" w:rsidRPr="00A52AEE">
              <w:t>Level</w:t>
            </w:r>
            <w:r w:rsidRPr="00A52AEE">
              <w:t>s 4 and 5.</w:t>
            </w:r>
          </w:p>
        </w:tc>
      </w:tr>
    </w:tbl>
    <w:p w14:paraId="21381994" w14:textId="77777777" w:rsidR="00C435ED" w:rsidRPr="00A52AEE" w:rsidRDefault="00C435ED" w:rsidP="008D527A">
      <w:pPr>
        <w:pStyle w:val="Heading2"/>
        <w:rPr>
          <w:rStyle w:val="Emphasis"/>
          <w:i w:val="0"/>
          <w:iCs w:val="0"/>
        </w:rPr>
      </w:pPr>
      <w:bookmarkStart w:id="39" w:name="_Toc367106105"/>
    </w:p>
    <w:p w14:paraId="7483512F" w14:textId="22694B4B" w:rsidR="003D034C" w:rsidRPr="00A52AEE" w:rsidRDefault="003D034C" w:rsidP="008D527A">
      <w:pPr>
        <w:pStyle w:val="Heading2"/>
        <w:numPr>
          <w:ilvl w:val="1"/>
          <w:numId w:val="20"/>
        </w:numPr>
        <w:rPr>
          <w:rStyle w:val="Emphasis"/>
          <w:i w:val="0"/>
          <w:iCs w:val="0"/>
        </w:rPr>
      </w:pPr>
      <w:bookmarkStart w:id="40" w:name="_Toc429151290"/>
      <w:r w:rsidRPr="00A52AEE">
        <w:rPr>
          <w:rStyle w:val="Emphasis"/>
          <w:i w:val="0"/>
          <w:iCs w:val="0"/>
        </w:rPr>
        <w:t>Key Results</w:t>
      </w:r>
      <w:bookmarkEnd w:id="39"/>
      <w:bookmarkEnd w:id="40"/>
    </w:p>
    <w:p w14:paraId="352E83E0" w14:textId="6002C351" w:rsidR="00EA4B53" w:rsidRPr="00A52AEE" w:rsidRDefault="00EA4B53" w:rsidP="00A52AEE">
      <w:pPr>
        <w:rPr>
          <w:lang w:eastAsia="en-GB"/>
        </w:rPr>
      </w:pPr>
      <w:r w:rsidRPr="00A52AEE">
        <w:rPr>
          <w:lang w:eastAsia="en-GB"/>
        </w:rPr>
        <w:t xml:space="preserve">The key results emerging from the research are presented here.  The first </w:t>
      </w:r>
      <w:r w:rsidR="008B07E3" w:rsidRPr="00A52AEE">
        <w:rPr>
          <w:lang w:eastAsia="en-GB"/>
        </w:rPr>
        <w:t>section</w:t>
      </w:r>
      <w:r w:rsidRPr="00A52AEE">
        <w:rPr>
          <w:lang w:eastAsia="en-GB"/>
        </w:rPr>
        <w:t xml:space="preserve"> looks at the characteristics of the Level 3 student cohorts as a whole looking at </w:t>
      </w:r>
      <w:r w:rsidR="007A015D" w:rsidRPr="00A52AEE">
        <w:rPr>
          <w:lang w:eastAsia="en-GB"/>
        </w:rPr>
        <w:t>both demographic and programme factors.  The second part analyses progression trends over the period studied and also looks at HE achievement and prior attainment of students at Key Stage 4 in school.</w:t>
      </w:r>
    </w:p>
    <w:p w14:paraId="31EDA23A" w14:textId="77777777" w:rsidR="00EA4B53" w:rsidRPr="00A52AEE" w:rsidRDefault="00EA4B53" w:rsidP="00A52AEE">
      <w:pPr>
        <w:rPr>
          <w:lang w:eastAsia="en-GB"/>
        </w:rPr>
      </w:pPr>
    </w:p>
    <w:p w14:paraId="496C7A50" w14:textId="5485F3FA" w:rsidR="00EA4B53" w:rsidRPr="00A52AEE" w:rsidRDefault="00EA4B53" w:rsidP="00A52AEE">
      <w:pPr>
        <w:rPr>
          <w:lang w:eastAsia="en-GB"/>
        </w:rPr>
      </w:pPr>
      <w:r w:rsidRPr="00A52AEE">
        <w:rPr>
          <w:lang w:eastAsia="en-GB"/>
        </w:rPr>
        <w:t xml:space="preserve"> </w:t>
      </w:r>
    </w:p>
    <w:p w14:paraId="6CCE732E" w14:textId="003A1710" w:rsidR="003D034C" w:rsidRPr="004E52FE" w:rsidRDefault="00FE1165" w:rsidP="004E52FE">
      <w:pPr>
        <w:pStyle w:val="Heading3"/>
      </w:pPr>
      <w:bookmarkStart w:id="41" w:name="_Toc367106106"/>
      <w:bookmarkStart w:id="42" w:name="_Toc429151291"/>
      <w:r w:rsidRPr="004E52FE">
        <w:rPr>
          <w:rStyle w:val="Emphasis"/>
          <w:i w:val="0"/>
          <w:iCs w:val="0"/>
        </w:rPr>
        <w:t>1.2.1</w:t>
      </w:r>
      <w:r w:rsidRPr="004E52FE">
        <w:rPr>
          <w:rStyle w:val="Emphasis"/>
          <w:i w:val="0"/>
          <w:iCs w:val="0"/>
        </w:rPr>
        <w:tab/>
      </w:r>
      <w:r w:rsidR="003D034C" w:rsidRPr="004E52FE">
        <w:rPr>
          <w:rStyle w:val="Emphasis"/>
          <w:i w:val="0"/>
          <w:iCs w:val="0"/>
        </w:rPr>
        <w:t>Characteristics of the London college cohorts</w:t>
      </w:r>
      <w:bookmarkEnd w:id="41"/>
      <w:bookmarkEnd w:id="42"/>
    </w:p>
    <w:p w14:paraId="7FDD2010" w14:textId="77777777" w:rsidR="00E02409" w:rsidRPr="00771DD0" w:rsidRDefault="00E02409" w:rsidP="004E52FE">
      <w:pPr>
        <w:pStyle w:val="Heading3"/>
        <w:rPr>
          <w:rStyle w:val="Emphasis"/>
          <w:b w:val="0"/>
          <w:i w:val="0"/>
        </w:rPr>
      </w:pPr>
      <w:bookmarkStart w:id="43" w:name="_Toc367106107"/>
    </w:p>
    <w:p w14:paraId="06D7496F" w14:textId="77777777" w:rsidR="009D3485" w:rsidRPr="00A52AEE" w:rsidRDefault="009D3485" w:rsidP="00771DD0">
      <w:pPr>
        <w:pStyle w:val="Heading4"/>
      </w:pPr>
      <w:r w:rsidRPr="00A52AEE">
        <w:t>The tracked cohorts</w:t>
      </w:r>
    </w:p>
    <w:p w14:paraId="0C28D8B5" w14:textId="6AF1620D" w:rsidR="009D3485" w:rsidRPr="00A52AEE" w:rsidRDefault="009D3485" w:rsidP="00A52AEE">
      <w:pPr>
        <w:pStyle w:val="ListParagraph"/>
        <w:numPr>
          <w:ilvl w:val="0"/>
          <w:numId w:val="5"/>
        </w:numPr>
      </w:pPr>
      <w:r w:rsidRPr="00A52AEE">
        <w:t xml:space="preserve">In total across five year cohorts, </w:t>
      </w:r>
      <w:r w:rsidR="007A015D" w:rsidRPr="00A52AEE">
        <w:t xml:space="preserve">a total of </w:t>
      </w:r>
      <w:r w:rsidRPr="00A52AEE">
        <w:t xml:space="preserve">221,500 </w:t>
      </w:r>
      <w:r w:rsidR="0021637B" w:rsidRPr="00A52AEE">
        <w:t>Level</w:t>
      </w:r>
      <w:r w:rsidRPr="00A52AEE">
        <w:t xml:space="preserve"> 3 achievers were tracked. Between the first cohort in 2007-08 and the last cohort in 2011-12, there was a 10% growth in numbers.</w:t>
      </w:r>
    </w:p>
    <w:p w14:paraId="2ECEB3AD" w14:textId="77777777" w:rsidR="00FE1165" w:rsidRPr="00A52AEE" w:rsidRDefault="00FE1165" w:rsidP="00A52AEE">
      <w:pPr>
        <w:pStyle w:val="Heading4"/>
      </w:pPr>
    </w:p>
    <w:p w14:paraId="30E4FE5B" w14:textId="52D9EBD9" w:rsidR="0003214C" w:rsidRPr="00A52AEE" w:rsidRDefault="0003214C" w:rsidP="00A52AEE">
      <w:pPr>
        <w:pStyle w:val="Heading4"/>
      </w:pPr>
      <w:r w:rsidRPr="00A52AEE">
        <w:t>Gender</w:t>
      </w:r>
    </w:p>
    <w:p w14:paraId="0D39CCCF" w14:textId="30312AB6" w:rsidR="0003214C" w:rsidRPr="00A52AEE" w:rsidRDefault="007A015D" w:rsidP="00A52AEE">
      <w:pPr>
        <w:pStyle w:val="ListParagraph"/>
        <w:numPr>
          <w:ilvl w:val="0"/>
          <w:numId w:val="5"/>
        </w:numPr>
      </w:pPr>
      <w:r w:rsidRPr="00A52AEE">
        <w:t>There was a higher growth in male student</w:t>
      </w:r>
      <w:r w:rsidR="008B07E3" w:rsidRPr="00A52AEE">
        <w:t xml:space="preserve"> numbers</w:t>
      </w:r>
      <w:r w:rsidRPr="00A52AEE">
        <w:t xml:space="preserve"> </w:t>
      </w:r>
      <w:r w:rsidR="008B07E3" w:rsidRPr="00A52AEE">
        <w:t xml:space="preserve">compared to </w:t>
      </w:r>
      <w:r w:rsidR="0003214C" w:rsidRPr="00A52AEE">
        <w:t xml:space="preserve">females, </w:t>
      </w:r>
      <w:r w:rsidR="008B07E3" w:rsidRPr="00A52AEE">
        <w:t>growing</w:t>
      </w:r>
      <w:r w:rsidR="0003214C" w:rsidRPr="00A52AEE">
        <w:t xml:space="preserve"> by 14% between th</w:t>
      </w:r>
      <w:r w:rsidRPr="00A52AEE">
        <w:t>e tracked cohorts 2007 and 2011</w:t>
      </w:r>
      <w:r w:rsidR="0003214C" w:rsidRPr="00A52AEE">
        <w:t xml:space="preserve"> compared to an 8% growth in females.</w:t>
      </w:r>
    </w:p>
    <w:p w14:paraId="160E3FC5" w14:textId="77777777" w:rsidR="009D3485" w:rsidRPr="00A52AEE" w:rsidRDefault="009D3485" w:rsidP="00A52AEE">
      <w:pPr>
        <w:pStyle w:val="ListParagraph"/>
      </w:pPr>
    </w:p>
    <w:p w14:paraId="7A987972" w14:textId="77777777" w:rsidR="009D3485" w:rsidRPr="00A52AEE" w:rsidRDefault="009D3485" w:rsidP="00A52AEE">
      <w:pPr>
        <w:pStyle w:val="Heading4"/>
      </w:pPr>
      <w:r w:rsidRPr="00A52AEE">
        <w:t>Age</w:t>
      </w:r>
    </w:p>
    <w:p w14:paraId="07C5EF5B" w14:textId="0635BED8" w:rsidR="009D3485" w:rsidRPr="00A52AEE" w:rsidRDefault="009D3485" w:rsidP="00A52AEE">
      <w:pPr>
        <w:pStyle w:val="ListParagraph"/>
        <w:numPr>
          <w:ilvl w:val="0"/>
          <w:numId w:val="4"/>
        </w:numPr>
      </w:pPr>
      <w:r w:rsidRPr="00A52AEE">
        <w:t xml:space="preserve">The population of </w:t>
      </w:r>
      <w:r w:rsidRPr="00A52AEE">
        <w:rPr>
          <w:b/>
        </w:rPr>
        <w:t>young</w:t>
      </w:r>
      <w:r w:rsidRPr="00A52AEE">
        <w:t xml:space="preserve"> </w:t>
      </w:r>
      <w:r w:rsidR="0021637B" w:rsidRPr="00A52AEE">
        <w:t>Level</w:t>
      </w:r>
      <w:r w:rsidRPr="00A52AEE">
        <w:t xml:space="preserve"> 3 students tracked (</w:t>
      </w:r>
      <w:r w:rsidR="005175E4" w:rsidRPr="00A52AEE">
        <w:t>17-19</w:t>
      </w:r>
      <w:r w:rsidRPr="00A52AEE">
        <w:t xml:space="preserve">) grew considerably, </w:t>
      </w:r>
      <w:r w:rsidR="008B07E3" w:rsidRPr="00A52AEE">
        <w:t>increasing</w:t>
      </w:r>
      <w:r w:rsidRPr="00A52AEE">
        <w:t xml:space="preserve"> by </w:t>
      </w:r>
      <w:r w:rsidRPr="00A52AEE">
        <w:rPr>
          <w:b/>
        </w:rPr>
        <w:t>+</w:t>
      </w:r>
      <w:r w:rsidR="0003214C" w:rsidRPr="00A52AEE">
        <w:rPr>
          <w:b/>
        </w:rPr>
        <w:t>33</w:t>
      </w:r>
      <w:r w:rsidRPr="00A52AEE">
        <w:rPr>
          <w:b/>
        </w:rPr>
        <w:t>%</w:t>
      </w:r>
      <w:r w:rsidRPr="00A52AEE">
        <w:t xml:space="preserve"> between 2007-08 and 2011-12. </w:t>
      </w:r>
    </w:p>
    <w:p w14:paraId="6AE1CC76" w14:textId="64BAB7C7" w:rsidR="009D3485" w:rsidRPr="00A52AEE" w:rsidRDefault="009D3485" w:rsidP="00A52AEE">
      <w:pPr>
        <w:pStyle w:val="ListParagraph"/>
        <w:numPr>
          <w:ilvl w:val="0"/>
          <w:numId w:val="4"/>
        </w:numPr>
      </w:pPr>
      <w:r w:rsidRPr="00A52AEE">
        <w:t xml:space="preserve">In contrast, the population of </w:t>
      </w:r>
      <w:r w:rsidR="0021637B" w:rsidRPr="00A52AEE">
        <w:t>Level</w:t>
      </w:r>
      <w:r w:rsidRPr="00A52AEE">
        <w:t xml:space="preserve"> 3 students aged </w:t>
      </w:r>
      <w:r w:rsidRPr="00A52AEE">
        <w:rPr>
          <w:b/>
        </w:rPr>
        <w:t>25+</w:t>
      </w:r>
      <w:r w:rsidRPr="00A52AEE">
        <w:t xml:space="preserve"> fell by </w:t>
      </w:r>
      <w:r w:rsidRPr="00A52AEE">
        <w:rPr>
          <w:b/>
        </w:rPr>
        <w:t>-</w:t>
      </w:r>
      <w:r w:rsidR="0003214C" w:rsidRPr="00A52AEE">
        <w:rPr>
          <w:b/>
        </w:rPr>
        <w:t>20</w:t>
      </w:r>
      <w:r w:rsidRPr="00A52AEE">
        <w:rPr>
          <w:b/>
        </w:rPr>
        <w:t>%.</w:t>
      </w:r>
      <w:r w:rsidRPr="00A52AEE">
        <w:t xml:space="preserve"> </w:t>
      </w:r>
    </w:p>
    <w:p w14:paraId="736DCD3D" w14:textId="39BC3E46" w:rsidR="009D3485" w:rsidRPr="00A52AEE" w:rsidRDefault="009D3485" w:rsidP="00A52AEE">
      <w:pPr>
        <w:pStyle w:val="ListParagraph"/>
        <w:numPr>
          <w:ilvl w:val="0"/>
          <w:numId w:val="4"/>
        </w:numPr>
      </w:pPr>
      <w:r w:rsidRPr="00A52AEE">
        <w:t xml:space="preserve">By 2011-12, </w:t>
      </w:r>
      <w:r w:rsidR="0003214C" w:rsidRPr="00A52AEE">
        <w:rPr>
          <w:b/>
        </w:rPr>
        <w:t>62</w:t>
      </w:r>
      <w:r w:rsidRPr="00A52AEE">
        <w:rPr>
          <w:b/>
        </w:rPr>
        <w:t>%</w:t>
      </w:r>
      <w:r w:rsidRPr="00A52AEE">
        <w:t xml:space="preserve"> of the tracked cohort were between </w:t>
      </w:r>
      <w:r w:rsidRPr="00A52AEE">
        <w:rPr>
          <w:b/>
        </w:rPr>
        <w:t>17-19</w:t>
      </w:r>
      <w:r w:rsidRPr="00A52AEE">
        <w:t xml:space="preserve"> years old.</w:t>
      </w:r>
    </w:p>
    <w:p w14:paraId="594E77A3" w14:textId="77777777" w:rsidR="009D3485" w:rsidRPr="00A52AEE" w:rsidRDefault="009D3485" w:rsidP="00A52AEE">
      <w:pPr>
        <w:pStyle w:val="ListParagraph"/>
      </w:pPr>
    </w:p>
    <w:p w14:paraId="19291D1C" w14:textId="14AC5E7C" w:rsidR="009D3485" w:rsidRPr="00A52AEE" w:rsidRDefault="009D3485" w:rsidP="00A52AEE">
      <w:pPr>
        <w:pStyle w:val="Heading4"/>
      </w:pPr>
      <w:r w:rsidRPr="00A52AEE">
        <w:t>Qualification Type</w:t>
      </w:r>
    </w:p>
    <w:p w14:paraId="05ADE883" w14:textId="77777777" w:rsidR="0003214C" w:rsidRPr="00A52AEE" w:rsidRDefault="009D3485" w:rsidP="00A52AEE">
      <w:pPr>
        <w:pStyle w:val="ListParagraph"/>
        <w:numPr>
          <w:ilvl w:val="0"/>
          <w:numId w:val="6"/>
        </w:numPr>
      </w:pPr>
      <w:r w:rsidRPr="00A52AEE">
        <w:t xml:space="preserve">Access to HE numbers were up </w:t>
      </w:r>
      <w:r w:rsidRPr="00A52AEE">
        <w:rPr>
          <w:b/>
        </w:rPr>
        <w:t>24%</w:t>
      </w:r>
      <w:r w:rsidRPr="00A52AEE">
        <w:t xml:space="preserve"> between the first and last tracked cohort and BTEC numbers nearly doubled with a </w:t>
      </w:r>
      <w:r w:rsidRPr="00A52AEE">
        <w:rPr>
          <w:b/>
        </w:rPr>
        <w:t>93%</w:t>
      </w:r>
      <w:r w:rsidRPr="00A52AEE">
        <w:t xml:space="preserve"> growth in numbers. Meanwhile the numbers of A Level/IB students in the tracked cohorts fell by 11% as did vocational subjects including NVQ which saw a significant decline (-24%).  </w:t>
      </w:r>
    </w:p>
    <w:p w14:paraId="5EB554AC" w14:textId="7AEFD060" w:rsidR="009D3485" w:rsidRPr="00A52AEE" w:rsidRDefault="009D3485" w:rsidP="00A52AEE">
      <w:pPr>
        <w:pStyle w:val="ListParagraph"/>
        <w:numPr>
          <w:ilvl w:val="0"/>
          <w:numId w:val="6"/>
        </w:numPr>
      </w:pPr>
      <w:r w:rsidRPr="00A52AEE">
        <w:t xml:space="preserve">In the latest cohort year 2011-12, BTEC students made up a third of the total tracked cohort and there were double the number of BTEC students than </w:t>
      </w:r>
      <w:r w:rsidR="008B07E3" w:rsidRPr="00A52AEE">
        <w:t xml:space="preserve">there were </w:t>
      </w:r>
      <w:r w:rsidRPr="00A52AEE">
        <w:t xml:space="preserve">A </w:t>
      </w:r>
      <w:r w:rsidR="0021637B" w:rsidRPr="00A52AEE">
        <w:t>Level</w:t>
      </w:r>
      <w:r w:rsidRPr="00A52AEE">
        <w:t xml:space="preserve"> students.</w:t>
      </w:r>
    </w:p>
    <w:p w14:paraId="347044A6" w14:textId="77777777" w:rsidR="0003214C" w:rsidRPr="00A52AEE" w:rsidRDefault="0003214C" w:rsidP="00A52AEE"/>
    <w:p w14:paraId="09E70D67" w14:textId="355DA8B6" w:rsidR="0003214C" w:rsidRPr="00A52AEE" w:rsidRDefault="0003214C" w:rsidP="00A52AEE">
      <w:pPr>
        <w:pStyle w:val="Heading4"/>
      </w:pPr>
      <w:r w:rsidRPr="00A52AEE">
        <w:t>Subject Area</w:t>
      </w:r>
    </w:p>
    <w:p w14:paraId="02B8FCA2" w14:textId="18E4480A" w:rsidR="0003214C" w:rsidRPr="00A52AEE" w:rsidRDefault="0003214C" w:rsidP="00A52AEE">
      <w:pPr>
        <w:pStyle w:val="ListParagraph"/>
        <w:numPr>
          <w:ilvl w:val="0"/>
          <w:numId w:val="7"/>
        </w:numPr>
        <w:rPr>
          <w:lang w:eastAsia="en-GB"/>
        </w:rPr>
      </w:pPr>
      <w:r w:rsidRPr="00A52AEE">
        <w:rPr>
          <w:lang w:eastAsia="en-GB"/>
        </w:rPr>
        <w:t>Arts, Media and Publishing, Health, Public Services and Care and Business Administration and Law saw increases in the population of the tracked cohort between</w:t>
      </w:r>
      <w:r w:rsidR="007A015D" w:rsidRPr="00A52AEE">
        <w:rPr>
          <w:lang w:eastAsia="en-GB"/>
        </w:rPr>
        <w:t xml:space="preserve"> 2007 and 2011.  Education </w:t>
      </w:r>
      <w:r w:rsidR="007A015D" w:rsidRPr="00A52AEE">
        <w:rPr>
          <w:lang w:eastAsia="en-GB"/>
        </w:rPr>
        <w:lastRenderedPageBreak/>
        <w:t>and T</w:t>
      </w:r>
      <w:r w:rsidRPr="00A52AEE">
        <w:rPr>
          <w:lang w:eastAsia="en-GB"/>
        </w:rPr>
        <w:t>raining, Science and Mathematics and Agriculture, Horticulture and Animal Care saw decreases.</w:t>
      </w:r>
    </w:p>
    <w:p w14:paraId="51A4CB87" w14:textId="77777777" w:rsidR="0003214C" w:rsidRPr="00A52AEE" w:rsidRDefault="0003214C" w:rsidP="00A52AEE"/>
    <w:p w14:paraId="3A20DC59" w14:textId="57BFCC60" w:rsidR="0003214C" w:rsidRPr="00A52AEE" w:rsidRDefault="007A015D" w:rsidP="00A52AEE">
      <w:pPr>
        <w:pStyle w:val="Heading4"/>
      </w:pPr>
      <w:r w:rsidRPr="00A52AEE">
        <w:t>Ethnic grouping</w:t>
      </w:r>
    </w:p>
    <w:p w14:paraId="1D8C7C7E" w14:textId="35B48D49" w:rsidR="00A23B1C" w:rsidRPr="00A52AEE" w:rsidRDefault="00A23B1C" w:rsidP="00A52AEE">
      <w:pPr>
        <w:pStyle w:val="ListParagraph"/>
        <w:numPr>
          <w:ilvl w:val="0"/>
          <w:numId w:val="7"/>
        </w:numPr>
      </w:pPr>
      <w:r w:rsidRPr="00A52AEE">
        <w:rPr>
          <w:b/>
        </w:rPr>
        <w:t>61%</w:t>
      </w:r>
      <w:r w:rsidRPr="00A52AEE">
        <w:t xml:space="preserve"> of students </w:t>
      </w:r>
      <w:r w:rsidR="007A015D" w:rsidRPr="00A52AEE">
        <w:t>were</w:t>
      </w:r>
      <w:r w:rsidRPr="00A52AEE">
        <w:t xml:space="preserve"> classified as </w:t>
      </w:r>
      <w:r w:rsidR="00C435ED" w:rsidRPr="00A52AEE">
        <w:t xml:space="preserve">from </w:t>
      </w:r>
      <w:r w:rsidRPr="00A52AEE">
        <w:t xml:space="preserve">Black and Minority Ethnic (BME) </w:t>
      </w:r>
      <w:r w:rsidR="00C435ED" w:rsidRPr="00A52AEE">
        <w:t xml:space="preserve">groups </w:t>
      </w:r>
      <w:r w:rsidRPr="00A52AEE">
        <w:t xml:space="preserve">in the tracked cohort and BME students have seen a larger increase in numbers across the cohorts (+19%) compared to +3% in White students. </w:t>
      </w:r>
    </w:p>
    <w:p w14:paraId="53E291B6" w14:textId="50D4E4B4" w:rsidR="00A23B1C" w:rsidRPr="00A52AEE" w:rsidRDefault="00A23B1C" w:rsidP="00A52AEE">
      <w:pPr>
        <w:pStyle w:val="ListParagraph"/>
        <w:numPr>
          <w:ilvl w:val="0"/>
          <w:numId w:val="7"/>
        </w:numPr>
      </w:pPr>
      <w:r w:rsidRPr="00A52AEE">
        <w:t>Some ethnic groups have seen larger increases than others e.g. Black African and Asian Pakistani</w:t>
      </w:r>
      <w:r w:rsidR="008B07E3" w:rsidRPr="00A52AEE">
        <w:t xml:space="preserve"> ethnic groups</w:t>
      </w:r>
      <w:r w:rsidRPr="00A52AEE">
        <w:t xml:space="preserve">. </w:t>
      </w:r>
    </w:p>
    <w:p w14:paraId="421B800E" w14:textId="297AA9A2" w:rsidR="00A23B1C" w:rsidRPr="00A52AEE" w:rsidRDefault="00A23B1C" w:rsidP="00A52AEE">
      <w:pPr>
        <w:pStyle w:val="ListParagraph"/>
        <w:numPr>
          <w:ilvl w:val="0"/>
          <w:numId w:val="7"/>
        </w:numPr>
      </w:pPr>
      <w:r w:rsidRPr="00A52AEE">
        <w:t>Ethnic groups have different age profiles. For example, there are proportionally more mature White students in the cohort age 25+ years whereas Asian groups are made up of more young students</w:t>
      </w:r>
      <w:r w:rsidR="008B07E3" w:rsidRPr="00A52AEE">
        <w:t xml:space="preserve"> (17-19)</w:t>
      </w:r>
      <w:r w:rsidRPr="00A52AEE">
        <w:t>.</w:t>
      </w:r>
    </w:p>
    <w:p w14:paraId="0C1F6721" w14:textId="080D8169" w:rsidR="00A23B1C" w:rsidRPr="00A52AEE" w:rsidRDefault="00A23B1C" w:rsidP="00A52AEE">
      <w:pPr>
        <w:pStyle w:val="ListParagraph"/>
        <w:numPr>
          <w:ilvl w:val="0"/>
          <w:numId w:val="7"/>
        </w:numPr>
        <w:rPr>
          <w:i/>
          <w:color w:val="2E74B5" w:themeColor="accent1" w:themeShade="BF"/>
        </w:rPr>
      </w:pPr>
      <w:r w:rsidRPr="00A52AEE">
        <w:t xml:space="preserve">Different </w:t>
      </w:r>
      <w:r w:rsidR="0021637B" w:rsidRPr="00A52AEE">
        <w:t>Level</w:t>
      </w:r>
      <w:r w:rsidRPr="00A52AEE">
        <w:t xml:space="preserve"> 3 qualification types dominate at ethnic group level.  Asian students are more likely to be studying A </w:t>
      </w:r>
      <w:r w:rsidR="0021637B" w:rsidRPr="00A52AEE">
        <w:t>Level</w:t>
      </w:r>
      <w:r w:rsidRPr="00A52AEE">
        <w:t xml:space="preserve"> </w:t>
      </w:r>
      <w:r w:rsidR="002A742A" w:rsidRPr="00A52AEE">
        <w:t>qualifications than Black or White students for example.</w:t>
      </w:r>
      <w:r w:rsidR="00FB547D" w:rsidRPr="00A52AEE">
        <w:t xml:space="preserve"> However, BTEC student numbers have grown in all ethnic groups.</w:t>
      </w:r>
    </w:p>
    <w:p w14:paraId="2978C06A" w14:textId="0D9B3EE4" w:rsidR="002A742A" w:rsidRPr="00A52AEE" w:rsidRDefault="002A742A" w:rsidP="00A52AEE">
      <w:pPr>
        <w:pStyle w:val="ListParagraph"/>
        <w:numPr>
          <w:ilvl w:val="0"/>
          <w:numId w:val="7"/>
        </w:numPr>
      </w:pPr>
      <w:r w:rsidRPr="00A52AEE">
        <w:t>Similarly, subject areas are represented at different rates at ethnic group level. For example, 28% of White students are studying subjects related to Arts, Media and Publishing while only 11% of Asian Pakistani students are studying in this sector area.</w:t>
      </w:r>
    </w:p>
    <w:p w14:paraId="1878AFED" w14:textId="5DBD0050" w:rsidR="002A742A" w:rsidRPr="00A52AEE" w:rsidRDefault="002A742A" w:rsidP="00A52AEE">
      <w:pPr>
        <w:pStyle w:val="ListParagraph"/>
        <w:numPr>
          <w:ilvl w:val="0"/>
          <w:numId w:val="7"/>
        </w:numPr>
        <w:rPr>
          <w:color w:val="2E74B5" w:themeColor="accent1" w:themeShade="BF"/>
        </w:rPr>
      </w:pPr>
      <w:r w:rsidRPr="00A52AEE">
        <w:t>Ethnic diversity varies significantly at borough level and this is likely to contribute to differences in progression patterns within boroughs.</w:t>
      </w:r>
    </w:p>
    <w:p w14:paraId="6901DE5A" w14:textId="77777777" w:rsidR="002A742A" w:rsidRPr="00A52AEE" w:rsidRDefault="002A742A" w:rsidP="00A52AEE"/>
    <w:p w14:paraId="69618DD8" w14:textId="2BBC795E" w:rsidR="0003214C" w:rsidRPr="00A52AEE" w:rsidRDefault="0003214C" w:rsidP="00A52AEE">
      <w:pPr>
        <w:pStyle w:val="Heading4"/>
      </w:pPr>
      <w:r w:rsidRPr="00A52AEE">
        <w:t>Disadvantage</w:t>
      </w:r>
    </w:p>
    <w:p w14:paraId="7888C42A" w14:textId="37683EA4" w:rsidR="0003214C" w:rsidRPr="00A52AEE" w:rsidRDefault="0076166E" w:rsidP="00A52AEE">
      <w:pPr>
        <w:pStyle w:val="ListParagraph"/>
        <w:numPr>
          <w:ilvl w:val="0"/>
          <w:numId w:val="7"/>
        </w:numPr>
      </w:pPr>
      <w:r w:rsidRPr="00A52AEE">
        <w:t>London</w:t>
      </w:r>
      <w:r w:rsidR="00A23B1C" w:rsidRPr="00A52AEE">
        <w:t xml:space="preserve"> colleges are delivering </w:t>
      </w:r>
      <w:r w:rsidR="0021637B" w:rsidRPr="00A52AEE">
        <w:t>Level</w:t>
      </w:r>
      <w:r w:rsidR="00A23B1C" w:rsidRPr="00A52AEE">
        <w:t xml:space="preserve"> 3 </w:t>
      </w:r>
      <w:r w:rsidR="00CA74F1" w:rsidRPr="00A52AEE">
        <w:t xml:space="preserve">programmes </w:t>
      </w:r>
      <w:r w:rsidR="00A23B1C" w:rsidRPr="00A52AEE">
        <w:t xml:space="preserve">to large numbers of students classified as living in deprived areas. </w:t>
      </w:r>
      <w:r w:rsidR="0003214C" w:rsidRPr="00A52AEE">
        <w:t xml:space="preserve">Using Income Deprivation Affecting Children Index </w:t>
      </w:r>
      <w:r w:rsidR="00CA74F1" w:rsidRPr="00A52AEE">
        <w:t xml:space="preserve">(IDACI) </w:t>
      </w:r>
      <w:r w:rsidR="0003214C" w:rsidRPr="00A52AEE">
        <w:t>as a metric for disadvantage</w:t>
      </w:r>
      <w:r w:rsidR="00CA74F1" w:rsidRPr="00A52AEE">
        <w:t>,</w:t>
      </w:r>
      <w:r w:rsidR="0003214C" w:rsidRPr="00A52AEE">
        <w:t xml:space="preserve"> around </w:t>
      </w:r>
      <w:r w:rsidR="0003214C" w:rsidRPr="00A52AEE">
        <w:rPr>
          <w:b/>
        </w:rPr>
        <w:t>three in four</w:t>
      </w:r>
      <w:r w:rsidR="0003214C" w:rsidRPr="00A52AEE">
        <w:t xml:space="preserve"> of the FE students in this study were classified as living in the top 40% </w:t>
      </w:r>
      <w:r w:rsidR="008B07E3" w:rsidRPr="00A52AEE">
        <w:t>most deprived neighbourhoods</w:t>
      </w:r>
      <w:r w:rsidR="0003214C" w:rsidRPr="00A52AEE">
        <w:t xml:space="preserve">.  Furthermore, the numbers classified as living in </w:t>
      </w:r>
      <w:r w:rsidR="00CA74F1" w:rsidRPr="00A52AEE">
        <w:t xml:space="preserve">IDACI </w:t>
      </w:r>
      <w:r w:rsidR="0003214C" w:rsidRPr="00A52AEE">
        <w:t>Q1</w:t>
      </w:r>
      <w:r w:rsidR="00CA74F1" w:rsidRPr="00A52AEE">
        <w:t xml:space="preserve">, the most deprived areas, </w:t>
      </w:r>
      <w:r w:rsidR="0003214C" w:rsidRPr="00A52AEE">
        <w:t xml:space="preserve">have increased from </w:t>
      </w:r>
      <w:r w:rsidR="00A23B1C" w:rsidRPr="00A52AEE">
        <w:t>20</w:t>
      </w:r>
      <w:r w:rsidR="00C435ED" w:rsidRPr="00A52AEE">
        <w:t>,</w:t>
      </w:r>
      <w:r w:rsidR="00A23B1C" w:rsidRPr="00A52AEE">
        <w:t>990 in 2007-08 to 24</w:t>
      </w:r>
      <w:r w:rsidR="00C435ED" w:rsidRPr="00A52AEE">
        <w:t>,</w:t>
      </w:r>
      <w:r w:rsidR="00A23B1C" w:rsidRPr="00A52AEE">
        <w:t>785 in 2011-12. Meanwhile, the numbers classified as Q5 (least deprived) have gone down, from 2</w:t>
      </w:r>
      <w:r w:rsidR="00C435ED" w:rsidRPr="00A52AEE">
        <w:t>,</w:t>
      </w:r>
      <w:r w:rsidR="00A23B1C" w:rsidRPr="00A52AEE">
        <w:t>490 to 2</w:t>
      </w:r>
      <w:r w:rsidR="00C435ED" w:rsidRPr="00A52AEE">
        <w:t>,</w:t>
      </w:r>
      <w:r w:rsidR="00A23B1C" w:rsidRPr="00A52AEE">
        <w:t>165 over the same period.</w:t>
      </w:r>
    </w:p>
    <w:p w14:paraId="3394A06C" w14:textId="77777777" w:rsidR="009D3485" w:rsidRPr="00A52AEE" w:rsidRDefault="009D3485" w:rsidP="00A52AEE"/>
    <w:p w14:paraId="72B079BC" w14:textId="55D46284" w:rsidR="003D034C" w:rsidRPr="00A52AEE" w:rsidRDefault="00FE1165" w:rsidP="004E52FE">
      <w:pPr>
        <w:pStyle w:val="Heading3"/>
        <w:rPr>
          <w:rStyle w:val="Emphasis"/>
          <w:i w:val="0"/>
          <w:iCs w:val="0"/>
        </w:rPr>
      </w:pPr>
      <w:bookmarkStart w:id="44" w:name="_Toc429151292"/>
      <w:r w:rsidRPr="00A52AEE">
        <w:rPr>
          <w:rStyle w:val="Emphasis"/>
          <w:i w:val="0"/>
          <w:iCs w:val="0"/>
        </w:rPr>
        <w:t>1.2.2</w:t>
      </w:r>
      <w:r w:rsidRPr="00A52AEE">
        <w:rPr>
          <w:rStyle w:val="Emphasis"/>
          <w:i w:val="0"/>
          <w:iCs w:val="0"/>
        </w:rPr>
        <w:tab/>
      </w:r>
      <w:r w:rsidR="003D034C" w:rsidRPr="00A52AEE">
        <w:rPr>
          <w:rStyle w:val="Emphasis"/>
          <w:i w:val="0"/>
          <w:iCs w:val="0"/>
        </w:rPr>
        <w:t>Higher education progression trends</w:t>
      </w:r>
      <w:bookmarkEnd w:id="43"/>
      <w:bookmarkEnd w:id="44"/>
      <w:r w:rsidR="003D034C" w:rsidRPr="00A52AEE">
        <w:rPr>
          <w:rStyle w:val="Emphasis"/>
          <w:i w:val="0"/>
          <w:iCs w:val="0"/>
        </w:rPr>
        <w:t xml:space="preserve"> </w:t>
      </w:r>
    </w:p>
    <w:p w14:paraId="702DE5B2" w14:textId="77777777" w:rsidR="0078557B" w:rsidRPr="00A52AEE" w:rsidRDefault="0078557B" w:rsidP="00A52AEE"/>
    <w:p w14:paraId="2BD1E0DD" w14:textId="480E11AD" w:rsidR="0078557B" w:rsidRPr="00A52AEE" w:rsidRDefault="0078557B" w:rsidP="00A52AEE">
      <w:pPr>
        <w:pStyle w:val="Heading4"/>
      </w:pPr>
      <w:r w:rsidRPr="00A52AEE">
        <w:t>Overall</w:t>
      </w:r>
    </w:p>
    <w:p w14:paraId="283A0F31" w14:textId="458E7577" w:rsidR="00853B8F" w:rsidRPr="00A52AEE" w:rsidRDefault="0078557B" w:rsidP="00A52AEE">
      <w:pPr>
        <w:pStyle w:val="ListParagraph"/>
        <w:numPr>
          <w:ilvl w:val="0"/>
          <w:numId w:val="23"/>
        </w:numPr>
      </w:pPr>
      <w:r w:rsidRPr="00A52AEE">
        <w:t xml:space="preserve">The immediate HE progression rate of </w:t>
      </w:r>
      <w:r w:rsidR="0021637B" w:rsidRPr="00A52AEE">
        <w:t>Level</w:t>
      </w:r>
      <w:r w:rsidRPr="00A52AEE">
        <w:t xml:space="preserve"> 3 students in FE and Six</w:t>
      </w:r>
      <w:r w:rsidR="00CA74F1" w:rsidRPr="00A52AEE">
        <w:t xml:space="preserve">th Form Colleges is between </w:t>
      </w:r>
      <w:r w:rsidR="00CA74F1" w:rsidRPr="00A52AEE">
        <w:rPr>
          <w:b/>
        </w:rPr>
        <w:t xml:space="preserve">38% and </w:t>
      </w:r>
      <w:r w:rsidRPr="00A52AEE">
        <w:rPr>
          <w:b/>
        </w:rPr>
        <w:t>43%.</w:t>
      </w:r>
      <w:r w:rsidRPr="00A52AEE">
        <w:t xml:space="preserve">  The highest rate of 43% was in 2010 for the cohort who entered HE in 2011 and the lower rate of 38% for the 2011 cohort who entered in </w:t>
      </w:r>
      <w:r w:rsidR="00C435ED" w:rsidRPr="00A52AEE">
        <w:t>2012, the year higher fees were introduced.</w:t>
      </w:r>
      <w:r w:rsidRPr="00A52AEE">
        <w:t xml:space="preserve">  </w:t>
      </w:r>
      <w:r w:rsidR="00853B8F" w:rsidRPr="00A52AEE">
        <w:t>Average progression</w:t>
      </w:r>
      <w:r w:rsidRPr="00A52AEE">
        <w:t xml:space="preserve"> rates </w:t>
      </w:r>
      <w:r w:rsidR="00853B8F" w:rsidRPr="00A52AEE">
        <w:t xml:space="preserve">are </w:t>
      </w:r>
      <w:r w:rsidRPr="00A52AEE">
        <w:t xml:space="preserve">affected by the cohort </w:t>
      </w:r>
      <w:r w:rsidR="00C455AD" w:rsidRPr="00A52AEE">
        <w:t>composition, including</w:t>
      </w:r>
      <w:r w:rsidRPr="00A52AEE">
        <w:t xml:space="preserve"> </w:t>
      </w:r>
      <w:r w:rsidR="00853B8F" w:rsidRPr="00A52AEE">
        <w:t>age, ethnicity and qualifications being studied.</w:t>
      </w:r>
    </w:p>
    <w:p w14:paraId="1452FA4A" w14:textId="77777777" w:rsidR="00853B8F" w:rsidRPr="00A52AEE" w:rsidRDefault="00853B8F" w:rsidP="00A52AEE"/>
    <w:p w14:paraId="4E589683" w14:textId="77777777" w:rsidR="00853B8F" w:rsidRPr="00A52AEE" w:rsidRDefault="00853B8F" w:rsidP="00A52AEE">
      <w:pPr>
        <w:pStyle w:val="Heading4"/>
      </w:pPr>
      <w:r w:rsidRPr="00A52AEE">
        <w:t xml:space="preserve">Age </w:t>
      </w:r>
    </w:p>
    <w:p w14:paraId="5EC8F2F0" w14:textId="3B7444B8" w:rsidR="0078557B" w:rsidRPr="00A52AEE" w:rsidRDefault="00853B8F" w:rsidP="00A52AEE">
      <w:pPr>
        <w:pStyle w:val="ListParagraph"/>
        <w:numPr>
          <w:ilvl w:val="0"/>
          <w:numId w:val="23"/>
        </w:numPr>
      </w:pPr>
      <w:r w:rsidRPr="00A52AEE">
        <w:t xml:space="preserve">Progression for young students </w:t>
      </w:r>
      <w:r w:rsidR="00CA74F1" w:rsidRPr="00A52AEE">
        <w:t>(</w:t>
      </w:r>
      <w:r w:rsidR="005175E4" w:rsidRPr="00A52AEE">
        <w:t>17-19</w:t>
      </w:r>
      <w:r w:rsidR="00CA74F1" w:rsidRPr="00A52AEE">
        <w:t xml:space="preserve">) </w:t>
      </w:r>
      <w:r w:rsidRPr="00A52AEE">
        <w:t xml:space="preserve">is considerably higher than for mature students. The young </w:t>
      </w:r>
      <w:r w:rsidR="0076166E" w:rsidRPr="00A52AEE">
        <w:t>London</w:t>
      </w:r>
      <w:r w:rsidRPr="00A52AEE">
        <w:t xml:space="preserve"> college cohort saw progression rates as high as 75% in the earlier cohorts (2007 and 2008) but in later years rates have declined, this is d</w:t>
      </w:r>
      <w:r w:rsidR="00CA74F1" w:rsidRPr="00A52AEE">
        <w:t xml:space="preserve">ue to an increasing population, </w:t>
      </w:r>
      <w:r w:rsidRPr="00A52AEE">
        <w:t xml:space="preserve">especially </w:t>
      </w:r>
      <w:r w:rsidR="00CA74F1" w:rsidRPr="00A52AEE">
        <w:t xml:space="preserve">of </w:t>
      </w:r>
      <w:r w:rsidRPr="00A52AEE">
        <w:t xml:space="preserve">BTEC </w:t>
      </w:r>
      <w:r w:rsidR="00842186" w:rsidRPr="00A52AEE">
        <w:t>student</w:t>
      </w:r>
      <w:r w:rsidRPr="00A52AEE">
        <w:t xml:space="preserve">s and </w:t>
      </w:r>
      <w:r w:rsidR="00CA74F1" w:rsidRPr="00A52AEE">
        <w:t xml:space="preserve">it </w:t>
      </w:r>
      <w:r w:rsidRPr="00A52AEE">
        <w:t xml:space="preserve">worsened in 2012 </w:t>
      </w:r>
      <w:r w:rsidR="008B07E3" w:rsidRPr="00A52AEE">
        <w:t>when fees were increased when it</w:t>
      </w:r>
      <w:r w:rsidRPr="00A52AEE">
        <w:t xml:space="preserve"> dropped to an all-time low of 45%. </w:t>
      </w:r>
    </w:p>
    <w:p w14:paraId="2DAC5A39" w14:textId="2C0756A5" w:rsidR="0078557B" w:rsidRPr="00A52AEE" w:rsidRDefault="00853B8F" w:rsidP="00A52AEE">
      <w:pPr>
        <w:pStyle w:val="ListParagraph"/>
        <w:numPr>
          <w:ilvl w:val="0"/>
          <w:numId w:val="23"/>
        </w:numPr>
      </w:pPr>
      <w:r w:rsidRPr="00A52AEE">
        <w:lastRenderedPageBreak/>
        <w:t>Against a backdrop of significantly reduced numbers</w:t>
      </w:r>
      <w:r w:rsidR="00CA74F1" w:rsidRPr="00A52AEE">
        <w:t>,</w:t>
      </w:r>
      <w:r w:rsidRPr="00A52AEE">
        <w:t xml:space="preserve"> the progression rate of mature </w:t>
      </w:r>
      <w:r w:rsidR="00842186" w:rsidRPr="00A52AEE">
        <w:t>student</w:t>
      </w:r>
      <w:r w:rsidRPr="00A52AEE">
        <w:t>s aged 25+ years actually increased from 15% for the 2007-08 cohort to 23% for the later cohort in 2011-12</w:t>
      </w:r>
      <w:r w:rsidR="00CA74F1" w:rsidRPr="00A52AEE">
        <w:t xml:space="preserve"> progressing to higher education in 2012-13</w:t>
      </w:r>
      <w:r w:rsidRPr="00A52AEE">
        <w:t>.</w:t>
      </w:r>
    </w:p>
    <w:p w14:paraId="7264546D" w14:textId="77777777" w:rsidR="00853B8F" w:rsidRPr="00A52AEE" w:rsidRDefault="00853B8F" w:rsidP="00A52AEE"/>
    <w:p w14:paraId="7BFA25DD" w14:textId="6ED9232F" w:rsidR="00E02409" w:rsidRPr="00A52AEE" w:rsidRDefault="00853B8F" w:rsidP="00A52AEE">
      <w:pPr>
        <w:pStyle w:val="Heading4"/>
        <w:rPr>
          <w:rStyle w:val="Emphasis"/>
          <w:i w:val="0"/>
        </w:rPr>
      </w:pPr>
      <w:bookmarkStart w:id="45" w:name="_Toc367106108"/>
      <w:r w:rsidRPr="00A52AEE">
        <w:rPr>
          <w:rStyle w:val="Emphasis"/>
          <w:i w:val="0"/>
        </w:rPr>
        <w:t>Gender</w:t>
      </w:r>
    </w:p>
    <w:p w14:paraId="58E89CED" w14:textId="6AA59552" w:rsidR="00853B8F" w:rsidRPr="00A52AEE" w:rsidRDefault="00853B8F" w:rsidP="00A52AEE">
      <w:pPr>
        <w:pStyle w:val="ListParagraph"/>
        <w:numPr>
          <w:ilvl w:val="0"/>
          <w:numId w:val="7"/>
        </w:numPr>
      </w:pPr>
      <w:r w:rsidRPr="00A52AEE">
        <w:t>Progression rates for females and males are not significantly different although the dip in rates seen for the 2011-12 cohort who entered HE in 2012-13 was more pronounced for young males than young females.</w:t>
      </w:r>
    </w:p>
    <w:p w14:paraId="0EEFE5CF" w14:textId="77777777" w:rsidR="00853B8F" w:rsidRPr="00A52AEE" w:rsidRDefault="00853B8F" w:rsidP="00A52AEE"/>
    <w:p w14:paraId="5053790B" w14:textId="5595ACCC" w:rsidR="00853B8F" w:rsidRPr="00A52AEE" w:rsidRDefault="00853B8F" w:rsidP="00A52AEE">
      <w:pPr>
        <w:pStyle w:val="Heading4"/>
      </w:pPr>
      <w:r w:rsidRPr="00A52AEE">
        <w:t>Level 3 Qualification Type</w:t>
      </w:r>
    </w:p>
    <w:p w14:paraId="17C1DD44" w14:textId="3048A9D3" w:rsidR="00BF6EF0" w:rsidRPr="00A52AEE" w:rsidRDefault="00853B8F" w:rsidP="00A52AEE">
      <w:pPr>
        <w:pStyle w:val="ListParagraph"/>
        <w:numPr>
          <w:ilvl w:val="0"/>
          <w:numId w:val="7"/>
        </w:numPr>
      </w:pPr>
      <w:r w:rsidRPr="00A52AEE">
        <w:t xml:space="preserve">Progression rates vary by </w:t>
      </w:r>
      <w:r w:rsidR="0021637B" w:rsidRPr="00A52AEE">
        <w:t>Level</w:t>
      </w:r>
      <w:r w:rsidRPr="00A52AEE">
        <w:t xml:space="preserve"> 3 qualification type. A </w:t>
      </w:r>
      <w:r w:rsidR="0021637B" w:rsidRPr="00A52AEE">
        <w:t>Level</w:t>
      </w:r>
      <w:r w:rsidRPr="00A52AEE">
        <w:t xml:space="preserve"> and Access to HE students have the highest rates of progre</w:t>
      </w:r>
      <w:r w:rsidR="00BF6EF0" w:rsidRPr="00A52AEE">
        <w:t xml:space="preserve">ssion to HE and these groups of </w:t>
      </w:r>
      <w:r w:rsidR="00842186" w:rsidRPr="00A52AEE">
        <w:t>student</w:t>
      </w:r>
      <w:r w:rsidR="00BF6EF0" w:rsidRPr="00A52AEE">
        <w:t>s did not see a dip in rates to the same extent as BTEC students.</w:t>
      </w:r>
    </w:p>
    <w:p w14:paraId="06846262" w14:textId="529D9C2B" w:rsidR="00BF6EF0" w:rsidRPr="00A52AEE" w:rsidRDefault="00BF6EF0" w:rsidP="00A52AEE">
      <w:pPr>
        <w:pStyle w:val="ListParagraph"/>
        <w:numPr>
          <w:ilvl w:val="0"/>
          <w:numId w:val="7"/>
        </w:numPr>
      </w:pPr>
      <w:r w:rsidRPr="00A52AEE">
        <w:t>BTEC students</w:t>
      </w:r>
      <w:r w:rsidR="00CA74F1" w:rsidRPr="00A52AEE">
        <w:t>,</w:t>
      </w:r>
      <w:r w:rsidRPr="00A52AEE">
        <w:t xml:space="preserve"> whose numbers nearly doubled across the tracked cohort</w:t>
      </w:r>
      <w:r w:rsidR="00CA74F1" w:rsidRPr="00A52AEE">
        <w:t>,</w:t>
      </w:r>
      <w:r w:rsidRPr="00A52AEE">
        <w:t xml:space="preserve"> saw a significant decrease in progression </w:t>
      </w:r>
      <w:r w:rsidRPr="00A52AEE">
        <w:rPr>
          <w:b/>
        </w:rPr>
        <w:t>rates</w:t>
      </w:r>
      <w:r w:rsidRPr="00A52AEE">
        <w:t xml:space="preserve"> across the cohort years. In 2007-08, </w:t>
      </w:r>
      <w:r w:rsidRPr="00A52AEE">
        <w:rPr>
          <w:b/>
        </w:rPr>
        <w:t>58%</w:t>
      </w:r>
      <w:r w:rsidRPr="00A52AEE">
        <w:t xml:space="preserve"> of the BTEC cohort progressed to HE but by the 2011-12 cohort this had declined to </w:t>
      </w:r>
      <w:r w:rsidRPr="00A52AEE">
        <w:rPr>
          <w:b/>
        </w:rPr>
        <w:t>34%.</w:t>
      </w:r>
      <w:r w:rsidRPr="00A52AEE">
        <w:t xml:space="preserve"> Even so, the </w:t>
      </w:r>
      <w:r w:rsidRPr="00A52AEE">
        <w:rPr>
          <w:b/>
        </w:rPr>
        <w:t>number</w:t>
      </w:r>
      <w:r w:rsidRPr="00A52AEE">
        <w:t xml:space="preserve"> of London college </w:t>
      </w:r>
      <w:r w:rsidR="0021637B" w:rsidRPr="00A52AEE">
        <w:t>Level</w:t>
      </w:r>
      <w:r w:rsidRPr="00A52AEE">
        <w:t xml:space="preserve"> 3 entrants moving on to HE with a BTEC has increased and now exceeds the number of entrants with an A </w:t>
      </w:r>
      <w:r w:rsidR="0021637B" w:rsidRPr="00A52AEE">
        <w:t>Level</w:t>
      </w:r>
      <w:r w:rsidRPr="00A52AEE">
        <w:t>.</w:t>
      </w:r>
    </w:p>
    <w:p w14:paraId="319A6487" w14:textId="36833999" w:rsidR="005B57B0" w:rsidRPr="00A52AEE" w:rsidRDefault="005B57B0" w:rsidP="00A52AEE">
      <w:pPr>
        <w:pStyle w:val="ListParagraph"/>
        <w:numPr>
          <w:ilvl w:val="0"/>
          <w:numId w:val="7"/>
        </w:numPr>
      </w:pPr>
      <w:r w:rsidRPr="00A52AEE">
        <w:t>A progression map by FE qualification type is provided for easy reference</w:t>
      </w:r>
      <w:r w:rsidR="00CA74F1" w:rsidRPr="00A52AEE">
        <w:t xml:space="preserve"> (see Section 8.1)</w:t>
      </w:r>
      <w:r w:rsidRPr="00A52AEE">
        <w:t xml:space="preserve"> </w:t>
      </w:r>
    </w:p>
    <w:p w14:paraId="7E491789" w14:textId="77777777" w:rsidR="00BF6EF0" w:rsidRPr="00A52AEE" w:rsidRDefault="00BF6EF0" w:rsidP="00A52AEE"/>
    <w:p w14:paraId="35B4489F" w14:textId="6AE6B7A5" w:rsidR="00BF6EF0" w:rsidRPr="00A52AEE" w:rsidRDefault="00BF6EF0" w:rsidP="00A52AEE">
      <w:pPr>
        <w:pStyle w:val="Heading4"/>
      </w:pPr>
      <w:r w:rsidRPr="00A52AEE">
        <w:t>HE qualification Type</w:t>
      </w:r>
    </w:p>
    <w:p w14:paraId="373E44EB" w14:textId="31B4367A" w:rsidR="00BF6EF0" w:rsidRPr="00A52AEE" w:rsidRDefault="00BF6EF0" w:rsidP="00A52AEE">
      <w:pPr>
        <w:pStyle w:val="ListParagraph"/>
        <w:numPr>
          <w:ilvl w:val="0"/>
          <w:numId w:val="8"/>
        </w:numPr>
      </w:pPr>
      <w:r w:rsidRPr="00A52AEE">
        <w:t xml:space="preserve">The majority of young </w:t>
      </w:r>
      <w:r w:rsidR="00DE70BB" w:rsidRPr="00A52AEE">
        <w:t xml:space="preserve">London </w:t>
      </w:r>
      <w:r w:rsidR="00842186" w:rsidRPr="00A52AEE">
        <w:t>student</w:t>
      </w:r>
      <w:r w:rsidR="00DE70BB" w:rsidRPr="00A52AEE">
        <w:t>s progress onto a First d</w:t>
      </w:r>
      <w:r w:rsidRPr="00A52AEE">
        <w:t xml:space="preserve">egree whereas older </w:t>
      </w:r>
      <w:r w:rsidR="00842186" w:rsidRPr="00A52AEE">
        <w:t>student</w:t>
      </w:r>
      <w:r w:rsidRPr="00A52AEE">
        <w:t>s aged 25+ years are more likely to study a range of programmes including Other Undergraduate</w:t>
      </w:r>
      <w:r w:rsidR="00DE70BB" w:rsidRPr="00A52AEE">
        <w:t xml:space="preserve"> (including Foundation degrees, HNCs and HNDs)</w:t>
      </w:r>
      <w:r w:rsidRPr="00A52AEE">
        <w:t xml:space="preserve">.  </w:t>
      </w:r>
    </w:p>
    <w:p w14:paraId="1E01AA94" w14:textId="7557D302" w:rsidR="00BF6EF0" w:rsidRPr="00A52AEE" w:rsidRDefault="00BF6EF0" w:rsidP="00A52AEE">
      <w:pPr>
        <w:pStyle w:val="ListParagraph"/>
        <w:numPr>
          <w:ilvl w:val="0"/>
          <w:numId w:val="8"/>
        </w:numPr>
      </w:pPr>
      <w:r w:rsidRPr="00A52AEE">
        <w:t xml:space="preserve">BTEC, Access to HE and A </w:t>
      </w:r>
      <w:r w:rsidR="0021637B" w:rsidRPr="00A52AEE">
        <w:t>Level</w:t>
      </w:r>
      <w:r w:rsidRPr="00A52AEE">
        <w:t xml:space="preserve"> students are all more likely to be studying for a First Degree in HE whereas NVQ and Vocational </w:t>
      </w:r>
      <w:r w:rsidR="00842186" w:rsidRPr="00A52AEE">
        <w:t>student</w:t>
      </w:r>
      <w:r w:rsidRPr="00A52AEE">
        <w:t>s are just as likely to be studying for a Other Undergraduate programme as a First Degree.</w:t>
      </w:r>
    </w:p>
    <w:p w14:paraId="6A12F702" w14:textId="03524742" w:rsidR="00853B8F" w:rsidRPr="00A52AEE" w:rsidRDefault="00853B8F" w:rsidP="00A52AEE">
      <w:r w:rsidRPr="00A52AEE">
        <w:t xml:space="preserve"> </w:t>
      </w:r>
    </w:p>
    <w:p w14:paraId="3EC62773" w14:textId="7D3E0ACF" w:rsidR="00BF6EF0" w:rsidRPr="00A52AEE" w:rsidRDefault="00BF6EF0" w:rsidP="00A52AEE">
      <w:pPr>
        <w:pStyle w:val="Heading4"/>
      </w:pPr>
      <w:r w:rsidRPr="00A52AEE">
        <w:t>Delivery</w:t>
      </w:r>
    </w:p>
    <w:p w14:paraId="52E44E67" w14:textId="59342CCE" w:rsidR="00BF6EF0" w:rsidRPr="00A52AEE" w:rsidRDefault="00BF6EF0" w:rsidP="00A52AEE">
      <w:pPr>
        <w:pStyle w:val="ListParagraph"/>
        <w:numPr>
          <w:ilvl w:val="0"/>
          <w:numId w:val="8"/>
        </w:numPr>
      </w:pPr>
      <w:r w:rsidRPr="00A52AEE">
        <w:t xml:space="preserve">FE colleges are delivering HE to </w:t>
      </w:r>
      <w:r w:rsidR="00DE70BB" w:rsidRPr="00A52AEE">
        <w:t>an increasing number of</w:t>
      </w:r>
      <w:r w:rsidRPr="00A52AEE">
        <w:t xml:space="preserve"> students from the tracked cohort. 14% of those students who entered HE in 2012-13 were studying HE delivered in FE and this compares to 7% in 2008-09.</w:t>
      </w:r>
    </w:p>
    <w:p w14:paraId="7565E0B7" w14:textId="41A7BFEB" w:rsidR="00FB547D" w:rsidRPr="00A52AEE" w:rsidRDefault="00BF6EF0" w:rsidP="00A52AEE">
      <w:pPr>
        <w:pStyle w:val="ListParagraph"/>
        <w:numPr>
          <w:ilvl w:val="0"/>
          <w:numId w:val="8"/>
        </w:numPr>
      </w:pPr>
      <w:r w:rsidRPr="00A52AEE">
        <w:t xml:space="preserve">FE colleges are delivering HE to more </w:t>
      </w:r>
      <w:r w:rsidR="00FB547D" w:rsidRPr="00A52AEE">
        <w:t>students in all age bands.</w:t>
      </w:r>
    </w:p>
    <w:p w14:paraId="6609F88C" w14:textId="77777777" w:rsidR="00FB547D" w:rsidRPr="00A52AEE" w:rsidRDefault="00FB547D" w:rsidP="00A52AEE"/>
    <w:p w14:paraId="401CC37F" w14:textId="5B18FCFE" w:rsidR="00BF6EF0" w:rsidRPr="00A52AEE" w:rsidRDefault="00CA74F1" w:rsidP="00A52AEE">
      <w:pPr>
        <w:pStyle w:val="Heading4"/>
      </w:pPr>
      <w:r w:rsidRPr="00A52AEE">
        <w:t>London b</w:t>
      </w:r>
      <w:r w:rsidR="00FB547D" w:rsidRPr="00A52AEE">
        <w:t>orough</w:t>
      </w:r>
      <w:r w:rsidRPr="00A52AEE">
        <w:t>s</w:t>
      </w:r>
    </w:p>
    <w:p w14:paraId="68AE8B04" w14:textId="77777777" w:rsidR="00CA74F1" w:rsidRPr="00A52AEE" w:rsidRDefault="00FB547D" w:rsidP="00A52AEE">
      <w:pPr>
        <w:pStyle w:val="ListParagraph"/>
        <w:numPr>
          <w:ilvl w:val="0"/>
          <w:numId w:val="9"/>
        </w:numPr>
      </w:pPr>
      <w:r w:rsidRPr="00A52AEE">
        <w:t xml:space="preserve">The immediate progression rates to HE at borough level are presented in this report and show varying degrees of progression. </w:t>
      </w:r>
    </w:p>
    <w:p w14:paraId="33631A24" w14:textId="061E88E3" w:rsidR="00CA74F1" w:rsidRPr="00A52AEE" w:rsidRDefault="00FB547D" w:rsidP="00A52AEE">
      <w:pPr>
        <w:pStyle w:val="ListParagraph"/>
        <w:numPr>
          <w:ilvl w:val="0"/>
          <w:numId w:val="9"/>
        </w:numPr>
      </w:pPr>
      <w:r w:rsidRPr="00A52AEE">
        <w:t xml:space="preserve">Comparisons of progression rates at borough level are complex and best understood in context of the characteristics of the </w:t>
      </w:r>
      <w:r w:rsidR="00842186" w:rsidRPr="00A52AEE">
        <w:t>student</w:t>
      </w:r>
      <w:r w:rsidRPr="00A52AEE">
        <w:t xml:space="preserve">s domiciled in that borough.  For example, Harrow has the highest progression rates to HE but Harrow also tends to have predominantly young students in the cohort and young students studying A </w:t>
      </w:r>
      <w:r w:rsidR="0021637B" w:rsidRPr="00A52AEE">
        <w:t>Level</w:t>
      </w:r>
      <w:r w:rsidRPr="00A52AEE">
        <w:t xml:space="preserve">s. These two factors probably contribute </w:t>
      </w:r>
      <w:r w:rsidR="00DE70BB" w:rsidRPr="00A52AEE">
        <w:t xml:space="preserve">a lot </w:t>
      </w:r>
      <w:r w:rsidRPr="00A52AEE">
        <w:t xml:space="preserve">to their high progression rates. </w:t>
      </w:r>
    </w:p>
    <w:p w14:paraId="51A5ACDF" w14:textId="7BEE9ABC" w:rsidR="00FB547D" w:rsidRPr="00A52AEE" w:rsidRDefault="00FB547D" w:rsidP="00A52AEE">
      <w:pPr>
        <w:pStyle w:val="ListParagraph"/>
        <w:numPr>
          <w:ilvl w:val="0"/>
          <w:numId w:val="9"/>
        </w:numPr>
      </w:pPr>
      <w:r w:rsidRPr="00A52AEE">
        <w:t>Ethnicity will also impact upon a borough’s progression rate.</w:t>
      </w:r>
    </w:p>
    <w:p w14:paraId="374B87FD" w14:textId="77777777" w:rsidR="00BF6EF0" w:rsidRPr="00A52AEE" w:rsidRDefault="00BF6EF0" w:rsidP="00A52AEE"/>
    <w:p w14:paraId="468B91BC" w14:textId="406C2940" w:rsidR="00E02409" w:rsidRPr="00A52AEE" w:rsidRDefault="006101C5" w:rsidP="00A52AEE">
      <w:pPr>
        <w:pStyle w:val="Heading4"/>
        <w:rPr>
          <w:rStyle w:val="Emphasis"/>
          <w:i w:val="0"/>
        </w:rPr>
      </w:pPr>
      <w:r>
        <w:rPr>
          <w:rStyle w:val="Emphasis"/>
          <w:i w:val="0"/>
        </w:rPr>
        <w:lastRenderedPageBreak/>
        <w:t>Ethnic groups</w:t>
      </w:r>
    </w:p>
    <w:p w14:paraId="24E5D1F5" w14:textId="1CD37017" w:rsidR="00FB547D" w:rsidRPr="00A52AEE" w:rsidRDefault="00A34BC8" w:rsidP="00A52AEE">
      <w:pPr>
        <w:pStyle w:val="ListParagraph"/>
        <w:numPr>
          <w:ilvl w:val="0"/>
          <w:numId w:val="9"/>
        </w:numPr>
      </w:pPr>
      <w:r w:rsidRPr="00A52AEE">
        <w:t xml:space="preserve">The progression rates of </w:t>
      </w:r>
      <w:r w:rsidR="00FB547D" w:rsidRPr="00A52AEE">
        <w:t>White student</w:t>
      </w:r>
      <w:r w:rsidRPr="00A52AEE">
        <w:t>s</w:t>
      </w:r>
      <w:r w:rsidR="00FB547D" w:rsidRPr="00A52AEE">
        <w:t xml:space="preserve"> are lower than students from BME groups (even when age is taken into consideration). Asian students generally have the highest progression rates.</w:t>
      </w:r>
    </w:p>
    <w:p w14:paraId="642FE6F8" w14:textId="21B3D89F" w:rsidR="00FB547D" w:rsidRPr="00A52AEE" w:rsidRDefault="00FB547D" w:rsidP="00A52AEE">
      <w:pPr>
        <w:pStyle w:val="ListParagraph"/>
        <w:numPr>
          <w:ilvl w:val="0"/>
          <w:numId w:val="9"/>
        </w:numPr>
      </w:pPr>
      <w:r w:rsidRPr="00A52AEE">
        <w:t xml:space="preserve">All ethnic groups saw a dip in rates in 2012-13 (the 2011-12 </w:t>
      </w:r>
      <w:r w:rsidR="0021637B" w:rsidRPr="00A52AEE">
        <w:t>Level</w:t>
      </w:r>
      <w:r w:rsidRPr="00A52AEE">
        <w:t xml:space="preserve"> 3 cohort) but the dip was more pronounced with Asian Bangladeshi, Asian Pakistani </w:t>
      </w:r>
      <w:r w:rsidR="00A34BC8" w:rsidRPr="00A52AEE">
        <w:t>and Mixed</w:t>
      </w:r>
      <w:r w:rsidRPr="00A52AEE">
        <w:t xml:space="preserve"> White and Black Caribbean students.</w:t>
      </w:r>
    </w:p>
    <w:p w14:paraId="0DF6CFAE" w14:textId="013DEA18" w:rsidR="00FB547D" w:rsidRPr="00A52AEE" w:rsidRDefault="00FB547D" w:rsidP="00A52AEE">
      <w:pPr>
        <w:pStyle w:val="ListParagraph"/>
        <w:numPr>
          <w:ilvl w:val="0"/>
          <w:numId w:val="9"/>
        </w:numPr>
      </w:pPr>
      <w:r w:rsidRPr="00A52AEE">
        <w:t xml:space="preserve">White students were much more likely to progress to HE in FE than BME students where proportionally more study HE in a University (this may have something to do with age as White students tend to </w:t>
      </w:r>
      <w:r w:rsidR="00A34BC8" w:rsidRPr="00A52AEE">
        <w:t xml:space="preserve">be </w:t>
      </w:r>
      <w:r w:rsidRPr="00A52AEE">
        <w:t>older).</w:t>
      </w:r>
    </w:p>
    <w:p w14:paraId="40D619CE" w14:textId="28571890" w:rsidR="00FB547D" w:rsidRPr="00A52AEE" w:rsidRDefault="00FB547D" w:rsidP="00A52AEE">
      <w:pPr>
        <w:pStyle w:val="ListParagraph"/>
        <w:numPr>
          <w:ilvl w:val="0"/>
          <w:numId w:val="9"/>
        </w:numPr>
      </w:pPr>
      <w:r w:rsidRPr="00A52AEE">
        <w:t>White students were more likely to be studying an HE programme in the Creative Arts than their BME peers.</w:t>
      </w:r>
    </w:p>
    <w:p w14:paraId="305621E2" w14:textId="100EB8BB" w:rsidR="00FB547D" w:rsidRPr="00A52AEE" w:rsidRDefault="00FB547D" w:rsidP="00A52AEE">
      <w:pPr>
        <w:pStyle w:val="ListParagraph"/>
        <w:numPr>
          <w:ilvl w:val="0"/>
          <w:numId w:val="9"/>
        </w:numPr>
      </w:pPr>
      <w:r w:rsidRPr="00A52AEE">
        <w:t>Business and Administrative studies in HE was the most popular HE subject area for Asian Students.</w:t>
      </w:r>
    </w:p>
    <w:p w14:paraId="659BE933" w14:textId="77777777" w:rsidR="00FB547D" w:rsidRPr="00A52AEE" w:rsidRDefault="00FB547D" w:rsidP="00A52AEE"/>
    <w:p w14:paraId="294E2B9C" w14:textId="0FAE37A8" w:rsidR="00FB547D" w:rsidRPr="00A52AEE" w:rsidRDefault="00FB547D" w:rsidP="00A52AEE">
      <w:pPr>
        <w:pStyle w:val="Heading4"/>
      </w:pPr>
      <w:r w:rsidRPr="00A52AEE">
        <w:t>Disadvantage</w:t>
      </w:r>
    </w:p>
    <w:p w14:paraId="29BF19AE" w14:textId="37F335F2" w:rsidR="00D772C8" w:rsidRPr="00A52AEE" w:rsidRDefault="00D772C8" w:rsidP="00A52AEE">
      <w:pPr>
        <w:pStyle w:val="ListParagraph"/>
        <w:numPr>
          <w:ilvl w:val="0"/>
          <w:numId w:val="14"/>
        </w:numPr>
      </w:pPr>
      <w:r w:rsidRPr="00A52AEE">
        <w:t xml:space="preserve">Not surprisingly, there are higher progression rates for students classified as living in a POLAR3 Q5 </w:t>
      </w:r>
      <w:r w:rsidR="00DE70BB" w:rsidRPr="00A52AEE">
        <w:t xml:space="preserve">(most educationally advantaged) </w:t>
      </w:r>
      <w:r w:rsidRPr="00A52AEE">
        <w:t xml:space="preserve">area than those living in a POLAR3 Q1 </w:t>
      </w:r>
      <w:r w:rsidR="00A34BC8" w:rsidRPr="00A52AEE">
        <w:t xml:space="preserve">(most educationally disadvantaged) </w:t>
      </w:r>
      <w:r w:rsidRPr="00A52AEE">
        <w:t>area.</w:t>
      </w:r>
    </w:p>
    <w:p w14:paraId="670B3934" w14:textId="3A8C5D8A" w:rsidR="00775234" w:rsidRPr="00A52AEE" w:rsidRDefault="00D772C8" w:rsidP="00A52AEE">
      <w:pPr>
        <w:pStyle w:val="ListParagraph"/>
        <w:numPr>
          <w:ilvl w:val="0"/>
          <w:numId w:val="14"/>
        </w:numPr>
      </w:pPr>
      <w:r w:rsidRPr="00A52AEE">
        <w:t>However, using</w:t>
      </w:r>
      <w:r w:rsidR="00A34BC8" w:rsidRPr="00A52AEE">
        <w:t xml:space="preserve"> the </w:t>
      </w:r>
      <w:r w:rsidR="00A34BC8" w:rsidRPr="00A52AEE">
        <w:rPr>
          <w:rFonts w:cs="Arial"/>
          <w:szCs w:val="24"/>
        </w:rPr>
        <w:t>Income Deprivation Affecting Children Index</w:t>
      </w:r>
      <w:r w:rsidRPr="00A52AEE">
        <w:t xml:space="preserve"> </w:t>
      </w:r>
      <w:r w:rsidR="00A34BC8" w:rsidRPr="00A52AEE">
        <w:t>(</w:t>
      </w:r>
      <w:r w:rsidRPr="00A52AEE">
        <w:t>IDACI</w:t>
      </w:r>
      <w:r w:rsidR="00A34BC8" w:rsidRPr="00A52AEE">
        <w:t>)</w:t>
      </w:r>
      <w:r w:rsidRPr="00A52AEE">
        <w:t xml:space="preserve"> which we propose to be a more effective classification system for economic disadvantage for </w:t>
      </w:r>
      <w:r w:rsidR="0076166E" w:rsidRPr="00A52AEE">
        <w:t>London</w:t>
      </w:r>
      <w:r w:rsidRPr="00A52AEE">
        <w:t xml:space="preserve"> students, we find that </w:t>
      </w:r>
      <w:r w:rsidR="00775234" w:rsidRPr="00A52AEE">
        <w:t xml:space="preserve">progression rates for </w:t>
      </w:r>
      <w:r w:rsidR="00A34BC8" w:rsidRPr="00A52AEE">
        <w:t xml:space="preserve">IDACI </w:t>
      </w:r>
      <w:r w:rsidR="00775234" w:rsidRPr="00A52AEE">
        <w:t xml:space="preserve">Q1 </w:t>
      </w:r>
      <w:r w:rsidR="00842186" w:rsidRPr="00A52AEE">
        <w:t>student</w:t>
      </w:r>
      <w:r w:rsidR="00775234" w:rsidRPr="00A52AEE">
        <w:t xml:space="preserve">s </w:t>
      </w:r>
      <w:r w:rsidRPr="00A52AEE">
        <w:t xml:space="preserve">is higher </w:t>
      </w:r>
      <w:r w:rsidR="00775234" w:rsidRPr="00A52AEE">
        <w:t xml:space="preserve">than Q5 </w:t>
      </w:r>
      <w:r w:rsidR="00842186" w:rsidRPr="00A52AEE">
        <w:t>student</w:t>
      </w:r>
      <w:r w:rsidR="00775234" w:rsidRPr="00A52AEE">
        <w:t>s</w:t>
      </w:r>
      <w:r w:rsidRPr="00A52AEE">
        <w:t xml:space="preserve"> . This may be explained by the fact that there are</w:t>
      </w:r>
      <w:r w:rsidR="00775234" w:rsidRPr="00A52AEE">
        <w:t xml:space="preserve"> more </w:t>
      </w:r>
      <w:r w:rsidR="00775234" w:rsidRPr="00A52AEE">
        <w:rPr>
          <w:b/>
        </w:rPr>
        <w:t>young</w:t>
      </w:r>
      <w:r w:rsidR="00775234" w:rsidRPr="00A52AEE">
        <w:t xml:space="preserve"> students liv</w:t>
      </w:r>
      <w:r w:rsidRPr="00A52AEE">
        <w:t>ing</w:t>
      </w:r>
      <w:r w:rsidR="00775234" w:rsidRPr="00A52AEE">
        <w:t xml:space="preserve"> in disadvantaged area</w:t>
      </w:r>
      <w:r w:rsidRPr="00A52AEE">
        <w:t>s</w:t>
      </w:r>
      <w:r w:rsidR="00775234" w:rsidRPr="00A52AEE">
        <w:t xml:space="preserve"> and more students from </w:t>
      </w:r>
      <w:r w:rsidR="00775234" w:rsidRPr="00A52AEE">
        <w:rPr>
          <w:b/>
        </w:rPr>
        <w:t>BME groups</w:t>
      </w:r>
      <w:r w:rsidR="00775234" w:rsidRPr="00A52AEE">
        <w:t xml:space="preserve">, both characteristics that lead to higher progression.  </w:t>
      </w:r>
    </w:p>
    <w:p w14:paraId="349E63EC" w14:textId="77777777" w:rsidR="00775234" w:rsidRPr="00A52AEE" w:rsidRDefault="00775234" w:rsidP="00A52AEE"/>
    <w:p w14:paraId="5E46261E" w14:textId="63C8076D" w:rsidR="003D034C" w:rsidRPr="00A52AEE" w:rsidRDefault="003D034C" w:rsidP="00A52AEE">
      <w:pPr>
        <w:pStyle w:val="Heading4"/>
        <w:rPr>
          <w:rStyle w:val="Emphasis"/>
          <w:i w:val="0"/>
        </w:rPr>
      </w:pPr>
      <w:bookmarkStart w:id="46" w:name="_Toc367106109"/>
      <w:bookmarkEnd w:id="45"/>
      <w:r w:rsidRPr="00A52AEE">
        <w:rPr>
          <w:rStyle w:val="Emphasis"/>
          <w:i w:val="0"/>
        </w:rPr>
        <w:t xml:space="preserve">Higher education </w:t>
      </w:r>
      <w:bookmarkEnd w:id="46"/>
      <w:r w:rsidR="0047344A" w:rsidRPr="00A52AEE">
        <w:rPr>
          <w:rStyle w:val="Emphasis"/>
          <w:i w:val="0"/>
        </w:rPr>
        <w:t>success</w:t>
      </w:r>
    </w:p>
    <w:p w14:paraId="4CE05F74" w14:textId="77777777" w:rsidR="00A34BC8" w:rsidRPr="00A52AEE" w:rsidRDefault="00A34BC8" w:rsidP="00A52AEE">
      <w:pPr>
        <w:pStyle w:val="ListParagraph"/>
        <w:numPr>
          <w:ilvl w:val="0"/>
          <w:numId w:val="21"/>
        </w:numPr>
      </w:pPr>
      <w:r w:rsidRPr="00A52AEE">
        <w:t>66% of the</w:t>
      </w:r>
      <w:r w:rsidR="002B30B0" w:rsidRPr="00A52AEE">
        <w:t xml:space="preserve"> full-time first degree cohort from London FE </w:t>
      </w:r>
      <w:r w:rsidRPr="00A52AEE">
        <w:t>and Sixth Form C</w:t>
      </w:r>
      <w:r w:rsidR="002B30B0" w:rsidRPr="00A52AEE">
        <w:t xml:space="preserve">olleges who were tracked through the HE datasets were found to have achieved their first degree. </w:t>
      </w:r>
    </w:p>
    <w:p w14:paraId="5657282E" w14:textId="77777777" w:rsidR="00A34BC8" w:rsidRPr="00A52AEE" w:rsidRDefault="002B30B0" w:rsidP="00A52AEE">
      <w:pPr>
        <w:pStyle w:val="ListParagraph"/>
        <w:numPr>
          <w:ilvl w:val="0"/>
          <w:numId w:val="21"/>
        </w:numPr>
      </w:pPr>
      <w:r w:rsidRPr="00A52AEE">
        <w:t>A further 11% achieved a lower degree (having initially started their First Degree). This is lower than the overall England achievement rate of 77% (and 3% lower award).</w:t>
      </w:r>
    </w:p>
    <w:p w14:paraId="56EF3EB3" w14:textId="0013A8C8" w:rsidR="002B30B0" w:rsidRPr="00A52AEE" w:rsidRDefault="002B30B0" w:rsidP="00A52AEE">
      <w:pPr>
        <w:pStyle w:val="ListParagraph"/>
        <w:numPr>
          <w:ilvl w:val="0"/>
          <w:numId w:val="21"/>
        </w:numPr>
      </w:pPr>
      <w:r w:rsidRPr="00A52AEE">
        <w:t>However, it is un</w:t>
      </w:r>
      <w:r w:rsidR="0047344A" w:rsidRPr="00A52AEE">
        <w:t xml:space="preserve">reliable </w:t>
      </w:r>
      <w:r w:rsidRPr="00A52AEE">
        <w:t xml:space="preserve">to compare the FE London cohort with the whole England cohort, they differ in composition in terms of BME, disadvantage and age profile. Moreover, only a third of students in the London tracking study were studying A </w:t>
      </w:r>
      <w:r w:rsidR="0021637B" w:rsidRPr="00A52AEE">
        <w:t>Level</w:t>
      </w:r>
      <w:r w:rsidRPr="00A52AEE">
        <w:t xml:space="preserve"> students before HE entry whereas the majority of entrants to HE in England are normally A </w:t>
      </w:r>
      <w:r w:rsidR="0021637B" w:rsidRPr="00A52AEE">
        <w:t>Level</w:t>
      </w:r>
      <w:r w:rsidRPr="00A52AEE">
        <w:t xml:space="preserve"> students.</w:t>
      </w:r>
    </w:p>
    <w:p w14:paraId="309227D9" w14:textId="39942DE5" w:rsidR="002B30B0" w:rsidRPr="00A52AEE" w:rsidRDefault="002B30B0" w:rsidP="00A52AEE">
      <w:pPr>
        <w:pStyle w:val="ListParagraph"/>
        <w:numPr>
          <w:ilvl w:val="0"/>
          <w:numId w:val="21"/>
        </w:numPr>
      </w:pPr>
      <w:r w:rsidRPr="00A52AEE">
        <w:t xml:space="preserve">The achievement rate varies at entry qualification level with A </w:t>
      </w:r>
      <w:r w:rsidR="0021637B" w:rsidRPr="00A52AEE">
        <w:t>Level</w:t>
      </w:r>
      <w:r w:rsidR="00A34BC8" w:rsidRPr="00A52AEE">
        <w:t xml:space="preserve"> students from London </w:t>
      </w:r>
      <w:r w:rsidRPr="00A52AEE">
        <w:t>colleges seeing significantly higher achievement rates than their peers studying Access to HE and BTEC.</w:t>
      </w:r>
    </w:p>
    <w:p w14:paraId="3C5A339E" w14:textId="77777777" w:rsidR="0047344A" w:rsidRPr="00A52AEE" w:rsidRDefault="0047344A" w:rsidP="00A52AEE">
      <w:pPr>
        <w:pStyle w:val="ListParagraph"/>
        <w:numPr>
          <w:ilvl w:val="0"/>
          <w:numId w:val="21"/>
        </w:numPr>
      </w:pPr>
      <w:r w:rsidRPr="00A52AEE">
        <w:t xml:space="preserve">Students who study for a First Degree delivered in FE also have lower achievement rates than their peers who study in a University. </w:t>
      </w:r>
    </w:p>
    <w:p w14:paraId="60047719" w14:textId="1BFFA0A2" w:rsidR="002B30B0" w:rsidRPr="00A52AEE" w:rsidRDefault="002B30B0" w:rsidP="00A52AEE">
      <w:pPr>
        <w:pStyle w:val="ListParagraph"/>
        <w:numPr>
          <w:ilvl w:val="0"/>
          <w:numId w:val="21"/>
        </w:numPr>
      </w:pPr>
      <w:r w:rsidRPr="00A52AEE">
        <w:t>Attainment of a good degree (1</w:t>
      </w:r>
      <w:r w:rsidRPr="00A52AEE">
        <w:rPr>
          <w:vertAlign w:val="superscript"/>
        </w:rPr>
        <w:t>st</w:t>
      </w:r>
      <w:r w:rsidRPr="00A52AEE">
        <w:t xml:space="preserve"> or 2:1) is lower for non A </w:t>
      </w:r>
      <w:r w:rsidR="0021637B" w:rsidRPr="00A52AEE">
        <w:t>Level</w:t>
      </w:r>
      <w:r w:rsidRPr="00A52AEE">
        <w:t xml:space="preserve"> students who complete their First Degree. </w:t>
      </w:r>
    </w:p>
    <w:p w14:paraId="555EBEF0" w14:textId="44C7F32D" w:rsidR="005B57B0" w:rsidRPr="00A52AEE" w:rsidRDefault="005B57B0" w:rsidP="00A52AEE">
      <w:pPr>
        <w:pStyle w:val="ListParagraph"/>
        <w:numPr>
          <w:ilvl w:val="0"/>
          <w:numId w:val="21"/>
        </w:numPr>
      </w:pPr>
      <w:r w:rsidRPr="00A52AEE">
        <w:t>A success rate map by qualification type is provided for easy reference</w:t>
      </w:r>
      <w:r w:rsidR="00DE70BB" w:rsidRPr="00A52AEE">
        <w:t xml:space="preserve"> in Section 8.1.</w:t>
      </w:r>
    </w:p>
    <w:p w14:paraId="19FC1D84" w14:textId="77777777" w:rsidR="00E02409" w:rsidRPr="00A52AEE" w:rsidRDefault="00E02409" w:rsidP="00A52AEE"/>
    <w:p w14:paraId="768FDEB6" w14:textId="1AEBA14B" w:rsidR="00E02409" w:rsidRPr="00A52AEE" w:rsidRDefault="00E02409" w:rsidP="00A52AEE">
      <w:pPr>
        <w:pStyle w:val="Heading4"/>
      </w:pPr>
      <w:r w:rsidRPr="00A52AEE">
        <w:t>Prior attainment of KS4 at School</w:t>
      </w:r>
    </w:p>
    <w:p w14:paraId="5CF2CC32" w14:textId="69FDCC82" w:rsidR="0047344A" w:rsidRPr="00A52AEE" w:rsidRDefault="0047344A" w:rsidP="00A52AEE">
      <w:pPr>
        <w:pStyle w:val="ListParagraph"/>
        <w:numPr>
          <w:ilvl w:val="0"/>
          <w:numId w:val="10"/>
        </w:numPr>
      </w:pPr>
      <w:r w:rsidRPr="00A52AEE">
        <w:rPr>
          <w:b/>
        </w:rPr>
        <w:t>47%</w:t>
      </w:r>
      <w:r w:rsidRPr="00A52AEE">
        <w:t xml:space="preserve"> of the young </w:t>
      </w:r>
      <w:r w:rsidR="0076166E" w:rsidRPr="00A52AEE">
        <w:t>London</w:t>
      </w:r>
      <w:r w:rsidRPr="00A52AEE">
        <w:t xml:space="preserve"> college cohort linked to KS4 attainment datasets were recorded as </w:t>
      </w:r>
      <w:r w:rsidR="00A34BC8" w:rsidRPr="00A52AEE">
        <w:t xml:space="preserve">not </w:t>
      </w:r>
      <w:r w:rsidRPr="00A52AEE">
        <w:t xml:space="preserve">attaining a Level 2 including English and Maths in secondary school. </w:t>
      </w:r>
    </w:p>
    <w:p w14:paraId="2C8572C3" w14:textId="45C8DE5D" w:rsidR="0047344A" w:rsidRPr="00A52AEE" w:rsidRDefault="0047344A" w:rsidP="00A52AEE">
      <w:pPr>
        <w:pStyle w:val="ListParagraph"/>
        <w:numPr>
          <w:ilvl w:val="0"/>
          <w:numId w:val="10"/>
        </w:numPr>
      </w:pPr>
      <w:r w:rsidRPr="00A52AEE">
        <w:lastRenderedPageBreak/>
        <w:t>HE progression rates for the cohort who did not achieve their 5 GCSEs A*-C including English and Maths were lower than their higher attaining peers who did achieve at this level (</w:t>
      </w:r>
      <w:r w:rsidRPr="00A52AEE">
        <w:rPr>
          <w:b/>
        </w:rPr>
        <w:t>71%</w:t>
      </w:r>
      <w:r w:rsidRPr="00A52AEE">
        <w:t xml:space="preserve"> compared to </w:t>
      </w:r>
      <w:r w:rsidRPr="00A52AEE">
        <w:rPr>
          <w:b/>
        </w:rPr>
        <w:t>52%</w:t>
      </w:r>
      <w:r w:rsidRPr="00A52AEE">
        <w:t>)</w:t>
      </w:r>
      <w:r w:rsidR="00A34BC8" w:rsidRPr="00A52AEE">
        <w:t>,</w:t>
      </w:r>
      <w:r w:rsidRPr="00A52AEE">
        <w:t xml:space="preserve"> evidence of the significance of prior attainment before FE entry.  </w:t>
      </w:r>
    </w:p>
    <w:p w14:paraId="4202CE2C" w14:textId="46D94AB2" w:rsidR="0047344A" w:rsidRPr="00A52AEE" w:rsidRDefault="0047344A" w:rsidP="00A52AEE">
      <w:pPr>
        <w:pStyle w:val="ListParagraph"/>
        <w:numPr>
          <w:ilvl w:val="0"/>
          <w:numId w:val="10"/>
        </w:numPr>
      </w:pPr>
      <w:r w:rsidRPr="00A52AEE">
        <w:t xml:space="preserve">However, FE colleges in London play a key role in helping students with lower prior attainment at school to continue their studies to achieve at Level 3 and then for a proportion of these students, FE study enables them to further progress onto HE study.  At least one in two </w:t>
      </w:r>
      <w:r w:rsidR="00842186" w:rsidRPr="00A52AEE">
        <w:t>student</w:t>
      </w:r>
      <w:r w:rsidRPr="00A52AEE">
        <w:t>s (52%) who achieved their Level 3 qualification in FE</w:t>
      </w:r>
      <w:r w:rsidR="00A34BC8" w:rsidRPr="00A52AEE">
        <w:t>,</w:t>
      </w:r>
      <w:r w:rsidRPr="00A52AEE">
        <w:t xml:space="preserve"> and who had left school with low attainment at KS2</w:t>
      </w:r>
      <w:r w:rsidR="00A34BC8" w:rsidRPr="00A52AEE">
        <w:t>,</w:t>
      </w:r>
      <w:r w:rsidRPr="00A52AEE">
        <w:t xml:space="preserve"> went onto HE study.</w:t>
      </w:r>
    </w:p>
    <w:p w14:paraId="20FA0F1E" w14:textId="4E11DF07" w:rsidR="00D469CB" w:rsidRPr="00A52AEE" w:rsidRDefault="0047344A" w:rsidP="00A52AEE">
      <w:pPr>
        <w:pStyle w:val="ListParagraph"/>
        <w:numPr>
          <w:ilvl w:val="0"/>
          <w:numId w:val="10"/>
        </w:numPr>
      </w:pPr>
      <w:r w:rsidRPr="00A52AEE">
        <w:t xml:space="preserve">BTEC programmes play a significant part in the </w:t>
      </w:r>
      <w:r w:rsidR="0021637B" w:rsidRPr="00A52AEE">
        <w:t>Level</w:t>
      </w:r>
      <w:r w:rsidRPr="00A52AEE">
        <w:t xml:space="preserve"> 3 studies of the low attaining KS4 group where </w:t>
      </w:r>
      <w:r w:rsidRPr="00A52AEE">
        <w:rPr>
          <w:b/>
        </w:rPr>
        <w:t>69%</w:t>
      </w:r>
      <w:r w:rsidRPr="00A52AEE">
        <w:t xml:space="preserve"> of students who were classified as low attaining, that is not achieving </w:t>
      </w:r>
      <w:r w:rsidR="0021637B" w:rsidRPr="00A52AEE">
        <w:t>Level</w:t>
      </w:r>
      <w:r w:rsidRPr="00A52AEE">
        <w:t xml:space="preserve"> 2 including English and Maths, were studying for a BTEC qualification.</w:t>
      </w:r>
      <w:r w:rsidR="00045621" w:rsidRPr="00A52AEE">
        <w:t xml:space="preserve"> This may also help to explain lower success rates in HE for BTEC entrants.</w:t>
      </w:r>
      <w:r w:rsidR="00D469CB" w:rsidRPr="00A52AEE">
        <w:br w:type="page"/>
      </w:r>
    </w:p>
    <w:p w14:paraId="24B032F5" w14:textId="0A2D489C" w:rsidR="00D469CB" w:rsidRPr="00FE68E8" w:rsidRDefault="00D469CB" w:rsidP="009443B2">
      <w:pPr>
        <w:pStyle w:val="Heading1"/>
        <w:numPr>
          <w:ilvl w:val="0"/>
          <w:numId w:val="20"/>
        </w:numPr>
      </w:pPr>
      <w:bookmarkStart w:id="47" w:name="_Toc429151293"/>
      <w:r w:rsidRPr="00FE68E8">
        <w:lastRenderedPageBreak/>
        <w:t>Introduction</w:t>
      </w:r>
      <w:bookmarkEnd w:id="47"/>
    </w:p>
    <w:p w14:paraId="0FE96FB8" w14:textId="77777777" w:rsidR="00D469CB" w:rsidRPr="00A52AEE" w:rsidRDefault="00D469CB" w:rsidP="00A52AEE"/>
    <w:p w14:paraId="1EF4E267" w14:textId="63DCECB2" w:rsidR="004A4321" w:rsidRPr="00A52AEE" w:rsidRDefault="004A4321" w:rsidP="00A52AEE">
      <w:bookmarkStart w:id="48" w:name="_Toc358303938"/>
      <w:bookmarkStart w:id="49" w:name="_Toc367106111"/>
      <w:r w:rsidRPr="00A52AEE">
        <w:t>This report presents the findings of research undertaken for L</w:t>
      </w:r>
      <w:r w:rsidR="001D219C">
        <w:t xml:space="preserve">inking London and </w:t>
      </w:r>
      <w:r w:rsidR="0076166E" w:rsidRPr="00A52AEE">
        <w:t xml:space="preserve">sponsors into the progression </w:t>
      </w:r>
      <w:r w:rsidRPr="00A52AEE">
        <w:t xml:space="preserve">to higher education of </w:t>
      </w:r>
      <w:r w:rsidR="00842186" w:rsidRPr="00A52AEE">
        <w:t>student</w:t>
      </w:r>
      <w:r w:rsidRPr="00A52AEE">
        <w:t>s from London Further Education (FE) and Sixth Form Colleges between 2007-08 and 2012-13.  The report is based on data derived from a national study funded by BIS into the progression to higher education of students from all FE and Sixth Form Colleges in England</w:t>
      </w:r>
      <w:sdt>
        <w:sdtPr>
          <w:id w:val="-650286273"/>
          <w:citation/>
        </w:sdtPr>
        <w:sdtEndPr/>
        <w:sdtContent>
          <w:r w:rsidRPr="00A52AEE">
            <w:fldChar w:fldCharType="begin"/>
          </w:r>
          <w:r w:rsidRPr="00A52AEE">
            <w:instrText xml:space="preserve"> CITATION Smi15 \l 2057 </w:instrText>
          </w:r>
          <w:r w:rsidRPr="00A52AEE">
            <w:fldChar w:fldCharType="separate"/>
          </w:r>
          <w:r w:rsidR="004E52FE">
            <w:rPr>
              <w:noProof/>
            </w:rPr>
            <w:t xml:space="preserve"> (Smith, Joslin, &amp; Jameson, 2015)</w:t>
          </w:r>
          <w:r w:rsidRPr="00A52AEE">
            <w:fldChar w:fldCharType="end"/>
          </w:r>
        </w:sdtContent>
      </w:sdt>
      <w:r w:rsidRPr="00A52AEE">
        <w:t xml:space="preserve">.  </w:t>
      </w:r>
    </w:p>
    <w:p w14:paraId="339E3D92" w14:textId="77777777" w:rsidR="004A4321" w:rsidRPr="00A52AEE" w:rsidRDefault="004A4321" w:rsidP="00A52AEE"/>
    <w:p w14:paraId="58ACCDB3" w14:textId="4C9D2620" w:rsidR="004A4321" w:rsidRPr="00A52AEE" w:rsidRDefault="004A4321" w:rsidP="00A52AEE">
      <w:r w:rsidRPr="00A52AEE">
        <w:t>It should be noted that figures in this report will not necessarily match data for the same years shown in the previous London report</w:t>
      </w:r>
      <w:sdt>
        <w:sdtPr>
          <w:id w:val="-1325119249"/>
          <w:citation/>
        </w:sdtPr>
        <w:sdtEndPr/>
        <w:sdtContent>
          <w:r w:rsidRPr="00A52AEE">
            <w:fldChar w:fldCharType="begin"/>
          </w:r>
          <w:r w:rsidR="008B07E3" w:rsidRPr="00A52AEE">
            <w:instrText xml:space="preserve">CITATION Jol13 \l 2057 </w:instrText>
          </w:r>
          <w:r w:rsidRPr="00A52AEE">
            <w:fldChar w:fldCharType="separate"/>
          </w:r>
          <w:r w:rsidR="004E52FE">
            <w:rPr>
              <w:noProof/>
            </w:rPr>
            <w:t xml:space="preserve"> (Joslin &amp; Smith, 2013)</w:t>
          </w:r>
          <w:r w:rsidRPr="00A52AEE">
            <w:fldChar w:fldCharType="end"/>
          </w:r>
        </w:sdtContent>
      </w:sdt>
      <w:r w:rsidRPr="00A52AEE">
        <w:t xml:space="preserve">.  This is because of differences in the ILR dataset when run two years later, minor improvements to the methodology and changes to the classification of qualifications.  Further differences include the inclusion in this report of more detailed information about achievement and through linkage with the DfE’s Key Stage 4 dataset, information about the prior GCSE attainment of London’s FE cohorts. </w:t>
      </w:r>
    </w:p>
    <w:p w14:paraId="785C26B0" w14:textId="77777777" w:rsidR="004A4321" w:rsidRPr="00A52AEE" w:rsidRDefault="004A4321" w:rsidP="00A52AEE"/>
    <w:p w14:paraId="024525E7" w14:textId="137D6F1A" w:rsidR="004A4321" w:rsidRPr="00A52AEE" w:rsidRDefault="004A4321" w:rsidP="00A52AEE">
      <w:r w:rsidRPr="00A52AEE">
        <w:t xml:space="preserve">These research findings are based on the matching of ILR (Individualised Learner Record) datasets with HESA (Higher Education Statistics Agency) datasets between the years 2007-08 and 2012-13. They provide a detailed analysis of the nature of the progression of </w:t>
      </w:r>
      <w:r w:rsidR="00842186" w:rsidRPr="00A52AEE">
        <w:t>student</w:t>
      </w:r>
      <w:r w:rsidRPr="00A52AEE">
        <w:t xml:space="preserve">s from the </w:t>
      </w:r>
      <w:r w:rsidR="0076166E" w:rsidRPr="00A52AEE">
        <w:t>London</w:t>
      </w:r>
      <w:r w:rsidRPr="00A52AEE">
        <w:t xml:space="preserve"> colleges, trends in progression rates over time and highlight the progression to higher education in both FE colleges and universities. The matched records contain demographic information about the </w:t>
      </w:r>
      <w:r w:rsidR="00842186" w:rsidRPr="00A52AEE">
        <w:t>student</w:t>
      </w:r>
      <w:r w:rsidRPr="00A52AEE">
        <w:t>s such as gender, age, ethnicity and domicile, and also data about where they progressed from and where they progressed to, hence there are a wide set of variables that can be compared and this report provides a selection.  Where relevant, the data for London has been compared to the national data.</w:t>
      </w:r>
    </w:p>
    <w:p w14:paraId="3481B426" w14:textId="77777777" w:rsidR="004A4321" w:rsidRPr="00A52AEE" w:rsidRDefault="004A4321" w:rsidP="00A52AEE"/>
    <w:p w14:paraId="7440E5E1" w14:textId="54C16338" w:rsidR="004A4321" w:rsidRPr="00A52AEE" w:rsidRDefault="004A4321" w:rsidP="00A52AEE">
      <w:r w:rsidRPr="00A52AEE">
        <w:t>The research explores progression longitudinally, so as well as examining immediate progression (the year after Level 3 qualification), the data also l</w:t>
      </w:r>
      <w:r w:rsidR="0076166E" w:rsidRPr="00A52AEE">
        <w:t>ooks at longer term progression</w:t>
      </w:r>
      <w:r w:rsidRPr="00A52AEE">
        <w:t xml:space="preserve">. This helps to explore the extent to which students are entering HE at different times in their life cycle and raises some questions regarding provision. Analysing patterns of progression for Level 3 students in </w:t>
      </w:r>
      <w:r w:rsidR="008859EE" w:rsidRPr="00A52AEE">
        <w:t xml:space="preserve">the London </w:t>
      </w:r>
      <w:r w:rsidRPr="00A52AEE">
        <w:t>FE and Sixth Form Colleges over time also enables inquiry into the achievement of these students showing their HE achievement rates and degree classifications.</w:t>
      </w:r>
      <w:r w:rsidR="008859EE" w:rsidRPr="00A52AEE">
        <w:t xml:space="preserve">  </w:t>
      </w:r>
      <w:r w:rsidRPr="00A52AEE">
        <w:t xml:space="preserve">Finally, the research also considers the importance of prior attainment at KS4 (GCSEs) in secondary schools. Here, prior attainment at Level 2 is explored comparing the progression to higher education of students who achieve at least 5 GCSEs or equivalent at grades A*-C (full Level 2) those with 5 GCSEs (A*-C) including English and Maths and those who achieve less than 5 GCSEs at these grades.  This level of attainment is important as it signals a currency for progression where a full Level 2 is often a requisite for entering a Level 3 qualification, and, more so, for entering HE study. The research aims to identify groups of students with lower prior attainment, who achieved at Level 3 in FE, and who then successfully entered and achieved in higher education - an indication of the important role that the FE sector plays for this group of students.   </w:t>
      </w:r>
    </w:p>
    <w:p w14:paraId="3B3429D2" w14:textId="77777777" w:rsidR="008859EE" w:rsidRPr="00A52AEE" w:rsidRDefault="008859EE" w:rsidP="00A52AEE"/>
    <w:p w14:paraId="209F51E1" w14:textId="06EF6AF9" w:rsidR="008859EE" w:rsidRPr="00A52AEE" w:rsidRDefault="00771DD0" w:rsidP="008D527A">
      <w:pPr>
        <w:pStyle w:val="Heading2"/>
      </w:pPr>
      <w:bookmarkStart w:id="50" w:name="_Toc429151294"/>
      <w:r>
        <w:t>2</w:t>
      </w:r>
      <w:r w:rsidR="0025066C">
        <w:t>.1</w:t>
      </w:r>
      <w:r w:rsidR="0025066C">
        <w:tab/>
      </w:r>
      <w:r w:rsidR="008859EE" w:rsidRPr="00A52AEE">
        <w:t>Terminology</w:t>
      </w:r>
      <w:bookmarkEnd w:id="50"/>
    </w:p>
    <w:p w14:paraId="0E46FBB1" w14:textId="77777777" w:rsidR="008859EE" w:rsidRPr="00A52AEE" w:rsidRDefault="008859EE" w:rsidP="00A52AEE">
      <w:r w:rsidRPr="00A52AEE">
        <w:t xml:space="preserve">The English qualification system is complex and as this report is based on tracking college students completing certain types of qualification into different qualifications in higher education institutions, the following is presented again as a clarification of terms used throughout the report. </w:t>
      </w:r>
    </w:p>
    <w:p w14:paraId="14A8DD92" w14:textId="5432804E" w:rsidR="008859EE" w:rsidRPr="00A52AEE" w:rsidRDefault="008859EE" w:rsidP="00A52AEE">
      <w:pPr>
        <w:rPr>
          <w:rStyle w:val="Heading3Char"/>
          <w:rFonts w:cs="Arial"/>
        </w:rPr>
      </w:pPr>
      <w:r w:rsidRPr="00A52AEE">
        <w:lastRenderedPageBreak/>
        <w:t xml:space="preserve">  </w:t>
      </w:r>
    </w:p>
    <w:tbl>
      <w:tblPr>
        <w:tblW w:w="4902" w:type="pct"/>
        <w:tblInd w:w="137"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Layout w:type="fixed"/>
        <w:tblCellMar>
          <w:left w:w="113" w:type="dxa"/>
          <w:right w:w="113" w:type="dxa"/>
        </w:tblCellMar>
        <w:tblLook w:val="01E0" w:firstRow="1" w:lastRow="1" w:firstColumn="1" w:lastColumn="1" w:noHBand="0" w:noVBand="0"/>
      </w:tblPr>
      <w:tblGrid>
        <w:gridCol w:w="2466"/>
        <w:gridCol w:w="6917"/>
      </w:tblGrid>
      <w:tr w:rsidR="008859EE" w:rsidRPr="00A52AEE" w14:paraId="6191BEF4" w14:textId="77777777" w:rsidTr="009B6701">
        <w:trPr>
          <w:trHeight w:val="420"/>
          <w:tblHeader/>
        </w:trPr>
        <w:tc>
          <w:tcPr>
            <w:tcW w:w="1314" w:type="pct"/>
            <w:shd w:val="clear" w:color="auto" w:fill="1F4E79" w:themeFill="accent1" w:themeFillShade="80"/>
            <w:tcMar>
              <w:top w:w="113" w:type="dxa"/>
              <w:bottom w:w="113" w:type="dxa"/>
            </w:tcMar>
            <w:vAlign w:val="center"/>
          </w:tcPr>
          <w:p w14:paraId="2D48E203" w14:textId="77777777" w:rsidR="008859EE" w:rsidRPr="00A52AEE" w:rsidRDefault="008859EE" w:rsidP="00A52AEE">
            <w:pPr>
              <w:rPr>
                <w:b/>
              </w:rPr>
            </w:pPr>
            <w:r w:rsidRPr="00A52AEE">
              <w:rPr>
                <w:rStyle w:val="Heading3Char"/>
                <w:rFonts w:cs="Arial"/>
                <w:color w:val="BFBFBF" w:themeColor="background1" w:themeShade="BF"/>
                <w:sz w:val="22"/>
              </w:rPr>
              <w:t xml:space="preserve">  </w:t>
            </w:r>
            <w:r w:rsidRPr="00A52AEE">
              <w:rPr>
                <w:b/>
                <w:color w:val="FFFFFF" w:themeColor="background1"/>
              </w:rPr>
              <w:t>Levels</w:t>
            </w:r>
          </w:p>
        </w:tc>
        <w:tc>
          <w:tcPr>
            <w:tcW w:w="3686" w:type="pct"/>
            <w:shd w:val="clear" w:color="auto" w:fill="1F4E79" w:themeFill="accent1" w:themeFillShade="80"/>
            <w:tcMar>
              <w:top w:w="113" w:type="dxa"/>
              <w:bottom w:w="113" w:type="dxa"/>
            </w:tcMar>
            <w:vAlign w:val="center"/>
          </w:tcPr>
          <w:p w14:paraId="60135ADD" w14:textId="77777777" w:rsidR="008859EE" w:rsidRPr="00A52AEE" w:rsidRDefault="008859EE" w:rsidP="00A52AEE">
            <w:pPr>
              <w:pStyle w:val="TableTitleRomanWhite"/>
            </w:pPr>
            <w:r w:rsidRPr="00A52AEE">
              <w:t xml:space="preserve">  Qualifications</w:t>
            </w:r>
          </w:p>
        </w:tc>
      </w:tr>
      <w:tr w:rsidR="008859EE" w:rsidRPr="00A52AEE" w14:paraId="0AF29CA0" w14:textId="77777777" w:rsidTr="008859EE">
        <w:trPr>
          <w:trHeight w:val="1057"/>
        </w:trPr>
        <w:tc>
          <w:tcPr>
            <w:tcW w:w="1314" w:type="pct"/>
            <w:shd w:val="clear" w:color="auto" w:fill="auto"/>
            <w:tcMar>
              <w:top w:w="113" w:type="dxa"/>
              <w:bottom w:w="113" w:type="dxa"/>
            </w:tcMar>
            <w:vAlign w:val="center"/>
          </w:tcPr>
          <w:p w14:paraId="2F577B58" w14:textId="77777777" w:rsidR="008859EE" w:rsidRPr="00A52AEE" w:rsidRDefault="008859EE" w:rsidP="00A52AEE">
            <w:pPr>
              <w:rPr>
                <w:rStyle w:val="Emphasis"/>
                <w:rFonts w:cs="Arial"/>
                <w:b/>
                <w:i w:val="0"/>
              </w:rPr>
            </w:pPr>
            <w:r w:rsidRPr="00A52AEE">
              <w:rPr>
                <w:rStyle w:val="Emphasis"/>
                <w:rFonts w:cs="Arial"/>
                <w:b/>
                <w:i w:val="0"/>
              </w:rPr>
              <w:t xml:space="preserve"> FE College or </w:t>
            </w:r>
          </w:p>
          <w:p w14:paraId="4A23BD9A" w14:textId="77777777" w:rsidR="008859EE" w:rsidRPr="00A52AEE" w:rsidRDefault="008859EE" w:rsidP="00A52AEE">
            <w:pPr>
              <w:rPr>
                <w:rStyle w:val="Emphasis"/>
                <w:rFonts w:cs="Arial"/>
                <w:b/>
                <w:i w:val="0"/>
              </w:rPr>
            </w:pPr>
            <w:r w:rsidRPr="00A52AEE">
              <w:rPr>
                <w:rStyle w:val="Emphasis"/>
                <w:rFonts w:cs="Arial"/>
                <w:b/>
                <w:i w:val="0"/>
              </w:rPr>
              <w:t xml:space="preserve"> Sixth Form College</w:t>
            </w:r>
          </w:p>
          <w:p w14:paraId="582DA698" w14:textId="77777777" w:rsidR="008859EE" w:rsidRPr="00A52AEE" w:rsidRDefault="008859EE" w:rsidP="00A52AEE">
            <w:pPr>
              <w:rPr>
                <w:i/>
              </w:rPr>
            </w:pPr>
            <w:r w:rsidRPr="00A52AEE">
              <w:rPr>
                <w:rStyle w:val="Emphasis"/>
                <w:rFonts w:cs="Arial"/>
                <w:b/>
                <w:i w:val="0"/>
              </w:rPr>
              <w:t xml:space="preserve"> level three qualifications</w:t>
            </w:r>
          </w:p>
        </w:tc>
        <w:tc>
          <w:tcPr>
            <w:tcW w:w="3686" w:type="pct"/>
            <w:shd w:val="clear" w:color="auto" w:fill="auto"/>
            <w:tcMar>
              <w:top w:w="113" w:type="dxa"/>
              <w:bottom w:w="113" w:type="dxa"/>
            </w:tcMar>
            <w:vAlign w:val="center"/>
          </w:tcPr>
          <w:p w14:paraId="6A5CF367" w14:textId="77777777" w:rsidR="008859EE" w:rsidRPr="00A52AEE" w:rsidRDefault="008859EE" w:rsidP="00A52AEE">
            <w:r w:rsidRPr="00A52AEE">
              <w:rPr>
                <w:b/>
              </w:rPr>
              <w:t>A levels; International Baccalaureate</w:t>
            </w:r>
            <w:r w:rsidRPr="00A52AEE">
              <w:t xml:space="preserve"> (IB)</w:t>
            </w:r>
            <w:r w:rsidRPr="00A52AEE">
              <w:rPr>
                <w:rStyle w:val="FootnoteReference"/>
                <w:rFonts w:cs="Arial"/>
                <w:sz w:val="20"/>
              </w:rPr>
              <w:footnoteReference w:id="3"/>
            </w:r>
            <w:r w:rsidRPr="00A52AEE">
              <w:t xml:space="preserve">; </w:t>
            </w:r>
            <w:r w:rsidRPr="00A52AEE">
              <w:rPr>
                <w:b/>
              </w:rPr>
              <w:t>BTEC</w:t>
            </w:r>
            <w:r w:rsidRPr="00A52AEE">
              <w:t>;</w:t>
            </w:r>
            <w:r w:rsidRPr="00A52AEE">
              <w:rPr>
                <w:b/>
              </w:rPr>
              <w:t xml:space="preserve"> Access to HE</w:t>
            </w:r>
            <w:r w:rsidRPr="00A52AEE">
              <w:t>;</w:t>
            </w:r>
            <w:r w:rsidRPr="00A52AEE">
              <w:rPr>
                <w:b/>
              </w:rPr>
              <w:t xml:space="preserve"> AS level</w:t>
            </w:r>
            <w:r w:rsidRPr="00A52AEE">
              <w:t xml:space="preserve"> and </w:t>
            </w:r>
            <w:r w:rsidRPr="00A52AEE">
              <w:rPr>
                <w:b/>
              </w:rPr>
              <w:t xml:space="preserve">Other Vocational </w:t>
            </w:r>
            <w:r w:rsidRPr="00A52AEE">
              <w:t>qualifications (which include other qualifications like Art Foundation and Cache Diploma as well as other vocational full and part-time Certificate and Diploma programmes).</w:t>
            </w:r>
          </w:p>
        </w:tc>
      </w:tr>
      <w:tr w:rsidR="008859EE" w:rsidRPr="00A52AEE" w14:paraId="448696A5" w14:textId="77777777" w:rsidTr="008859EE">
        <w:trPr>
          <w:trHeight w:val="472"/>
        </w:trPr>
        <w:tc>
          <w:tcPr>
            <w:tcW w:w="1314" w:type="pct"/>
            <w:vMerge w:val="restart"/>
            <w:shd w:val="clear" w:color="auto" w:fill="auto"/>
            <w:tcMar>
              <w:top w:w="113" w:type="dxa"/>
              <w:bottom w:w="113" w:type="dxa"/>
            </w:tcMar>
            <w:vAlign w:val="center"/>
          </w:tcPr>
          <w:p w14:paraId="186F5050" w14:textId="77777777" w:rsidR="008859EE" w:rsidRPr="00A52AEE" w:rsidRDefault="008859EE" w:rsidP="00A52AEE">
            <w:pPr>
              <w:rPr>
                <w:rStyle w:val="Emphasis"/>
                <w:rFonts w:cs="Arial"/>
                <w:b/>
                <w:i w:val="0"/>
              </w:rPr>
            </w:pPr>
            <w:r w:rsidRPr="00A52AEE">
              <w:rPr>
                <w:rStyle w:val="Emphasis"/>
                <w:rFonts w:cs="Arial"/>
                <w:b/>
                <w:i w:val="0"/>
              </w:rPr>
              <w:t xml:space="preserve"> Higher education   </w:t>
            </w:r>
          </w:p>
          <w:p w14:paraId="0168CAA8" w14:textId="77777777" w:rsidR="008859EE" w:rsidRPr="00A52AEE" w:rsidRDefault="008859EE" w:rsidP="00A52AEE">
            <w:pPr>
              <w:rPr>
                <w:rStyle w:val="Emphasis"/>
                <w:rFonts w:cs="Arial"/>
                <w:b/>
                <w:i w:val="0"/>
              </w:rPr>
            </w:pPr>
            <w:r w:rsidRPr="00A52AEE">
              <w:rPr>
                <w:rStyle w:val="Emphasis"/>
                <w:rFonts w:cs="Arial"/>
                <w:b/>
                <w:i w:val="0"/>
              </w:rPr>
              <w:t xml:space="preserve"> qualifications in </w:t>
            </w:r>
          </w:p>
          <w:p w14:paraId="2C334E59" w14:textId="77777777" w:rsidR="008859EE" w:rsidRPr="00A52AEE" w:rsidRDefault="008859EE" w:rsidP="00A52AEE">
            <w:pPr>
              <w:rPr>
                <w:rStyle w:val="Emphasis"/>
                <w:rFonts w:cs="Arial"/>
                <w:b/>
                <w:i w:val="0"/>
              </w:rPr>
            </w:pPr>
            <w:r w:rsidRPr="00A52AEE">
              <w:rPr>
                <w:rStyle w:val="Emphasis"/>
                <w:rFonts w:cs="Arial"/>
                <w:b/>
                <w:i w:val="0"/>
              </w:rPr>
              <w:t xml:space="preserve"> Universities and FE</w:t>
            </w:r>
          </w:p>
          <w:p w14:paraId="47517277" w14:textId="77777777" w:rsidR="008859EE" w:rsidRPr="00A52AEE" w:rsidRDefault="008859EE" w:rsidP="00A52AEE">
            <w:pPr>
              <w:rPr>
                <w:rStyle w:val="Emphasis"/>
                <w:rFonts w:cs="Arial"/>
                <w:b/>
                <w:i w:val="0"/>
              </w:rPr>
            </w:pPr>
            <w:r w:rsidRPr="00A52AEE">
              <w:rPr>
                <w:rStyle w:val="Emphasis"/>
                <w:rFonts w:cs="Arial"/>
                <w:b/>
                <w:i w:val="0"/>
              </w:rPr>
              <w:t xml:space="preserve"> Colleges</w:t>
            </w:r>
          </w:p>
          <w:p w14:paraId="1AA1252C" w14:textId="77777777" w:rsidR="008859EE" w:rsidRPr="00A52AEE" w:rsidRDefault="008859EE" w:rsidP="00A52AEE"/>
        </w:tc>
        <w:tc>
          <w:tcPr>
            <w:tcW w:w="3686" w:type="pct"/>
            <w:shd w:val="clear" w:color="auto" w:fill="auto"/>
            <w:tcMar>
              <w:top w:w="113" w:type="dxa"/>
              <w:bottom w:w="113" w:type="dxa"/>
            </w:tcMar>
            <w:vAlign w:val="center"/>
          </w:tcPr>
          <w:p w14:paraId="4DAEC349" w14:textId="4271C2F8" w:rsidR="008859EE" w:rsidRPr="00A52AEE" w:rsidRDefault="008859EE" w:rsidP="00A52AEE">
            <w:r w:rsidRPr="00A52AEE">
              <w:rPr>
                <w:rStyle w:val="Emphasis"/>
                <w:rFonts w:cs="Arial"/>
                <w:b/>
              </w:rPr>
              <w:t>Prescribed higher education</w:t>
            </w:r>
            <w:r w:rsidRPr="00A52AEE">
              <w:rPr>
                <w:rStyle w:val="Emphasis"/>
                <w:rFonts w:cs="Arial"/>
              </w:rPr>
              <w:t xml:space="preserve"> </w:t>
            </w:r>
            <w:r w:rsidRPr="00A52AEE">
              <w:t>– Delivered in universities and FE Colleges with funding directed by the Higher Education Funding Council for England (HEFCE)</w:t>
            </w:r>
            <w:r w:rsidRPr="00A52AEE">
              <w:rPr>
                <w:rStyle w:val="FootnoteReference"/>
                <w:rFonts w:cs="Arial"/>
                <w:sz w:val="20"/>
              </w:rPr>
              <w:footnoteReference w:id="4"/>
            </w:r>
            <w:r w:rsidRPr="00A52AEE">
              <w:t xml:space="preserve">.  The following qualifications are included: </w:t>
            </w:r>
            <w:r w:rsidRPr="00A52AEE">
              <w:rPr>
                <w:b/>
              </w:rPr>
              <w:t>First degrees</w:t>
            </w:r>
            <w:r w:rsidRPr="00A52AEE">
              <w:t xml:space="preserve"> (level 6) and </w:t>
            </w:r>
            <w:r w:rsidRPr="00A52AEE">
              <w:rPr>
                <w:b/>
              </w:rPr>
              <w:t>Other Undergraduate</w:t>
            </w:r>
            <w:r w:rsidRPr="00A52AEE">
              <w:t xml:space="preserve"> (OUG) qualifications including </w:t>
            </w:r>
            <w:r w:rsidRPr="00A52AEE">
              <w:rPr>
                <w:b/>
              </w:rPr>
              <w:t>Higher National Certificates</w:t>
            </w:r>
            <w:r w:rsidRPr="00A52AEE">
              <w:t xml:space="preserve"> (HNC) and </w:t>
            </w:r>
            <w:r w:rsidRPr="00A52AEE">
              <w:rPr>
                <w:b/>
              </w:rPr>
              <w:t>Certificates of Higher Education</w:t>
            </w:r>
            <w:r w:rsidRPr="00A52AEE">
              <w:t xml:space="preserve"> at level 4; </w:t>
            </w:r>
            <w:r w:rsidRPr="00A52AEE">
              <w:rPr>
                <w:b/>
              </w:rPr>
              <w:t>Higher National Diplomas</w:t>
            </w:r>
            <w:r w:rsidRPr="00A52AEE">
              <w:t xml:space="preserve"> (HND), </w:t>
            </w:r>
            <w:r w:rsidRPr="00A52AEE">
              <w:rPr>
                <w:b/>
              </w:rPr>
              <w:t>Diplomas of Higher Education</w:t>
            </w:r>
            <w:r w:rsidRPr="00A52AEE">
              <w:t xml:space="preserve"> and </w:t>
            </w:r>
            <w:r w:rsidRPr="00A52AEE">
              <w:rPr>
                <w:b/>
              </w:rPr>
              <w:t>Foundation degrees</w:t>
            </w:r>
            <w:r w:rsidRPr="00A52AEE">
              <w:t xml:space="preserve"> at level 5.  </w:t>
            </w:r>
          </w:p>
        </w:tc>
      </w:tr>
      <w:tr w:rsidR="008859EE" w:rsidRPr="00A52AEE" w14:paraId="02D780C9" w14:textId="77777777" w:rsidTr="0076166E">
        <w:trPr>
          <w:trHeight w:val="1163"/>
        </w:trPr>
        <w:tc>
          <w:tcPr>
            <w:tcW w:w="1314" w:type="pct"/>
            <w:vMerge/>
            <w:shd w:val="clear" w:color="auto" w:fill="auto"/>
            <w:tcMar>
              <w:top w:w="113" w:type="dxa"/>
              <w:bottom w:w="113" w:type="dxa"/>
            </w:tcMar>
          </w:tcPr>
          <w:p w14:paraId="7A4E0A96" w14:textId="77777777" w:rsidR="008859EE" w:rsidRPr="00A52AEE" w:rsidRDefault="008859EE" w:rsidP="00A52AEE"/>
        </w:tc>
        <w:tc>
          <w:tcPr>
            <w:tcW w:w="3686" w:type="pct"/>
            <w:shd w:val="clear" w:color="auto" w:fill="auto"/>
            <w:tcMar>
              <w:top w:w="113" w:type="dxa"/>
              <w:bottom w:w="113" w:type="dxa"/>
            </w:tcMar>
            <w:vAlign w:val="center"/>
          </w:tcPr>
          <w:p w14:paraId="5211758D" w14:textId="678A42F1" w:rsidR="008859EE" w:rsidRPr="00A52AEE" w:rsidRDefault="008859EE" w:rsidP="00A52AEE">
            <w:r w:rsidRPr="00A52AEE">
              <w:rPr>
                <w:rStyle w:val="Emphasis"/>
                <w:rFonts w:cs="Arial"/>
                <w:b/>
              </w:rPr>
              <w:t>Non-prescribed higher education</w:t>
            </w:r>
            <w:r w:rsidRPr="00A52AEE">
              <w:rPr>
                <w:sz w:val="32"/>
              </w:rPr>
              <w:t xml:space="preserve"> </w:t>
            </w:r>
            <w:r w:rsidRPr="00A52AEE">
              <w:t xml:space="preserve">– Delivered in FE Colleges with funding directed by the Learning and Skills Council (LSC) up to 2010 and since then by the Skills Funding Agency (SFA).  Qualifications include </w:t>
            </w:r>
            <w:r w:rsidRPr="00A52AEE">
              <w:rPr>
                <w:b/>
              </w:rPr>
              <w:t>NVQ</w:t>
            </w:r>
            <w:r w:rsidRPr="00A52AEE">
              <w:t xml:space="preserve"> programmes and </w:t>
            </w:r>
            <w:r w:rsidRPr="00A52AEE">
              <w:rPr>
                <w:b/>
              </w:rPr>
              <w:t>Professional Certificates</w:t>
            </w:r>
            <w:r w:rsidRPr="00A52AEE">
              <w:t xml:space="preserve"> and </w:t>
            </w:r>
            <w:r w:rsidRPr="00A52AEE">
              <w:rPr>
                <w:b/>
              </w:rPr>
              <w:t>Diplomas</w:t>
            </w:r>
            <w:r w:rsidRPr="00A52AEE">
              <w:t xml:space="preserve"> at Levels 4 and 5.</w:t>
            </w:r>
          </w:p>
        </w:tc>
      </w:tr>
    </w:tbl>
    <w:p w14:paraId="31CBBB0D" w14:textId="41BA25DA" w:rsidR="004A4321" w:rsidRPr="00A52AEE" w:rsidRDefault="004A4321" w:rsidP="00A52AEE"/>
    <w:p w14:paraId="31DAED7F" w14:textId="76AFBBB1" w:rsidR="00F60ABC" w:rsidRPr="00A52AEE" w:rsidRDefault="00771DD0" w:rsidP="008D527A">
      <w:pPr>
        <w:pStyle w:val="Heading2"/>
      </w:pPr>
      <w:bookmarkStart w:id="51" w:name="_Toc429151295"/>
      <w:bookmarkEnd w:id="48"/>
      <w:bookmarkEnd w:id="49"/>
      <w:r>
        <w:t>2</w:t>
      </w:r>
      <w:r w:rsidR="0025066C">
        <w:t>.2</w:t>
      </w:r>
      <w:r w:rsidR="00593BBA" w:rsidRPr="00A52AEE">
        <w:tab/>
        <w:t>Policy c</w:t>
      </w:r>
      <w:r w:rsidR="00F60ABC" w:rsidRPr="00A52AEE">
        <w:t>ontext</w:t>
      </w:r>
      <w:bookmarkEnd w:id="51"/>
    </w:p>
    <w:p w14:paraId="72A2CB3B" w14:textId="77777777" w:rsidR="00C455AD" w:rsidRPr="00A52AEE" w:rsidRDefault="008859EE" w:rsidP="00A52AEE">
      <w:r w:rsidRPr="00A52AEE">
        <w:t>I</w:t>
      </w:r>
      <w:r w:rsidR="00E02409" w:rsidRPr="00A52AEE">
        <w:t>t is useful when looking at historic data to remember some of the policy changes that were happening over the period to provide a context for understanding some of the tr</w:t>
      </w:r>
      <w:r w:rsidRPr="00A52AEE">
        <w:t>ends.  In one sense much of the</w:t>
      </w:r>
      <w:r w:rsidR="00E02409" w:rsidRPr="00A52AEE">
        <w:t xml:space="preserve"> period was characterised by the widening participation agenda with major investment in both Aimhigher </w:t>
      </w:r>
      <w:r w:rsidRPr="00A52AEE">
        <w:t xml:space="preserve">(2004 -2011) </w:t>
      </w:r>
      <w:r w:rsidR="00E02409" w:rsidRPr="00A52AEE">
        <w:t>and Lifelong Learning Networks</w:t>
      </w:r>
      <w:r w:rsidRPr="00A52AEE">
        <w:t xml:space="preserve"> (2005 – 2010)</w:t>
      </w:r>
      <w:r w:rsidR="00E02409" w:rsidRPr="00A52AEE">
        <w:t xml:space="preserve">, expansion of student numbers and the introduction and growth of Foundation degrees.  In this period, especially latterly, London has also seen a major expansion in apprenticeship numbers from a very low starting point.  </w:t>
      </w:r>
    </w:p>
    <w:p w14:paraId="544A7895" w14:textId="77777777" w:rsidR="00C455AD" w:rsidRPr="00A52AEE" w:rsidRDefault="00C455AD" w:rsidP="00A52AEE"/>
    <w:p w14:paraId="25A6BDAE" w14:textId="6A5B86AD" w:rsidR="00E02409" w:rsidRPr="00A52AEE" w:rsidRDefault="00177768" w:rsidP="00A52AEE">
      <w:r w:rsidRPr="00A52AEE">
        <w:t>One of the most significant developments that has impacted on the numbers of students in London progressing to HE has been the introduction of higher fees in 2012</w:t>
      </w:r>
      <w:r w:rsidR="00C455AD" w:rsidRPr="00A52AEE">
        <w:t>,</w:t>
      </w:r>
      <w:r w:rsidRPr="00A52AEE">
        <w:t xml:space="preserve"> and the</w:t>
      </w:r>
      <w:r w:rsidR="00C455AD" w:rsidRPr="00A52AEE">
        <w:t xml:space="preserve"> effects of this on London students can be seen in this report.  </w:t>
      </w:r>
    </w:p>
    <w:p w14:paraId="6E984BC2" w14:textId="77777777" w:rsidR="00C455AD" w:rsidRPr="00A52AEE" w:rsidRDefault="00C455AD" w:rsidP="00A52AEE"/>
    <w:p w14:paraId="08C795AE" w14:textId="77777777" w:rsidR="00E02409" w:rsidRDefault="00E02409" w:rsidP="00A52AEE">
      <w:r w:rsidRPr="00A52AEE">
        <w:t>To provide a reference for the findings in this report, the following timeline has been compiled:</w:t>
      </w:r>
    </w:p>
    <w:p w14:paraId="26106A19" w14:textId="4B562236" w:rsidR="00A52AEE" w:rsidRDefault="00A52AEE" w:rsidP="00A52AEE"/>
    <w:tbl>
      <w:tblPr>
        <w:tblW w:w="4980" w:type="pct"/>
        <w:tblInd w:w="-5"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227" w:type="dxa"/>
          <w:right w:w="0" w:type="dxa"/>
        </w:tblCellMar>
        <w:tblLook w:val="01E0" w:firstRow="1" w:lastRow="1" w:firstColumn="1" w:lastColumn="1" w:noHBand="0" w:noVBand="0"/>
      </w:tblPr>
      <w:tblGrid>
        <w:gridCol w:w="1060"/>
        <w:gridCol w:w="8473"/>
      </w:tblGrid>
      <w:tr w:rsidR="00E02409" w:rsidRPr="00A52AEE" w14:paraId="38473233" w14:textId="77777777" w:rsidTr="00FE1165">
        <w:trPr>
          <w:trHeight w:val="166"/>
          <w:tblHeader/>
        </w:trPr>
        <w:tc>
          <w:tcPr>
            <w:tcW w:w="556" w:type="pct"/>
            <w:shd w:val="clear" w:color="auto" w:fill="1F4E79" w:themeFill="accent1" w:themeFillShade="80"/>
            <w:tcMar>
              <w:top w:w="113" w:type="dxa"/>
              <w:bottom w:w="113" w:type="dxa"/>
            </w:tcMar>
            <w:vAlign w:val="center"/>
          </w:tcPr>
          <w:p w14:paraId="2015004C" w14:textId="77777777" w:rsidR="00E02409" w:rsidRPr="00A52AEE" w:rsidRDefault="00E02409" w:rsidP="00A52AEE">
            <w:pPr>
              <w:pStyle w:val="TableTitleRomanWhite"/>
            </w:pPr>
            <w:r w:rsidRPr="00A52AEE">
              <w:t>Year</w:t>
            </w:r>
          </w:p>
        </w:tc>
        <w:tc>
          <w:tcPr>
            <w:tcW w:w="4444" w:type="pct"/>
            <w:shd w:val="clear" w:color="auto" w:fill="1F4E79" w:themeFill="accent1" w:themeFillShade="80"/>
            <w:tcMar>
              <w:top w:w="113" w:type="dxa"/>
              <w:bottom w:w="113" w:type="dxa"/>
            </w:tcMar>
          </w:tcPr>
          <w:p w14:paraId="60B91AD4" w14:textId="77777777" w:rsidR="00E02409" w:rsidRPr="00A52AEE" w:rsidRDefault="00E02409" w:rsidP="00A52AEE">
            <w:pPr>
              <w:pStyle w:val="TableTitleRomanWhite"/>
            </w:pPr>
            <w:r w:rsidRPr="00A52AEE">
              <w:t>Policy developments</w:t>
            </w:r>
          </w:p>
        </w:tc>
      </w:tr>
      <w:tr w:rsidR="00E02409" w:rsidRPr="00A52AEE" w14:paraId="58E4121B" w14:textId="77777777" w:rsidTr="00C208F3">
        <w:trPr>
          <w:trHeight w:val="640"/>
        </w:trPr>
        <w:tc>
          <w:tcPr>
            <w:tcW w:w="556" w:type="pct"/>
            <w:shd w:val="clear" w:color="auto" w:fill="auto"/>
            <w:tcMar>
              <w:top w:w="113" w:type="dxa"/>
              <w:bottom w:w="113" w:type="dxa"/>
            </w:tcMar>
            <w:vAlign w:val="center"/>
          </w:tcPr>
          <w:p w14:paraId="1E5D99AF" w14:textId="77777777" w:rsidR="00E02409" w:rsidRPr="00A52AEE" w:rsidRDefault="00E02409" w:rsidP="00A52AEE">
            <w:pPr>
              <w:pStyle w:val="TableText"/>
            </w:pPr>
            <w:r w:rsidRPr="00A52AEE">
              <w:t>1997</w:t>
            </w:r>
          </w:p>
        </w:tc>
        <w:tc>
          <w:tcPr>
            <w:tcW w:w="4444" w:type="pct"/>
            <w:shd w:val="clear" w:color="auto" w:fill="auto"/>
            <w:tcMar>
              <w:top w:w="113" w:type="dxa"/>
              <w:bottom w:w="113" w:type="dxa"/>
            </w:tcMar>
          </w:tcPr>
          <w:p w14:paraId="07DD892C" w14:textId="77777777" w:rsidR="00E02409" w:rsidRPr="00A52AEE" w:rsidRDefault="00E02409" w:rsidP="00A52AEE">
            <w:pPr>
              <w:pStyle w:val="Tabletextnon-bold"/>
              <w:ind w:left="0"/>
            </w:pPr>
            <w:r w:rsidRPr="00A52AEE">
              <w:t>Dearing Report published</w:t>
            </w:r>
            <w:sdt>
              <w:sdtPr>
                <w:id w:val="974251748"/>
                <w:citation/>
              </w:sdtPr>
              <w:sdtEndPr/>
              <w:sdtContent>
                <w:r w:rsidRPr="00A52AEE">
                  <w:fldChar w:fldCharType="begin"/>
                </w:r>
                <w:r w:rsidRPr="00A52AEE">
                  <w:instrText xml:space="preserve"> CITATION Dea97 \l 2057 </w:instrText>
                </w:r>
                <w:r w:rsidRPr="00A52AEE">
                  <w:fldChar w:fldCharType="separate"/>
                </w:r>
                <w:r w:rsidR="004E52FE">
                  <w:rPr>
                    <w:noProof/>
                  </w:rPr>
                  <w:t xml:space="preserve"> (Dearing, 1997)</w:t>
                </w:r>
                <w:r w:rsidRPr="00A52AEE">
                  <w:fldChar w:fldCharType="end"/>
                </w:r>
              </w:sdtContent>
            </w:sdt>
            <w:r w:rsidRPr="00A52AEE">
              <w:t xml:space="preserve"> recommending the development of Other Undergraduate programmes in FE Colleges</w:t>
            </w:r>
          </w:p>
        </w:tc>
      </w:tr>
      <w:tr w:rsidR="00E02409" w:rsidRPr="00A52AEE" w14:paraId="214EA25E" w14:textId="77777777" w:rsidTr="00C208F3">
        <w:trPr>
          <w:trHeight w:val="595"/>
        </w:trPr>
        <w:tc>
          <w:tcPr>
            <w:tcW w:w="556" w:type="pct"/>
            <w:shd w:val="clear" w:color="auto" w:fill="auto"/>
            <w:tcMar>
              <w:top w:w="113" w:type="dxa"/>
              <w:bottom w:w="113" w:type="dxa"/>
            </w:tcMar>
            <w:vAlign w:val="center"/>
          </w:tcPr>
          <w:p w14:paraId="40978DB2" w14:textId="77777777" w:rsidR="00E02409" w:rsidRPr="00A52AEE" w:rsidRDefault="00E02409" w:rsidP="00A52AEE">
            <w:pPr>
              <w:pStyle w:val="TableText"/>
            </w:pPr>
            <w:r w:rsidRPr="00A52AEE">
              <w:lastRenderedPageBreak/>
              <w:t>2003</w:t>
            </w:r>
          </w:p>
        </w:tc>
        <w:tc>
          <w:tcPr>
            <w:tcW w:w="4444" w:type="pct"/>
            <w:shd w:val="clear" w:color="auto" w:fill="auto"/>
            <w:tcMar>
              <w:top w:w="113" w:type="dxa"/>
              <w:bottom w:w="113" w:type="dxa"/>
            </w:tcMar>
          </w:tcPr>
          <w:p w14:paraId="1123B11F" w14:textId="77777777" w:rsidR="00E02409" w:rsidRPr="00A52AEE" w:rsidRDefault="00E02409" w:rsidP="00A52AEE">
            <w:pPr>
              <w:pStyle w:val="Tabletextnon-bold"/>
              <w:ind w:left="0"/>
            </w:pPr>
            <w:r w:rsidRPr="00A52AEE">
              <w:t>Foundation Degree Forward (FdF) established to promote Foundation degrees set up in 2001/2</w:t>
            </w:r>
          </w:p>
        </w:tc>
      </w:tr>
      <w:tr w:rsidR="00E02409" w:rsidRPr="00A52AEE" w14:paraId="5E5E6E30" w14:textId="77777777" w:rsidTr="00C208F3">
        <w:trPr>
          <w:trHeight w:val="491"/>
        </w:trPr>
        <w:tc>
          <w:tcPr>
            <w:tcW w:w="556" w:type="pct"/>
            <w:shd w:val="clear" w:color="auto" w:fill="auto"/>
            <w:tcMar>
              <w:top w:w="113" w:type="dxa"/>
              <w:bottom w:w="113" w:type="dxa"/>
            </w:tcMar>
            <w:vAlign w:val="center"/>
          </w:tcPr>
          <w:p w14:paraId="60B7BB26" w14:textId="77777777" w:rsidR="00E02409" w:rsidRPr="00A52AEE" w:rsidRDefault="00E02409" w:rsidP="00A52AEE">
            <w:pPr>
              <w:pStyle w:val="TableText"/>
            </w:pPr>
            <w:r w:rsidRPr="00A52AEE">
              <w:t>2004</w:t>
            </w:r>
          </w:p>
        </w:tc>
        <w:tc>
          <w:tcPr>
            <w:tcW w:w="4444" w:type="pct"/>
            <w:shd w:val="clear" w:color="auto" w:fill="auto"/>
            <w:tcMar>
              <w:top w:w="113" w:type="dxa"/>
              <w:bottom w:w="113" w:type="dxa"/>
            </w:tcMar>
          </w:tcPr>
          <w:p w14:paraId="03939A31" w14:textId="77777777" w:rsidR="00E02409" w:rsidRPr="00A52AEE" w:rsidRDefault="00E02409" w:rsidP="00A52AEE">
            <w:r w:rsidRPr="00A52AEE">
              <w:t>University fees rise to £3,000 pa</w:t>
            </w:r>
          </w:p>
          <w:p w14:paraId="508F072B" w14:textId="77777777" w:rsidR="00E02409" w:rsidRPr="00A52AEE" w:rsidRDefault="00E02409" w:rsidP="00A52AEE">
            <w:r w:rsidRPr="00A52AEE">
              <w:t>Aimhigher set up to increase widening participation</w:t>
            </w:r>
          </w:p>
          <w:p w14:paraId="1A12CD65" w14:textId="77777777" w:rsidR="00E02409" w:rsidRPr="00A52AEE" w:rsidRDefault="00E02409" w:rsidP="00A52AEE">
            <w:pPr>
              <w:pStyle w:val="Tabletextnon-bold"/>
              <w:ind w:left="0"/>
            </w:pPr>
            <w:r w:rsidRPr="00A52AEE">
              <w:t>Office for Fair Access (OFFA) set up to monitor fair access to higher education</w:t>
            </w:r>
          </w:p>
        </w:tc>
      </w:tr>
      <w:tr w:rsidR="00E02409" w:rsidRPr="00A52AEE" w14:paraId="58298891" w14:textId="77777777" w:rsidTr="00C208F3">
        <w:trPr>
          <w:trHeight w:val="491"/>
        </w:trPr>
        <w:tc>
          <w:tcPr>
            <w:tcW w:w="556" w:type="pct"/>
            <w:shd w:val="clear" w:color="auto" w:fill="auto"/>
            <w:tcMar>
              <w:top w:w="113" w:type="dxa"/>
              <w:bottom w:w="113" w:type="dxa"/>
            </w:tcMar>
            <w:vAlign w:val="center"/>
          </w:tcPr>
          <w:p w14:paraId="67B600C0" w14:textId="77777777" w:rsidR="00E02409" w:rsidRPr="00A52AEE" w:rsidRDefault="00E02409" w:rsidP="00A52AEE">
            <w:pPr>
              <w:pStyle w:val="TableText"/>
            </w:pPr>
            <w:r w:rsidRPr="00A52AEE">
              <w:t>2005</w:t>
            </w:r>
          </w:p>
        </w:tc>
        <w:tc>
          <w:tcPr>
            <w:tcW w:w="4444" w:type="pct"/>
            <w:shd w:val="clear" w:color="auto" w:fill="auto"/>
            <w:tcMar>
              <w:top w:w="113" w:type="dxa"/>
              <w:bottom w:w="113" w:type="dxa"/>
            </w:tcMar>
          </w:tcPr>
          <w:p w14:paraId="4C47B35F" w14:textId="6501A1D1" w:rsidR="00E02409" w:rsidRPr="00A52AEE" w:rsidRDefault="00E02409" w:rsidP="00A52AEE">
            <w:r w:rsidRPr="00A52AEE">
              <w:t>First Lif</w:t>
            </w:r>
            <w:r w:rsidR="001D219C">
              <w:t>elong Learning Networks (LLNs)</w:t>
            </w:r>
            <w:r w:rsidRPr="00A52AEE">
              <w:t xml:space="preserve"> set up to improve progression to higher education for vocational students</w:t>
            </w:r>
          </w:p>
          <w:p w14:paraId="75B91362" w14:textId="77777777" w:rsidR="00E02409" w:rsidRPr="00A52AEE" w:rsidRDefault="00E02409" w:rsidP="00A52AEE">
            <w:pPr>
              <w:pStyle w:val="Tabletextnon-bold"/>
              <w:ind w:left="0"/>
            </w:pPr>
            <w:r w:rsidRPr="00A52AEE">
              <w:t>National Student Survey begins</w:t>
            </w:r>
          </w:p>
        </w:tc>
      </w:tr>
      <w:tr w:rsidR="00E02409" w:rsidRPr="00A52AEE" w14:paraId="06EB2109" w14:textId="77777777" w:rsidTr="00C208F3">
        <w:trPr>
          <w:trHeight w:val="491"/>
        </w:trPr>
        <w:tc>
          <w:tcPr>
            <w:tcW w:w="556" w:type="pct"/>
            <w:shd w:val="clear" w:color="auto" w:fill="auto"/>
            <w:tcMar>
              <w:top w:w="113" w:type="dxa"/>
              <w:bottom w:w="113" w:type="dxa"/>
            </w:tcMar>
            <w:vAlign w:val="center"/>
          </w:tcPr>
          <w:p w14:paraId="4C690727" w14:textId="77777777" w:rsidR="00E02409" w:rsidRPr="00A52AEE" w:rsidRDefault="00E02409" w:rsidP="00A52AEE">
            <w:pPr>
              <w:pStyle w:val="TableText"/>
            </w:pPr>
            <w:r w:rsidRPr="00A52AEE">
              <w:t>2006</w:t>
            </w:r>
          </w:p>
        </w:tc>
        <w:tc>
          <w:tcPr>
            <w:tcW w:w="4444" w:type="pct"/>
            <w:shd w:val="clear" w:color="auto" w:fill="auto"/>
            <w:tcMar>
              <w:top w:w="113" w:type="dxa"/>
              <w:bottom w:w="113" w:type="dxa"/>
            </w:tcMar>
          </w:tcPr>
          <w:p w14:paraId="74445342" w14:textId="77777777" w:rsidR="00E02409" w:rsidRPr="00A52AEE" w:rsidRDefault="00E02409" w:rsidP="00A52AEE">
            <w:r w:rsidRPr="00A52AEE">
              <w:t xml:space="preserve">Higher Education Funding Council for England (HEFCE) Consultation on HE in FE Colleges published </w:t>
            </w:r>
            <w:sdt>
              <w:sdtPr>
                <w:id w:val="2144695588"/>
                <w:citation/>
              </w:sdtPr>
              <w:sdtEndPr/>
              <w:sdtContent>
                <w:r w:rsidRPr="00A52AEE">
                  <w:fldChar w:fldCharType="begin"/>
                </w:r>
                <w:r w:rsidRPr="00A52AEE">
                  <w:instrText xml:space="preserve"> CITATION HEF06 \l 2057 </w:instrText>
                </w:r>
                <w:r w:rsidRPr="00A52AEE">
                  <w:fldChar w:fldCharType="separate"/>
                </w:r>
                <w:r w:rsidR="004E52FE">
                  <w:rPr>
                    <w:noProof/>
                  </w:rPr>
                  <w:t>(HEFCE, 2006)</w:t>
                </w:r>
                <w:r w:rsidRPr="00A52AEE">
                  <w:fldChar w:fldCharType="end"/>
                </w:r>
              </w:sdtContent>
            </w:sdt>
            <w:r w:rsidRPr="00A52AEE">
              <w:t xml:space="preserve"> </w:t>
            </w:r>
          </w:p>
          <w:p w14:paraId="7C3B00FC" w14:textId="77777777" w:rsidR="00E02409" w:rsidRPr="00A52AEE" w:rsidRDefault="00E02409" w:rsidP="00A52AEE">
            <w:r w:rsidRPr="00A52AEE">
              <w:t xml:space="preserve">Train to Gain starts </w:t>
            </w:r>
          </w:p>
          <w:p w14:paraId="7EA1C70B" w14:textId="77777777" w:rsidR="00E02409" w:rsidRPr="00A52AEE" w:rsidRDefault="00E02409" w:rsidP="00A52AEE">
            <w:r w:rsidRPr="00A52AEE">
              <w:t>Advanced Vocational Certificate of Education (AVCE) qualifications end</w:t>
            </w:r>
          </w:p>
          <w:p w14:paraId="1F5DE8CF" w14:textId="77777777" w:rsidR="00E02409" w:rsidRPr="00A52AEE" w:rsidRDefault="00E02409" w:rsidP="00A52AEE">
            <w:pPr>
              <w:pStyle w:val="Tabletextnon-bold"/>
              <w:spacing w:after="0"/>
              <w:ind w:left="0"/>
            </w:pPr>
            <w:r w:rsidRPr="00A52AEE">
              <w:t xml:space="preserve">Leitch Report published </w:t>
            </w:r>
            <w:sdt>
              <w:sdtPr>
                <w:id w:val="1478107585"/>
                <w:citation/>
              </w:sdtPr>
              <w:sdtEndPr/>
              <w:sdtContent>
                <w:r w:rsidRPr="00A52AEE">
                  <w:fldChar w:fldCharType="begin"/>
                </w:r>
                <w:r w:rsidRPr="00A52AEE">
                  <w:instrText xml:space="preserve">CITATION Lei07 \l 2057 </w:instrText>
                </w:r>
                <w:r w:rsidRPr="00A52AEE">
                  <w:fldChar w:fldCharType="separate"/>
                </w:r>
                <w:r w:rsidR="004E52FE">
                  <w:rPr>
                    <w:noProof/>
                  </w:rPr>
                  <w:t>(Leitch, 2006)</w:t>
                </w:r>
                <w:r w:rsidRPr="00A52AEE">
                  <w:fldChar w:fldCharType="end"/>
                </w:r>
              </w:sdtContent>
            </w:sdt>
          </w:p>
          <w:p w14:paraId="70B911C2" w14:textId="77777777" w:rsidR="00E02409" w:rsidRPr="00A52AEE" w:rsidRDefault="00E02409" w:rsidP="00A52AEE">
            <w:pPr>
              <w:pStyle w:val="Tabletextnon-bold"/>
              <w:spacing w:after="0"/>
              <w:ind w:left="0"/>
            </w:pPr>
            <w:r w:rsidRPr="00A52AEE">
              <w:t>Supporting Professionalism in Admissions (SPA) set up</w:t>
            </w:r>
          </w:p>
        </w:tc>
      </w:tr>
      <w:tr w:rsidR="00E02409" w:rsidRPr="00A52AEE" w14:paraId="7962D83C" w14:textId="77777777" w:rsidTr="00C208F3">
        <w:trPr>
          <w:trHeight w:val="491"/>
        </w:trPr>
        <w:tc>
          <w:tcPr>
            <w:tcW w:w="556" w:type="pct"/>
            <w:shd w:val="clear" w:color="auto" w:fill="auto"/>
            <w:tcMar>
              <w:top w:w="113" w:type="dxa"/>
              <w:bottom w:w="113" w:type="dxa"/>
            </w:tcMar>
            <w:vAlign w:val="center"/>
          </w:tcPr>
          <w:p w14:paraId="055F1CEE" w14:textId="77777777" w:rsidR="00E02409" w:rsidRPr="00A52AEE" w:rsidRDefault="00E02409" w:rsidP="00A52AEE">
            <w:pPr>
              <w:pStyle w:val="TableText"/>
            </w:pPr>
            <w:r w:rsidRPr="00A52AEE">
              <w:t>2007</w:t>
            </w:r>
          </w:p>
        </w:tc>
        <w:tc>
          <w:tcPr>
            <w:tcW w:w="4444" w:type="pct"/>
            <w:shd w:val="clear" w:color="auto" w:fill="auto"/>
            <w:tcMar>
              <w:top w:w="113" w:type="dxa"/>
              <w:bottom w:w="113" w:type="dxa"/>
            </w:tcMar>
          </w:tcPr>
          <w:p w14:paraId="2CE594F4" w14:textId="77777777" w:rsidR="00E02409" w:rsidRPr="00A52AEE" w:rsidRDefault="00E02409" w:rsidP="00A52AEE">
            <w:pPr>
              <w:rPr>
                <w:lang w:val="en"/>
              </w:rPr>
            </w:pPr>
            <w:r w:rsidRPr="00A52AEE">
              <w:rPr>
                <w:lang w:val="en"/>
              </w:rPr>
              <w:t>Department for Innovation Universities and Skills set up</w:t>
            </w:r>
          </w:p>
          <w:p w14:paraId="7E901AD8" w14:textId="77777777" w:rsidR="00E02409" w:rsidRPr="00A52AEE" w:rsidRDefault="00E02409" w:rsidP="00A52AEE">
            <w:pPr>
              <w:pStyle w:val="Tabletextnon-bold"/>
              <w:ind w:left="0"/>
            </w:pPr>
            <w:r w:rsidRPr="00A52AEE">
              <w:rPr>
                <w:lang w:val="en"/>
              </w:rPr>
              <w:t>World Class Skills – Implementing the Leitch Review of Skills published</w:t>
            </w:r>
            <w:sdt>
              <w:sdtPr>
                <w:rPr>
                  <w:lang w:val="en"/>
                </w:rPr>
                <w:id w:val="209391185"/>
                <w:citation/>
              </w:sdtPr>
              <w:sdtEndPr/>
              <w:sdtContent>
                <w:r w:rsidRPr="00A52AEE">
                  <w:rPr>
                    <w:lang w:val="en"/>
                  </w:rPr>
                  <w:fldChar w:fldCharType="begin"/>
                </w:r>
                <w:r w:rsidRPr="00A52AEE">
                  <w:instrText xml:space="preserve"> CITATION DIU07 \l 2057 </w:instrText>
                </w:r>
                <w:r w:rsidRPr="00A52AEE">
                  <w:rPr>
                    <w:lang w:val="en"/>
                  </w:rPr>
                  <w:fldChar w:fldCharType="separate"/>
                </w:r>
                <w:r w:rsidR="004E52FE">
                  <w:rPr>
                    <w:noProof/>
                  </w:rPr>
                  <w:t xml:space="preserve"> (DIUS, 2007)</w:t>
                </w:r>
                <w:r w:rsidRPr="00A52AEE">
                  <w:rPr>
                    <w:lang w:val="en"/>
                  </w:rPr>
                  <w:fldChar w:fldCharType="end"/>
                </w:r>
              </w:sdtContent>
            </w:sdt>
          </w:p>
        </w:tc>
      </w:tr>
      <w:tr w:rsidR="00E02409" w:rsidRPr="00A52AEE" w14:paraId="1CC88A55" w14:textId="77777777" w:rsidTr="00C208F3">
        <w:trPr>
          <w:trHeight w:val="491"/>
        </w:trPr>
        <w:tc>
          <w:tcPr>
            <w:tcW w:w="556" w:type="pct"/>
            <w:shd w:val="clear" w:color="auto" w:fill="auto"/>
            <w:tcMar>
              <w:top w:w="113" w:type="dxa"/>
              <w:bottom w:w="113" w:type="dxa"/>
            </w:tcMar>
            <w:vAlign w:val="center"/>
          </w:tcPr>
          <w:p w14:paraId="600E7B18" w14:textId="77777777" w:rsidR="00E02409" w:rsidRPr="00A52AEE" w:rsidRDefault="00E02409" w:rsidP="00A52AEE">
            <w:pPr>
              <w:pStyle w:val="TableText"/>
            </w:pPr>
            <w:r w:rsidRPr="00A52AEE">
              <w:t>2008</w:t>
            </w:r>
          </w:p>
        </w:tc>
        <w:tc>
          <w:tcPr>
            <w:tcW w:w="4444" w:type="pct"/>
            <w:shd w:val="clear" w:color="auto" w:fill="auto"/>
            <w:tcMar>
              <w:top w:w="113" w:type="dxa"/>
              <w:bottom w:w="113" w:type="dxa"/>
            </w:tcMar>
          </w:tcPr>
          <w:p w14:paraId="269526F4" w14:textId="77777777" w:rsidR="00E02409" w:rsidRPr="00A52AEE" w:rsidRDefault="00E02409" w:rsidP="00A52AEE">
            <w:r w:rsidRPr="00A52AEE">
              <w:t xml:space="preserve">Equivalent or Lower Qualifications (ELQ) policy introduced </w:t>
            </w:r>
          </w:p>
          <w:p w14:paraId="4304334F" w14:textId="77777777" w:rsidR="00E02409" w:rsidRPr="00A52AEE" w:rsidRDefault="00E02409" w:rsidP="00A52AEE">
            <w:r w:rsidRPr="00A52AEE">
              <w:t>Qualifications and Credit Framework (QCF) established</w:t>
            </w:r>
          </w:p>
          <w:p w14:paraId="13314148" w14:textId="77777777" w:rsidR="00E02409" w:rsidRPr="00A52AEE" w:rsidRDefault="00E02409" w:rsidP="00A52AEE">
            <w:r w:rsidRPr="00A52AEE">
              <w:t>Connexions services transferred to Local Authorities</w:t>
            </w:r>
          </w:p>
          <w:p w14:paraId="63A229FE" w14:textId="77777777" w:rsidR="00E02409" w:rsidRPr="00A52AEE" w:rsidRDefault="00E02409" w:rsidP="00A52AEE">
            <w:r w:rsidRPr="00A52AEE">
              <w:t>14-19 Diplomas start</w:t>
            </w:r>
          </w:p>
          <w:p w14:paraId="5F31D003" w14:textId="77777777" w:rsidR="00E02409" w:rsidRPr="00A52AEE" w:rsidRDefault="00E02409" w:rsidP="00A52AEE">
            <w:r w:rsidRPr="00A52AEE">
              <w:t>Start of economic recession</w:t>
            </w:r>
          </w:p>
          <w:p w14:paraId="1505DBA8" w14:textId="77777777" w:rsidR="00E02409" w:rsidRPr="00A52AEE" w:rsidRDefault="00E02409" w:rsidP="00A52AEE">
            <w:pPr>
              <w:pStyle w:val="Tabletextnon-bold"/>
              <w:ind w:left="0"/>
            </w:pPr>
            <w:r w:rsidRPr="00A52AEE">
              <w:t>Start of decline in part-time HE numbers</w:t>
            </w:r>
          </w:p>
        </w:tc>
      </w:tr>
      <w:tr w:rsidR="00E02409" w:rsidRPr="00A52AEE" w14:paraId="3E3CB923" w14:textId="77777777" w:rsidTr="00C208F3">
        <w:trPr>
          <w:trHeight w:val="491"/>
        </w:trPr>
        <w:tc>
          <w:tcPr>
            <w:tcW w:w="556" w:type="pct"/>
            <w:shd w:val="clear" w:color="auto" w:fill="auto"/>
            <w:tcMar>
              <w:top w:w="113" w:type="dxa"/>
              <w:bottom w:w="113" w:type="dxa"/>
            </w:tcMar>
            <w:vAlign w:val="center"/>
          </w:tcPr>
          <w:p w14:paraId="546FB199" w14:textId="77777777" w:rsidR="00E02409" w:rsidRPr="00A52AEE" w:rsidRDefault="00E02409" w:rsidP="00A52AEE">
            <w:pPr>
              <w:pStyle w:val="TableText"/>
            </w:pPr>
            <w:r w:rsidRPr="00A52AEE">
              <w:t>2009</w:t>
            </w:r>
          </w:p>
        </w:tc>
        <w:tc>
          <w:tcPr>
            <w:tcW w:w="4444" w:type="pct"/>
            <w:shd w:val="clear" w:color="auto" w:fill="auto"/>
            <w:tcMar>
              <w:top w:w="113" w:type="dxa"/>
              <w:bottom w:w="113" w:type="dxa"/>
            </w:tcMar>
          </w:tcPr>
          <w:p w14:paraId="5BFD28CD" w14:textId="77777777" w:rsidR="00E02409" w:rsidRPr="00A52AEE" w:rsidRDefault="00E02409" w:rsidP="00A52AEE">
            <w:r w:rsidRPr="00A52AEE">
              <w:t>Department for Business, Innovation and Skills (BIS) set up</w:t>
            </w:r>
          </w:p>
          <w:p w14:paraId="1A1321BB" w14:textId="77777777" w:rsidR="00E02409" w:rsidRPr="00A52AEE" w:rsidRDefault="00E02409" w:rsidP="00A52AEE">
            <w:r w:rsidRPr="00A52AEE">
              <w:t>National Apprenticeship Service set up</w:t>
            </w:r>
          </w:p>
          <w:p w14:paraId="6B01D3EE" w14:textId="77777777" w:rsidR="00E02409" w:rsidRPr="00A52AEE" w:rsidRDefault="00E02409" w:rsidP="00A52AEE">
            <w:r w:rsidRPr="00A52AEE">
              <w:t>Many LLNs close</w:t>
            </w:r>
          </w:p>
          <w:p w14:paraId="402C38DD" w14:textId="77777777" w:rsidR="00E02409" w:rsidRPr="00A52AEE" w:rsidRDefault="00E02409" w:rsidP="00A52AEE">
            <w:r w:rsidRPr="00A52AEE">
              <w:t>HEFCE request for HE Strategies from FE Colleges</w:t>
            </w:r>
          </w:p>
          <w:p w14:paraId="7B8E433C" w14:textId="77777777" w:rsidR="00E02409" w:rsidRPr="00A52AEE" w:rsidRDefault="00E02409" w:rsidP="00A52AEE">
            <w:r w:rsidRPr="00A52AEE">
              <w:t>Unleashing Aspiration report published</w:t>
            </w:r>
            <w:sdt>
              <w:sdtPr>
                <w:id w:val="-610586210"/>
                <w:citation/>
              </w:sdtPr>
              <w:sdtEndPr/>
              <w:sdtContent>
                <w:r w:rsidRPr="00A52AEE">
                  <w:fldChar w:fldCharType="begin"/>
                </w:r>
                <w:r w:rsidRPr="00A52AEE">
                  <w:instrText xml:space="preserve"> CITATION Pan091 \l 2057 </w:instrText>
                </w:r>
                <w:r w:rsidRPr="00A52AEE">
                  <w:fldChar w:fldCharType="separate"/>
                </w:r>
                <w:r w:rsidR="004E52FE">
                  <w:rPr>
                    <w:noProof/>
                  </w:rPr>
                  <w:t xml:space="preserve"> (Panel on Fair Access to the Professions, 2009)</w:t>
                </w:r>
                <w:r w:rsidRPr="00A52AEE">
                  <w:fldChar w:fldCharType="end"/>
                </w:r>
              </w:sdtContent>
            </w:sdt>
            <w:r w:rsidRPr="00A52AEE">
              <w:t xml:space="preserve"> </w:t>
            </w:r>
          </w:p>
          <w:p w14:paraId="1BB6438B" w14:textId="77777777" w:rsidR="00E02409" w:rsidRPr="00A52AEE" w:rsidRDefault="00E02409" w:rsidP="00A52AEE">
            <w:r w:rsidRPr="00A52AEE">
              <w:t>Higher Ambitions published</w:t>
            </w:r>
            <w:sdt>
              <w:sdtPr>
                <w:id w:val="431475537"/>
                <w:citation/>
              </w:sdtPr>
              <w:sdtEndPr/>
              <w:sdtContent>
                <w:r w:rsidRPr="00A52AEE">
                  <w:fldChar w:fldCharType="begin"/>
                </w:r>
                <w:r w:rsidRPr="00A52AEE">
                  <w:instrText xml:space="preserve">CITATION BIS093 \l 2057 </w:instrText>
                </w:r>
                <w:r w:rsidRPr="00A52AEE">
                  <w:fldChar w:fldCharType="separate"/>
                </w:r>
                <w:r w:rsidR="004E52FE">
                  <w:rPr>
                    <w:noProof/>
                  </w:rPr>
                  <w:t xml:space="preserve"> (BIS, 2009a)</w:t>
                </w:r>
                <w:r w:rsidRPr="00A52AEE">
                  <w:fldChar w:fldCharType="end"/>
                </w:r>
              </w:sdtContent>
            </w:sdt>
          </w:p>
          <w:p w14:paraId="3A49F0F5" w14:textId="77777777" w:rsidR="00E02409" w:rsidRPr="00A52AEE" w:rsidRDefault="00E02409" w:rsidP="00A52AEE">
            <w:r w:rsidRPr="00A52AEE">
              <w:t>Skills for Growth published</w:t>
            </w:r>
            <w:sdt>
              <w:sdtPr>
                <w:id w:val="2052725039"/>
                <w:citation/>
              </w:sdtPr>
              <w:sdtEndPr/>
              <w:sdtContent>
                <w:r w:rsidRPr="00A52AEE">
                  <w:fldChar w:fldCharType="begin"/>
                </w:r>
                <w:r w:rsidRPr="00A52AEE">
                  <w:instrText xml:space="preserve">CITATION BIS092 \l 2057 </w:instrText>
                </w:r>
                <w:r w:rsidRPr="00A52AEE">
                  <w:fldChar w:fldCharType="separate"/>
                </w:r>
                <w:r w:rsidR="004E52FE">
                  <w:rPr>
                    <w:noProof/>
                  </w:rPr>
                  <w:t xml:space="preserve"> (BIS, 2009b)</w:t>
                </w:r>
                <w:r w:rsidRPr="00A52AEE">
                  <w:fldChar w:fldCharType="end"/>
                </w:r>
              </w:sdtContent>
            </w:sdt>
          </w:p>
          <w:p w14:paraId="41ADA917" w14:textId="77777777" w:rsidR="00E02409" w:rsidRPr="00A52AEE" w:rsidRDefault="00E02409" w:rsidP="00A52AEE">
            <w:pPr>
              <w:pStyle w:val="Tabletextnon-bold"/>
              <w:ind w:left="0"/>
            </w:pPr>
            <w:r w:rsidRPr="00A52AEE">
              <w:t>Unemployment rate peaks</w:t>
            </w:r>
            <w:sdt>
              <w:sdtPr>
                <w:id w:val="-614592382"/>
                <w:citation/>
              </w:sdtPr>
              <w:sdtEndPr/>
              <w:sdtContent>
                <w:r w:rsidRPr="00A52AEE">
                  <w:fldChar w:fldCharType="begin"/>
                </w:r>
                <w:r w:rsidRPr="00A52AEE">
                  <w:instrText xml:space="preserve">CITATION Oxf14 \p V \l 2057 </w:instrText>
                </w:r>
                <w:r w:rsidRPr="00A52AEE">
                  <w:fldChar w:fldCharType="separate"/>
                </w:r>
                <w:r w:rsidR="004E52FE">
                  <w:rPr>
                    <w:noProof/>
                  </w:rPr>
                  <w:t xml:space="preserve"> (Oxford Economics, 2014, p. V)</w:t>
                </w:r>
                <w:r w:rsidRPr="00A52AEE">
                  <w:fldChar w:fldCharType="end"/>
                </w:r>
              </w:sdtContent>
            </w:sdt>
          </w:p>
        </w:tc>
      </w:tr>
      <w:tr w:rsidR="00E02409" w:rsidRPr="00A52AEE" w14:paraId="06918B98" w14:textId="77777777" w:rsidTr="00C208F3">
        <w:trPr>
          <w:trHeight w:val="491"/>
        </w:trPr>
        <w:tc>
          <w:tcPr>
            <w:tcW w:w="556" w:type="pct"/>
            <w:shd w:val="clear" w:color="auto" w:fill="auto"/>
            <w:tcMar>
              <w:top w:w="113" w:type="dxa"/>
              <w:bottom w:w="113" w:type="dxa"/>
            </w:tcMar>
            <w:vAlign w:val="center"/>
          </w:tcPr>
          <w:p w14:paraId="3A974F21" w14:textId="77777777" w:rsidR="00E02409" w:rsidRPr="00A52AEE" w:rsidRDefault="00E02409" w:rsidP="00A52AEE">
            <w:pPr>
              <w:pStyle w:val="TableText"/>
            </w:pPr>
            <w:r w:rsidRPr="00A52AEE">
              <w:t>2010</w:t>
            </w:r>
          </w:p>
        </w:tc>
        <w:tc>
          <w:tcPr>
            <w:tcW w:w="4444" w:type="pct"/>
            <w:shd w:val="clear" w:color="auto" w:fill="auto"/>
            <w:tcMar>
              <w:top w:w="113" w:type="dxa"/>
              <w:bottom w:w="113" w:type="dxa"/>
            </w:tcMar>
          </w:tcPr>
          <w:p w14:paraId="59C36F8A" w14:textId="77777777" w:rsidR="00E02409" w:rsidRPr="00A52AEE" w:rsidRDefault="00E02409" w:rsidP="00A52AEE">
            <w:r w:rsidRPr="00A52AEE">
              <w:t>Coalition government comes to power</w:t>
            </w:r>
          </w:p>
          <w:p w14:paraId="399AF712" w14:textId="77777777" w:rsidR="00E02409" w:rsidRPr="00A52AEE" w:rsidRDefault="00E02409" w:rsidP="00A52AEE">
            <w:r w:rsidRPr="00A52AEE">
              <w:t>Learning and Skills Council (LSC) closes</w:t>
            </w:r>
          </w:p>
          <w:p w14:paraId="090543A3" w14:textId="77777777" w:rsidR="00E02409" w:rsidRPr="00A52AEE" w:rsidRDefault="00E02409" w:rsidP="00A52AEE">
            <w:r w:rsidRPr="00A52AEE">
              <w:t>Young People’s Learning Agency (YPLA) and Skills Funding Agency (SfA) set up</w:t>
            </w:r>
          </w:p>
          <w:p w14:paraId="2A006C61" w14:textId="77777777" w:rsidR="00E02409" w:rsidRPr="00A52AEE" w:rsidRDefault="00E02409" w:rsidP="00A52AEE">
            <w:r w:rsidRPr="00A52AEE">
              <w:t>Train to Gain closes</w:t>
            </w:r>
          </w:p>
          <w:p w14:paraId="6D4A8680" w14:textId="77777777" w:rsidR="00E02409" w:rsidRPr="00A52AEE" w:rsidRDefault="00E02409" w:rsidP="00A52AEE">
            <w:r w:rsidRPr="00A52AEE">
              <w:t>14-19 Diplomas end</w:t>
            </w:r>
          </w:p>
          <w:p w14:paraId="5F16BE5B" w14:textId="77777777" w:rsidR="00E02409" w:rsidRPr="00A52AEE" w:rsidRDefault="00E02409" w:rsidP="0074535F">
            <w:pPr>
              <w:pStyle w:val="Tabletextnon-bold"/>
              <w:ind w:left="0"/>
            </w:pPr>
            <w:r w:rsidRPr="00A52AEE">
              <w:t>Brown Review of higher education published</w:t>
            </w:r>
            <w:sdt>
              <w:sdtPr>
                <w:id w:val="232749225"/>
                <w:citation/>
              </w:sdtPr>
              <w:sdtEndPr/>
              <w:sdtContent>
                <w:r w:rsidRPr="00A52AEE">
                  <w:fldChar w:fldCharType="begin"/>
                </w:r>
                <w:r w:rsidRPr="00A52AEE">
                  <w:instrText xml:space="preserve"> CITATION Bro10 \l 2057 </w:instrText>
                </w:r>
                <w:r w:rsidRPr="00A52AEE">
                  <w:fldChar w:fldCharType="separate"/>
                </w:r>
                <w:r w:rsidR="004E52FE">
                  <w:rPr>
                    <w:noProof/>
                  </w:rPr>
                  <w:t xml:space="preserve"> (Browne, 2010)</w:t>
                </w:r>
                <w:r w:rsidRPr="00A52AEE">
                  <w:fldChar w:fldCharType="end"/>
                </w:r>
              </w:sdtContent>
            </w:sdt>
          </w:p>
        </w:tc>
      </w:tr>
      <w:tr w:rsidR="00E02409" w:rsidRPr="00A52AEE" w14:paraId="7924E004" w14:textId="77777777" w:rsidTr="00C208F3">
        <w:trPr>
          <w:trHeight w:val="491"/>
        </w:trPr>
        <w:tc>
          <w:tcPr>
            <w:tcW w:w="556" w:type="pct"/>
            <w:shd w:val="clear" w:color="auto" w:fill="auto"/>
            <w:tcMar>
              <w:top w:w="113" w:type="dxa"/>
              <w:bottom w:w="113" w:type="dxa"/>
            </w:tcMar>
            <w:vAlign w:val="center"/>
          </w:tcPr>
          <w:p w14:paraId="18A4F43A" w14:textId="77777777" w:rsidR="00E02409" w:rsidRPr="00A52AEE" w:rsidRDefault="00E02409" w:rsidP="00A52AEE">
            <w:pPr>
              <w:pStyle w:val="TableText"/>
            </w:pPr>
            <w:r w:rsidRPr="00A52AEE">
              <w:lastRenderedPageBreak/>
              <w:t>2011</w:t>
            </w:r>
          </w:p>
        </w:tc>
        <w:tc>
          <w:tcPr>
            <w:tcW w:w="4444" w:type="pct"/>
            <w:shd w:val="clear" w:color="auto" w:fill="auto"/>
            <w:tcMar>
              <w:top w:w="113" w:type="dxa"/>
              <w:bottom w:w="113" w:type="dxa"/>
            </w:tcMar>
          </w:tcPr>
          <w:p w14:paraId="0B3A1CC8" w14:textId="77777777" w:rsidR="00E02409" w:rsidRPr="006101C5" w:rsidRDefault="00E02409" w:rsidP="00A52AEE">
            <w:r w:rsidRPr="006101C5">
              <w:t>Aimhigher programme closes</w:t>
            </w:r>
          </w:p>
          <w:p w14:paraId="4F6ED19D" w14:textId="77777777" w:rsidR="00E02409" w:rsidRPr="006101C5" w:rsidRDefault="00E02409" w:rsidP="00A52AEE">
            <w:r w:rsidRPr="006101C5">
              <w:t>Foundation Degree Forward closes</w:t>
            </w:r>
          </w:p>
          <w:p w14:paraId="696C4D46" w14:textId="77777777" w:rsidR="00E02409" w:rsidRPr="00A52AEE" w:rsidRDefault="00E02409" w:rsidP="00A52AEE">
            <w:r w:rsidRPr="00A52AEE">
              <w:t>New Challenges, New Chances published</w:t>
            </w:r>
            <w:sdt>
              <w:sdtPr>
                <w:id w:val="-1647196579"/>
                <w:citation/>
              </w:sdtPr>
              <w:sdtEndPr/>
              <w:sdtContent>
                <w:r w:rsidRPr="00A52AEE">
                  <w:fldChar w:fldCharType="begin"/>
                </w:r>
                <w:r w:rsidRPr="00A52AEE">
                  <w:instrText xml:space="preserve"> CITATION BISDec11 \l 2057 </w:instrText>
                </w:r>
                <w:r w:rsidRPr="00A52AEE">
                  <w:fldChar w:fldCharType="separate"/>
                </w:r>
                <w:r w:rsidR="004E52FE">
                  <w:rPr>
                    <w:noProof/>
                  </w:rPr>
                  <w:t xml:space="preserve"> (BIS, 2011)</w:t>
                </w:r>
                <w:r w:rsidRPr="00A52AEE">
                  <w:fldChar w:fldCharType="end"/>
                </w:r>
              </w:sdtContent>
            </w:sdt>
          </w:p>
          <w:p w14:paraId="7ADD5D14" w14:textId="77777777" w:rsidR="00E02409" w:rsidRPr="00A52AEE" w:rsidRDefault="00E02409" w:rsidP="00A52AEE">
            <w:r w:rsidRPr="00A52AEE">
              <w:t>Students at the Heart of the System - the Higher Education White Paper published</w:t>
            </w:r>
            <w:sdt>
              <w:sdtPr>
                <w:id w:val="209689925"/>
                <w:citation/>
              </w:sdtPr>
              <w:sdtEndPr/>
              <w:sdtContent>
                <w:r w:rsidRPr="00A52AEE">
                  <w:fldChar w:fldCharType="begin"/>
                </w:r>
                <w:r w:rsidRPr="00A52AEE">
                  <w:instrText xml:space="preserve">CITATION BIS11 \l 2057 </w:instrText>
                </w:r>
                <w:r w:rsidRPr="00A52AEE">
                  <w:fldChar w:fldCharType="separate"/>
                </w:r>
                <w:r w:rsidR="004E52FE">
                  <w:rPr>
                    <w:noProof/>
                  </w:rPr>
                  <w:t xml:space="preserve"> (BIS, 2011a)</w:t>
                </w:r>
                <w:r w:rsidRPr="00A52AEE">
                  <w:fldChar w:fldCharType="end"/>
                </w:r>
              </w:sdtContent>
            </w:sdt>
          </w:p>
          <w:p w14:paraId="1948C2A0" w14:textId="77777777" w:rsidR="00E02409" w:rsidRPr="00A52AEE" w:rsidRDefault="00E02409" w:rsidP="00A52AEE">
            <w:r w:rsidRPr="00A52AEE">
              <w:t>First Specification of Apprenticeship Standards in England (SASE) including higher apprenticeship standards published</w:t>
            </w:r>
            <w:sdt>
              <w:sdtPr>
                <w:id w:val="232127847"/>
                <w:citation/>
              </w:sdtPr>
              <w:sdtEndPr/>
              <w:sdtContent>
                <w:r w:rsidRPr="00A52AEE">
                  <w:fldChar w:fldCharType="begin"/>
                </w:r>
                <w:r w:rsidRPr="00A52AEE">
                  <w:instrText xml:space="preserve"> CITATION BIS1b \l 2057 </w:instrText>
                </w:r>
                <w:r w:rsidRPr="00A52AEE">
                  <w:fldChar w:fldCharType="separate"/>
                </w:r>
                <w:r w:rsidR="004E52FE">
                  <w:rPr>
                    <w:noProof/>
                  </w:rPr>
                  <w:t xml:space="preserve"> (BIS, 2011b)</w:t>
                </w:r>
                <w:r w:rsidRPr="00A52AEE">
                  <w:fldChar w:fldCharType="end"/>
                </w:r>
              </w:sdtContent>
            </w:sdt>
          </w:p>
          <w:p w14:paraId="175F3F6E" w14:textId="77777777" w:rsidR="00E02409" w:rsidRPr="00A52AEE" w:rsidRDefault="00E02409" w:rsidP="00A52AEE">
            <w:r w:rsidRPr="00A52AEE">
              <w:t>Educational Maintenance Allowance(EMA) ends</w:t>
            </w:r>
          </w:p>
          <w:p w14:paraId="3C11277E" w14:textId="77777777" w:rsidR="00E02409" w:rsidRPr="00A52AEE" w:rsidRDefault="00E02409" w:rsidP="0074535F">
            <w:pPr>
              <w:pStyle w:val="Tabletextnon-bold"/>
              <w:ind w:left="0"/>
            </w:pPr>
            <w:r w:rsidRPr="00A52AEE">
              <w:t>Introduction of 16-19 bursaries</w:t>
            </w:r>
          </w:p>
        </w:tc>
      </w:tr>
      <w:tr w:rsidR="00E02409" w:rsidRPr="00A52AEE" w14:paraId="72F81B49" w14:textId="77777777" w:rsidTr="00C208F3">
        <w:trPr>
          <w:trHeight w:val="491"/>
        </w:trPr>
        <w:tc>
          <w:tcPr>
            <w:tcW w:w="556" w:type="pct"/>
            <w:shd w:val="clear" w:color="auto" w:fill="auto"/>
            <w:tcMar>
              <w:top w:w="113" w:type="dxa"/>
              <w:bottom w:w="113" w:type="dxa"/>
            </w:tcMar>
            <w:vAlign w:val="center"/>
          </w:tcPr>
          <w:p w14:paraId="16B2F217" w14:textId="77777777" w:rsidR="00E02409" w:rsidRPr="00A52AEE" w:rsidRDefault="00E02409" w:rsidP="00A52AEE">
            <w:pPr>
              <w:pStyle w:val="TableText"/>
            </w:pPr>
            <w:r w:rsidRPr="00A52AEE">
              <w:t>2012</w:t>
            </w:r>
          </w:p>
        </w:tc>
        <w:tc>
          <w:tcPr>
            <w:tcW w:w="4444" w:type="pct"/>
            <w:shd w:val="clear" w:color="auto" w:fill="auto"/>
            <w:tcMar>
              <w:top w:w="113" w:type="dxa"/>
              <w:bottom w:w="113" w:type="dxa"/>
            </w:tcMar>
          </w:tcPr>
          <w:p w14:paraId="69FE20EA" w14:textId="1975FA30" w:rsidR="00E02409" w:rsidRPr="00A52AEE" w:rsidRDefault="00E02409" w:rsidP="00A52AEE">
            <w:r w:rsidRPr="00A52AEE">
              <w:t xml:space="preserve">Higher Education fees rise to up to £9,000 pa and student number controls include </w:t>
            </w:r>
            <w:r w:rsidR="0021637B" w:rsidRPr="00A52AEE">
              <w:t>Level</w:t>
            </w:r>
            <w:r w:rsidRPr="00A52AEE">
              <w:t xml:space="preserve"> 3 AAB grade exclusion and core and margin numbers, the majority of which go to FE Colleges</w:t>
            </w:r>
          </w:p>
          <w:p w14:paraId="55419290" w14:textId="77777777" w:rsidR="00E02409" w:rsidRPr="00A52AEE" w:rsidRDefault="00E02409" w:rsidP="00A52AEE">
            <w:r w:rsidRPr="00A52AEE">
              <w:t>Part-time higher education loans start with no student number controls on part-time numbers</w:t>
            </w:r>
          </w:p>
          <w:p w14:paraId="4FA08B2F" w14:textId="77777777" w:rsidR="00E02409" w:rsidRPr="00A52AEE" w:rsidRDefault="00E02409" w:rsidP="00A52AEE">
            <w:r w:rsidRPr="00A52AEE">
              <w:t>National Careers Service formed - statutory responsibility for impartial careers advice passes to schools</w:t>
            </w:r>
          </w:p>
          <w:p w14:paraId="5D0860FD" w14:textId="77777777" w:rsidR="00E02409" w:rsidRPr="00A52AEE" w:rsidRDefault="00E02409" w:rsidP="00A52AEE">
            <w:r w:rsidRPr="00A52AEE">
              <w:t>YPLA replaced by the Education Funding Agency (EFA)</w:t>
            </w:r>
          </w:p>
          <w:p w14:paraId="257DBEBA" w14:textId="77777777" w:rsidR="00E02409" w:rsidRPr="00A52AEE" w:rsidRDefault="00E02409" w:rsidP="00A52AEE">
            <w:r w:rsidRPr="00A52AEE">
              <w:t>Richard Review of Apprenticeships published</w:t>
            </w:r>
            <w:sdt>
              <w:sdtPr>
                <w:id w:val="-1540197842"/>
                <w:citation/>
              </w:sdtPr>
              <w:sdtEndPr/>
              <w:sdtContent>
                <w:r w:rsidRPr="00A52AEE">
                  <w:fldChar w:fldCharType="begin"/>
                </w:r>
                <w:r w:rsidRPr="00A52AEE">
                  <w:instrText xml:space="preserve"> CITATION Ric12 \l 2057 </w:instrText>
                </w:r>
                <w:r w:rsidRPr="00A52AEE">
                  <w:fldChar w:fldCharType="separate"/>
                </w:r>
                <w:r w:rsidR="004E52FE">
                  <w:rPr>
                    <w:noProof/>
                  </w:rPr>
                  <w:t xml:space="preserve"> (Richard, 2012)</w:t>
                </w:r>
                <w:r w:rsidRPr="00A52AEE">
                  <w:fldChar w:fldCharType="end"/>
                </w:r>
              </w:sdtContent>
            </w:sdt>
          </w:p>
          <w:p w14:paraId="640A9FDD" w14:textId="77777777" w:rsidR="00E02409" w:rsidRPr="00A52AEE" w:rsidRDefault="00E02409" w:rsidP="00A52AEE">
            <w:r w:rsidRPr="00A52AEE">
              <w:t>Higher Apprenticeship Fund projects start</w:t>
            </w:r>
          </w:p>
          <w:p w14:paraId="06A3C744" w14:textId="77777777" w:rsidR="00E02409" w:rsidRPr="00A52AEE" w:rsidRDefault="00E02409" w:rsidP="00A52AEE">
            <w:r w:rsidRPr="00A52AEE">
              <w:t>Employer Ownership Pilots start</w:t>
            </w:r>
          </w:p>
          <w:p w14:paraId="54203758" w14:textId="77777777" w:rsidR="00E02409" w:rsidRPr="00A52AEE" w:rsidRDefault="00E02409" w:rsidP="0074535F">
            <w:pPr>
              <w:pStyle w:val="Tabletextnon-bold"/>
              <w:ind w:left="0"/>
            </w:pPr>
            <w:r w:rsidRPr="00A52AEE">
              <w:t>Marked decline in part-time HE numbers down 42% from 2008 figures</w:t>
            </w:r>
            <w:sdt>
              <w:sdtPr>
                <w:id w:val="-1477528924"/>
                <w:citation/>
              </w:sdtPr>
              <w:sdtEndPr/>
              <w:sdtContent>
                <w:r w:rsidRPr="00A52AEE">
                  <w:fldChar w:fldCharType="begin"/>
                </w:r>
                <w:r w:rsidRPr="00A52AEE">
                  <w:instrText xml:space="preserve">CITATION Oxf14 \p 10 \l 2057 </w:instrText>
                </w:r>
                <w:r w:rsidRPr="00A52AEE">
                  <w:fldChar w:fldCharType="separate"/>
                </w:r>
                <w:r w:rsidR="004E52FE">
                  <w:rPr>
                    <w:noProof/>
                  </w:rPr>
                  <w:t xml:space="preserve"> (Oxford Economics, 2014, p. 10)</w:t>
                </w:r>
                <w:r w:rsidRPr="00A52AEE">
                  <w:fldChar w:fldCharType="end"/>
                </w:r>
              </w:sdtContent>
            </w:sdt>
          </w:p>
        </w:tc>
      </w:tr>
      <w:tr w:rsidR="00E02409" w:rsidRPr="00A52AEE" w14:paraId="27118D8A" w14:textId="77777777" w:rsidTr="00C208F3">
        <w:trPr>
          <w:trHeight w:val="491"/>
        </w:trPr>
        <w:tc>
          <w:tcPr>
            <w:tcW w:w="556" w:type="pct"/>
            <w:shd w:val="clear" w:color="auto" w:fill="auto"/>
            <w:tcMar>
              <w:top w:w="113" w:type="dxa"/>
              <w:bottom w:w="113" w:type="dxa"/>
            </w:tcMar>
            <w:vAlign w:val="center"/>
          </w:tcPr>
          <w:p w14:paraId="333BA413" w14:textId="77777777" w:rsidR="00E02409" w:rsidRPr="00A52AEE" w:rsidRDefault="00E02409" w:rsidP="00A52AEE">
            <w:pPr>
              <w:pStyle w:val="TableText"/>
            </w:pPr>
            <w:r w:rsidRPr="00A52AEE">
              <w:t>2013</w:t>
            </w:r>
          </w:p>
        </w:tc>
        <w:tc>
          <w:tcPr>
            <w:tcW w:w="4444" w:type="pct"/>
            <w:shd w:val="clear" w:color="auto" w:fill="auto"/>
            <w:tcMar>
              <w:top w:w="113" w:type="dxa"/>
              <w:bottom w:w="113" w:type="dxa"/>
            </w:tcMar>
          </w:tcPr>
          <w:p w14:paraId="12123DC1" w14:textId="77777777" w:rsidR="00E02409" w:rsidRPr="00A52AEE" w:rsidRDefault="00E02409" w:rsidP="00A52AEE">
            <w:r w:rsidRPr="00A52AEE">
              <w:t>24+ Advanced Learning Loans start for Access courses and non-prescribed HE</w:t>
            </w:r>
          </w:p>
          <w:p w14:paraId="60D7C836" w14:textId="48B3610E" w:rsidR="00E02409" w:rsidRPr="00A52AEE" w:rsidRDefault="00E02409" w:rsidP="00A52AEE">
            <w:r w:rsidRPr="00A52AEE">
              <w:t xml:space="preserve">New SASE document setting out new standards for higher apprenticeships at </w:t>
            </w:r>
            <w:r w:rsidR="0021637B" w:rsidRPr="00A52AEE">
              <w:t>Level</w:t>
            </w:r>
            <w:r w:rsidRPr="00A52AEE">
              <w:t>s 4, 5, 6 and 7 published</w:t>
            </w:r>
            <w:sdt>
              <w:sdtPr>
                <w:id w:val="566689321"/>
                <w:citation/>
              </w:sdtPr>
              <w:sdtEndPr/>
              <w:sdtContent>
                <w:r w:rsidRPr="00A52AEE">
                  <w:fldChar w:fldCharType="begin"/>
                </w:r>
                <w:r w:rsidRPr="00A52AEE">
                  <w:instrText xml:space="preserve"> CITATION BIS131 \l 2057 </w:instrText>
                </w:r>
                <w:r w:rsidRPr="00A52AEE">
                  <w:fldChar w:fldCharType="separate"/>
                </w:r>
                <w:r w:rsidR="004E52FE">
                  <w:rPr>
                    <w:noProof/>
                  </w:rPr>
                  <w:t xml:space="preserve"> (BIS, 2013)</w:t>
                </w:r>
                <w:r w:rsidRPr="00A52AEE">
                  <w:fldChar w:fldCharType="end"/>
                </w:r>
              </w:sdtContent>
            </w:sdt>
          </w:p>
          <w:p w14:paraId="5128BB2C" w14:textId="77777777" w:rsidR="00E02409" w:rsidRPr="00A52AEE" w:rsidRDefault="00E02409" w:rsidP="00A52AEE">
            <w:r w:rsidRPr="00A52AEE">
              <w:t>Participation age raised to 17</w:t>
            </w:r>
          </w:p>
          <w:p w14:paraId="22A174FB" w14:textId="77777777" w:rsidR="00E02409" w:rsidRPr="00A52AEE" w:rsidRDefault="00E02409" w:rsidP="0074535F">
            <w:pPr>
              <w:pStyle w:val="Tabletextnon-bold"/>
              <w:ind w:left="0"/>
            </w:pPr>
            <w:r w:rsidRPr="00A52AEE">
              <w:t>Study Programmes introduced for all 16-19 year olds</w:t>
            </w:r>
          </w:p>
        </w:tc>
      </w:tr>
      <w:tr w:rsidR="00E02409" w:rsidRPr="00A52AEE" w14:paraId="16EB8E39" w14:textId="77777777" w:rsidTr="00C208F3">
        <w:trPr>
          <w:trHeight w:val="491"/>
        </w:trPr>
        <w:tc>
          <w:tcPr>
            <w:tcW w:w="556" w:type="pct"/>
            <w:shd w:val="clear" w:color="auto" w:fill="auto"/>
            <w:tcMar>
              <w:top w:w="113" w:type="dxa"/>
              <w:bottom w:w="113" w:type="dxa"/>
            </w:tcMar>
            <w:vAlign w:val="center"/>
          </w:tcPr>
          <w:p w14:paraId="676F9E21" w14:textId="77777777" w:rsidR="00E02409" w:rsidRPr="00A52AEE" w:rsidRDefault="00E02409" w:rsidP="00A52AEE">
            <w:pPr>
              <w:pStyle w:val="TableText"/>
            </w:pPr>
            <w:r w:rsidRPr="00A52AEE">
              <w:t>2014</w:t>
            </w:r>
          </w:p>
        </w:tc>
        <w:tc>
          <w:tcPr>
            <w:tcW w:w="4444" w:type="pct"/>
            <w:shd w:val="clear" w:color="auto" w:fill="auto"/>
            <w:tcMar>
              <w:top w:w="113" w:type="dxa"/>
              <w:bottom w:w="113" w:type="dxa"/>
            </w:tcMar>
          </w:tcPr>
          <w:p w14:paraId="40123E44" w14:textId="77777777" w:rsidR="00E02409" w:rsidRPr="00A52AEE" w:rsidRDefault="00E02409" w:rsidP="0074535F">
            <w:pPr>
              <w:pStyle w:val="Tabletextnon-bold"/>
              <w:ind w:left="0"/>
            </w:pPr>
            <w:r w:rsidRPr="00A52AEE">
              <w:t>Participation age raised to 18</w:t>
            </w:r>
          </w:p>
        </w:tc>
      </w:tr>
    </w:tbl>
    <w:p w14:paraId="152FD784" w14:textId="56F8F6DC" w:rsidR="008C027A" w:rsidRPr="00A52AEE" w:rsidRDefault="008C027A" w:rsidP="00A52AEE"/>
    <w:p w14:paraId="0358E452" w14:textId="052F8E80" w:rsidR="00C208F3" w:rsidRPr="00A52AEE" w:rsidRDefault="00771DD0" w:rsidP="008D527A">
      <w:pPr>
        <w:pStyle w:val="Heading2"/>
      </w:pPr>
      <w:bookmarkStart w:id="52" w:name="_Toc367106113"/>
      <w:bookmarkStart w:id="53" w:name="_Toc429151296"/>
      <w:r>
        <w:t>2</w:t>
      </w:r>
      <w:r w:rsidR="0025066C">
        <w:t>.3</w:t>
      </w:r>
      <w:r w:rsidR="00C208F3" w:rsidRPr="00A52AEE">
        <w:tab/>
      </w:r>
      <w:bookmarkEnd w:id="52"/>
      <w:r w:rsidR="007A4B70" w:rsidRPr="00A52AEE">
        <w:t>Longitudinal perspective</w:t>
      </w:r>
      <w:bookmarkEnd w:id="53"/>
    </w:p>
    <w:p w14:paraId="392A597F" w14:textId="77777777" w:rsidR="0076166E" w:rsidRPr="00A52AEE" w:rsidRDefault="00C208F3" w:rsidP="00A52AEE">
      <w:r w:rsidRPr="00A52AEE">
        <w:t xml:space="preserve">A recent report from the Higher Education Funding Council </w:t>
      </w:r>
      <w:r w:rsidR="0076166E" w:rsidRPr="00A52AEE">
        <w:t>for</w:t>
      </w:r>
      <w:r w:rsidRPr="00A52AEE">
        <w:t xml:space="preserve"> England</w:t>
      </w:r>
      <w:sdt>
        <w:sdtPr>
          <w:id w:val="-1909066474"/>
          <w:citation/>
        </w:sdtPr>
        <w:sdtEndPr/>
        <w:sdtContent>
          <w:r w:rsidRPr="00A52AEE">
            <w:fldChar w:fldCharType="begin"/>
          </w:r>
          <w:r w:rsidRPr="00A52AEE">
            <w:instrText xml:space="preserve"> CITATION HEF12 \l 2057 </w:instrText>
          </w:r>
          <w:r w:rsidRPr="00A52AEE">
            <w:fldChar w:fldCharType="separate"/>
          </w:r>
          <w:r w:rsidR="004E52FE">
            <w:rPr>
              <w:noProof/>
            </w:rPr>
            <w:t xml:space="preserve"> (HEFCE, 2012)</w:t>
          </w:r>
          <w:r w:rsidRPr="00A52AEE">
            <w:fldChar w:fldCharType="end"/>
          </w:r>
        </w:sdtContent>
      </w:sdt>
      <w:r w:rsidRPr="00A52AEE">
        <w:t xml:space="preserve"> found that the average higher education participation rate for young people </w:t>
      </w:r>
      <w:r w:rsidR="00E22EA1" w:rsidRPr="00A52AEE">
        <w:t xml:space="preserve">in England </w:t>
      </w:r>
      <w:r w:rsidRPr="00A52AEE">
        <w:t xml:space="preserve">was 34.7%. This means that around one in three 18 year olds progressed to higher education by the age of 19.  </w:t>
      </w:r>
      <w:r w:rsidR="00E22EA1" w:rsidRPr="00A52AEE">
        <w:t>In the BIS Research report for England</w:t>
      </w:r>
      <w:sdt>
        <w:sdtPr>
          <w:id w:val="-923105354"/>
          <w:citation/>
        </w:sdtPr>
        <w:sdtEndPr/>
        <w:sdtContent>
          <w:r w:rsidR="00E22EA1" w:rsidRPr="00A52AEE">
            <w:fldChar w:fldCharType="begin"/>
          </w:r>
          <w:r w:rsidR="00E22EA1" w:rsidRPr="00A52AEE">
            <w:instrText xml:space="preserve"> CITATION Smi15 \l 2057 </w:instrText>
          </w:r>
          <w:r w:rsidR="00E22EA1" w:rsidRPr="00A52AEE">
            <w:fldChar w:fldCharType="separate"/>
          </w:r>
          <w:r w:rsidR="004E52FE">
            <w:rPr>
              <w:noProof/>
            </w:rPr>
            <w:t xml:space="preserve"> (Smith, Joslin, &amp; Jameson, 2015)</w:t>
          </w:r>
          <w:r w:rsidR="00E22EA1" w:rsidRPr="00A52AEE">
            <w:fldChar w:fldCharType="end"/>
          </w:r>
        </w:sdtContent>
      </w:sdt>
      <w:r w:rsidR="00E22EA1" w:rsidRPr="00A52AEE">
        <w:t xml:space="preserve">, </w:t>
      </w:r>
      <w:r w:rsidR="00E22EA1" w:rsidRPr="00A52AEE">
        <w:rPr>
          <w:b/>
        </w:rPr>
        <w:t>49%</w:t>
      </w:r>
      <w:r w:rsidR="00E22EA1" w:rsidRPr="00A52AEE">
        <w:t xml:space="preserve"> of young FE and Sixth Form College students </w:t>
      </w:r>
      <w:r w:rsidR="0076166E" w:rsidRPr="00A52AEE">
        <w:t xml:space="preserve">were found to have </w:t>
      </w:r>
      <w:r w:rsidR="00E22EA1" w:rsidRPr="00A52AEE">
        <w:t xml:space="preserve">progressed to HE in 2007-08, but this dropped to </w:t>
      </w:r>
      <w:r w:rsidR="00E22EA1" w:rsidRPr="00A52AEE">
        <w:rPr>
          <w:b/>
        </w:rPr>
        <w:t>37%</w:t>
      </w:r>
      <w:r w:rsidR="00E22EA1" w:rsidRPr="00A52AEE">
        <w:t xml:space="preserve"> for those progressing to HE in 2012-13.  The comparative figures for London students in this report show that in 2007-08 the progression rate for young (</w:t>
      </w:r>
      <w:r w:rsidR="005175E4" w:rsidRPr="00A52AEE">
        <w:t>17-19</w:t>
      </w:r>
      <w:r w:rsidR="00E22EA1" w:rsidRPr="00A52AEE">
        <w:t xml:space="preserve">) college students was </w:t>
      </w:r>
      <w:r w:rsidR="00546BD0" w:rsidRPr="00A52AEE">
        <w:rPr>
          <w:b/>
        </w:rPr>
        <w:t>62</w:t>
      </w:r>
      <w:r w:rsidR="00E22EA1" w:rsidRPr="00A52AEE">
        <w:rPr>
          <w:b/>
        </w:rPr>
        <w:t>%</w:t>
      </w:r>
      <w:r w:rsidR="00E22EA1" w:rsidRPr="00A52AEE">
        <w:t xml:space="preserve">, dropping to </w:t>
      </w:r>
      <w:r w:rsidR="00E22EA1" w:rsidRPr="00A52AEE">
        <w:rPr>
          <w:b/>
        </w:rPr>
        <w:t>4</w:t>
      </w:r>
      <w:r w:rsidR="00546BD0" w:rsidRPr="00A52AEE">
        <w:rPr>
          <w:b/>
        </w:rPr>
        <w:t>2</w:t>
      </w:r>
      <w:r w:rsidR="00E22EA1" w:rsidRPr="00A52AEE">
        <w:rPr>
          <w:b/>
        </w:rPr>
        <w:t>%</w:t>
      </w:r>
      <w:r w:rsidR="00E22EA1" w:rsidRPr="00A52AEE">
        <w:t xml:space="preserve"> for 2012 entry.</w:t>
      </w:r>
      <w:r w:rsidRPr="00A52AEE">
        <w:t xml:space="preserve"> </w:t>
      </w:r>
    </w:p>
    <w:p w14:paraId="3DA64C0E" w14:textId="77777777" w:rsidR="0076166E" w:rsidRPr="00A52AEE" w:rsidRDefault="0076166E" w:rsidP="00A52AEE"/>
    <w:p w14:paraId="5E37121F" w14:textId="28B833C1" w:rsidR="00E22EA1" w:rsidRPr="00A52AEE" w:rsidRDefault="00F243D2" w:rsidP="00A52AEE">
      <w:r w:rsidRPr="00A52AEE">
        <w:t>This means that London FE and Sixth Form College students are progressing at impressively higher levels than the national average for England</w:t>
      </w:r>
      <w:r w:rsidR="00546BD0" w:rsidRPr="00A52AEE">
        <w:t xml:space="preserve"> and were similarly affected by the increase in HE fees </w:t>
      </w:r>
      <w:r w:rsidR="00546BD0" w:rsidRPr="00A52AEE">
        <w:lastRenderedPageBreak/>
        <w:t>in 2012.</w:t>
      </w:r>
      <w:r w:rsidRPr="00A52AEE">
        <w:t xml:space="preserve">  </w:t>
      </w:r>
      <w:r w:rsidR="00546BD0" w:rsidRPr="00A52AEE">
        <w:t xml:space="preserve">Immediate London progression rates for older </w:t>
      </w:r>
      <w:r w:rsidR="00842186" w:rsidRPr="00A52AEE">
        <w:t>student</w:t>
      </w:r>
      <w:r w:rsidR="00546BD0" w:rsidRPr="00A52AEE">
        <w:t>s are also higher than the national average for England.</w:t>
      </w:r>
    </w:p>
    <w:p w14:paraId="1BA15B88" w14:textId="77777777" w:rsidR="00E22EA1" w:rsidRPr="00A52AEE" w:rsidRDefault="00E22EA1" w:rsidP="00A52AEE"/>
    <w:p w14:paraId="202B6804" w14:textId="71D537AF" w:rsidR="001A5565" w:rsidRPr="00A52AEE" w:rsidRDefault="00C208F3" w:rsidP="00A52AEE">
      <w:r w:rsidRPr="00A52AEE">
        <w:t xml:space="preserve">This study of Level 3 </w:t>
      </w:r>
      <w:r w:rsidR="00842186" w:rsidRPr="00A52AEE">
        <w:t>student</w:t>
      </w:r>
      <w:r w:rsidRPr="00A52AEE">
        <w:t xml:space="preserve">s studying in </w:t>
      </w:r>
      <w:r w:rsidR="0076166E" w:rsidRPr="00A52AEE">
        <w:t>London</w:t>
      </w:r>
      <w:r w:rsidRPr="00A52AEE">
        <w:t xml:space="preserve"> colleges provides a picture of Level 3 progression rates for five cohorts of </w:t>
      </w:r>
      <w:r w:rsidR="00842186" w:rsidRPr="00A52AEE">
        <w:t>student</w:t>
      </w:r>
      <w:r w:rsidRPr="00A52AEE">
        <w:t>s who achieved their Level 3 qualification during</w:t>
      </w:r>
      <w:r w:rsidR="00E22EA1" w:rsidRPr="00A52AEE">
        <w:t xml:space="preserve"> 2007-08, </w:t>
      </w:r>
      <w:r w:rsidR="001D219C">
        <w:t xml:space="preserve">2008-09, </w:t>
      </w:r>
      <w:r w:rsidRPr="00A52AEE">
        <w:t>2009-10</w:t>
      </w:r>
      <w:r w:rsidR="00E22EA1" w:rsidRPr="00A52AEE">
        <w:t>, 2010-11 and 2011-12</w:t>
      </w:r>
      <w:r w:rsidRPr="00A52AEE">
        <w:t xml:space="preserve"> and who subsequently progressed to higher education.  This is a longitudinal study so each Level </w:t>
      </w:r>
      <w:r w:rsidR="0076166E" w:rsidRPr="00A52AEE">
        <w:t xml:space="preserve">3 </w:t>
      </w:r>
      <w:r w:rsidRPr="00A52AEE">
        <w:t xml:space="preserve">cohort has been tracked for a varying number of years as illustrated below. The </w:t>
      </w:r>
      <w:r w:rsidR="00E22EA1" w:rsidRPr="00A52AEE">
        <w:t>2007-08</w:t>
      </w:r>
      <w:r w:rsidRPr="00A52AEE">
        <w:t xml:space="preserve"> cohort has been tracked through to higher education datasets for five years </w:t>
      </w:r>
      <w:r w:rsidR="00E22EA1" w:rsidRPr="00A52AEE">
        <w:t>to 2012-13</w:t>
      </w:r>
      <w:r w:rsidRPr="00A52AEE">
        <w:t xml:space="preserve"> whilst the last FE cohort tracked</w:t>
      </w:r>
      <w:r w:rsidR="00E22EA1" w:rsidRPr="00A52AEE">
        <w:t>, 2011-12</w:t>
      </w:r>
      <w:r w:rsidRPr="00A52AEE">
        <w:t xml:space="preserve">, has been tracked for </w:t>
      </w:r>
      <w:r w:rsidR="00E22EA1" w:rsidRPr="00A52AEE">
        <w:t xml:space="preserve">only </w:t>
      </w:r>
      <w:r w:rsidRPr="00A52AEE">
        <w:t xml:space="preserve">one year to </w:t>
      </w:r>
      <w:r w:rsidR="00E22EA1" w:rsidRPr="00A52AEE">
        <w:t>2012-13</w:t>
      </w:r>
      <w:r w:rsidRPr="00A52AEE">
        <w:t xml:space="preserve">. </w:t>
      </w:r>
    </w:p>
    <w:p w14:paraId="410A5E13" w14:textId="77777777" w:rsidR="001A5565" w:rsidRPr="00A52AEE" w:rsidRDefault="001A5565" w:rsidP="00A52AEE"/>
    <w:p w14:paraId="1E8D1143" w14:textId="77777777" w:rsidR="0076166E" w:rsidRPr="00A52AEE" w:rsidRDefault="0076166E" w:rsidP="00A52AEE">
      <w:r w:rsidRPr="00A52AEE">
        <w:t xml:space="preserve">When tracked over time, London FE and Sixth Form College rates of progression are seen to be significantly higher than the national average, </w:t>
      </w:r>
      <w:r w:rsidRPr="00A52AEE">
        <w:rPr>
          <w:b/>
        </w:rPr>
        <w:t>75%</w:t>
      </w:r>
      <w:r w:rsidRPr="00A52AEE">
        <w:t xml:space="preserve"> of the young 2007-08 and 2008-09 cohorts progressed when tracked over up to </w:t>
      </w:r>
      <w:r w:rsidRPr="00A52AEE">
        <w:rPr>
          <w:b/>
        </w:rPr>
        <w:t>five years</w:t>
      </w:r>
      <w:r w:rsidRPr="00A52AEE">
        <w:t xml:space="preserve">.  And the progression rates of students 25+ have increased despite a reduction in numbers of this age group in the cohorts.   </w:t>
      </w:r>
    </w:p>
    <w:p w14:paraId="45C7D778" w14:textId="77777777" w:rsidR="001A5565" w:rsidRPr="00A52AEE" w:rsidRDefault="001A5565" w:rsidP="00A52AEE"/>
    <w:p w14:paraId="4BBDDAF4" w14:textId="54F7B71C" w:rsidR="001A5565" w:rsidRPr="00A52AEE" w:rsidRDefault="001A5565" w:rsidP="00A52AEE"/>
    <w:tbl>
      <w:tblPr>
        <w:tblStyle w:val="TableGrid"/>
        <w:tblW w:w="0" w:type="auto"/>
        <w:tblLook w:val="04A0" w:firstRow="1" w:lastRow="0" w:firstColumn="1" w:lastColumn="0" w:noHBand="0" w:noVBand="1"/>
      </w:tblPr>
      <w:tblGrid>
        <w:gridCol w:w="2166"/>
        <w:gridCol w:w="1344"/>
        <w:gridCol w:w="1560"/>
        <w:gridCol w:w="1740"/>
        <w:gridCol w:w="1276"/>
        <w:gridCol w:w="1418"/>
      </w:tblGrid>
      <w:tr w:rsidR="001A5565" w:rsidRPr="0074535F" w14:paraId="77B4E87E" w14:textId="77777777" w:rsidTr="007A00D1">
        <w:trPr>
          <w:trHeight w:val="699"/>
        </w:trPr>
        <w:tc>
          <w:tcPr>
            <w:tcW w:w="2166" w:type="dxa"/>
            <w:vMerge w:val="restart"/>
            <w:shd w:val="clear" w:color="auto" w:fill="1F4E79" w:themeFill="accent1" w:themeFillShade="80"/>
          </w:tcPr>
          <w:p w14:paraId="77ECEFBB" w14:textId="77777777" w:rsidR="001A5565" w:rsidRPr="0074535F" w:rsidRDefault="001A5565" w:rsidP="00A52AEE">
            <w:pPr>
              <w:rPr>
                <w:b/>
                <w:color w:val="FFFFFF" w:themeColor="background1"/>
              </w:rPr>
            </w:pPr>
            <w:r w:rsidRPr="0074535F">
              <w:rPr>
                <w:b/>
                <w:color w:val="FFFFFF" w:themeColor="background1"/>
              </w:rPr>
              <w:t>London</w:t>
            </w:r>
          </w:p>
          <w:p w14:paraId="57B5DA69" w14:textId="2063BD98" w:rsidR="001A5565" w:rsidRPr="0074535F" w:rsidRDefault="001A5565" w:rsidP="00A52AEE">
            <w:pPr>
              <w:rPr>
                <w:b/>
                <w:color w:val="FFFFFF" w:themeColor="background1"/>
              </w:rPr>
            </w:pPr>
            <w:r w:rsidRPr="0074535F">
              <w:rPr>
                <w:b/>
                <w:color w:val="FFFFFF" w:themeColor="background1"/>
              </w:rPr>
              <w:t xml:space="preserve">FE Level 3 </w:t>
            </w:r>
            <w:r w:rsidR="00842186" w:rsidRPr="0074535F">
              <w:rPr>
                <w:b/>
                <w:color w:val="FFFFFF" w:themeColor="background1"/>
              </w:rPr>
              <w:t>student</w:t>
            </w:r>
            <w:r w:rsidRPr="0074535F">
              <w:rPr>
                <w:b/>
                <w:color w:val="FFFFFF" w:themeColor="background1"/>
              </w:rPr>
              <w:t xml:space="preserve"> cohorts</w:t>
            </w:r>
          </w:p>
        </w:tc>
        <w:tc>
          <w:tcPr>
            <w:tcW w:w="7338" w:type="dxa"/>
            <w:gridSpan w:val="5"/>
            <w:shd w:val="clear" w:color="auto" w:fill="1F4E79" w:themeFill="accent1" w:themeFillShade="80"/>
            <w:vAlign w:val="center"/>
          </w:tcPr>
          <w:p w14:paraId="7688C32F" w14:textId="77777777" w:rsidR="001A5565" w:rsidRPr="0074535F" w:rsidRDefault="001A5565" w:rsidP="00A52AEE">
            <w:pPr>
              <w:rPr>
                <w:b/>
                <w:color w:val="FFFFFF" w:themeColor="background1"/>
              </w:rPr>
            </w:pPr>
            <w:r w:rsidRPr="0074535F">
              <w:rPr>
                <w:b/>
                <w:color w:val="FFFFFF" w:themeColor="background1"/>
              </w:rPr>
              <w:t>Higher education</w:t>
            </w:r>
          </w:p>
        </w:tc>
      </w:tr>
      <w:tr w:rsidR="001A5565" w:rsidRPr="0074535F" w14:paraId="1B60516F" w14:textId="77777777" w:rsidTr="007A00D1">
        <w:tc>
          <w:tcPr>
            <w:tcW w:w="2166" w:type="dxa"/>
            <w:vMerge/>
            <w:shd w:val="clear" w:color="auto" w:fill="1F4E79" w:themeFill="accent1" w:themeFillShade="80"/>
          </w:tcPr>
          <w:p w14:paraId="724824E1" w14:textId="77777777" w:rsidR="001A5565" w:rsidRPr="0074535F" w:rsidRDefault="001A5565" w:rsidP="00A52AEE">
            <w:pPr>
              <w:rPr>
                <w:b/>
                <w:color w:val="FFFFFF" w:themeColor="background1"/>
              </w:rPr>
            </w:pPr>
          </w:p>
        </w:tc>
        <w:tc>
          <w:tcPr>
            <w:tcW w:w="1344" w:type="dxa"/>
            <w:shd w:val="clear" w:color="auto" w:fill="1F4E79" w:themeFill="accent1" w:themeFillShade="80"/>
            <w:vAlign w:val="center"/>
          </w:tcPr>
          <w:p w14:paraId="54BBB65C" w14:textId="77777777" w:rsidR="001A5565" w:rsidRPr="0074535F" w:rsidRDefault="001A5565" w:rsidP="00A52AEE">
            <w:pPr>
              <w:rPr>
                <w:b/>
                <w:color w:val="FFFFFF" w:themeColor="background1"/>
              </w:rPr>
            </w:pPr>
            <w:r w:rsidRPr="0074535F">
              <w:rPr>
                <w:b/>
                <w:color w:val="FFFFFF" w:themeColor="background1"/>
              </w:rPr>
              <w:t>2008-09</w:t>
            </w:r>
          </w:p>
        </w:tc>
        <w:tc>
          <w:tcPr>
            <w:tcW w:w="1560" w:type="dxa"/>
            <w:shd w:val="clear" w:color="auto" w:fill="1F4E79" w:themeFill="accent1" w:themeFillShade="80"/>
            <w:vAlign w:val="center"/>
          </w:tcPr>
          <w:p w14:paraId="404FD38B" w14:textId="77777777" w:rsidR="001A5565" w:rsidRPr="0074535F" w:rsidRDefault="001A5565" w:rsidP="00A52AEE">
            <w:pPr>
              <w:rPr>
                <w:b/>
                <w:color w:val="FFFFFF" w:themeColor="background1"/>
              </w:rPr>
            </w:pPr>
            <w:r w:rsidRPr="0074535F">
              <w:rPr>
                <w:b/>
                <w:color w:val="FFFFFF" w:themeColor="background1"/>
              </w:rPr>
              <w:t>2009-10</w:t>
            </w:r>
          </w:p>
        </w:tc>
        <w:tc>
          <w:tcPr>
            <w:tcW w:w="1740" w:type="dxa"/>
            <w:shd w:val="clear" w:color="auto" w:fill="1F4E79" w:themeFill="accent1" w:themeFillShade="80"/>
            <w:vAlign w:val="center"/>
          </w:tcPr>
          <w:p w14:paraId="51735975" w14:textId="77777777" w:rsidR="001A5565" w:rsidRPr="0074535F" w:rsidRDefault="001A5565" w:rsidP="00A52AEE">
            <w:pPr>
              <w:rPr>
                <w:b/>
                <w:color w:val="FFFFFF" w:themeColor="background1"/>
              </w:rPr>
            </w:pPr>
            <w:r w:rsidRPr="0074535F">
              <w:rPr>
                <w:b/>
                <w:color w:val="FFFFFF" w:themeColor="background1"/>
              </w:rPr>
              <w:t>2010-11</w:t>
            </w:r>
          </w:p>
        </w:tc>
        <w:tc>
          <w:tcPr>
            <w:tcW w:w="1276" w:type="dxa"/>
            <w:shd w:val="clear" w:color="auto" w:fill="1F4E79" w:themeFill="accent1" w:themeFillShade="80"/>
            <w:vAlign w:val="center"/>
          </w:tcPr>
          <w:p w14:paraId="513BAECD" w14:textId="77777777" w:rsidR="001A5565" w:rsidRPr="0074535F" w:rsidRDefault="001A5565" w:rsidP="00A52AEE">
            <w:pPr>
              <w:rPr>
                <w:b/>
                <w:color w:val="FFFFFF" w:themeColor="background1"/>
              </w:rPr>
            </w:pPr>
            <w:r w:rsidRPr="0074535F">
              <w:rPr>
                <w:b/>
                <w:color w:val="FFFFFF" w:themeColor="background1"/>
              </w:rPr>
              <w:t>2011-12</w:t>
            </w:r>
          </w:p>
        </w:tc>
        <w:tc>
          <w:tcPr>
            <w:tcW w:w="1418" w:type="dxa"/>
            <w:shd w:val="clear" w:color="auto" w:fill="1F4E79" w:themeFill="accent1" w:themeFillShade="80"/>
            <w:vAlign w:val="center"/>
          </w:tcPr>
          <w:p w14:paraId="79ADCB61" w14:textId="77777777" w:rsidR="001A5565" w:rsidRPr="0074535F" w:rsidRDefault="001A5565" w:rsidP="00A52AEE">
            <w:pPr>
              <w:rPr>
                <w:b/>
                <w:color w:val="FFFFFF" w:themeColor="background1"/>
              </w:rPr>
            </w:pPr>
            <w:r w:rsidRPr="0074535F">
              <w:rPr>
                <w:b/>
                <w:color w:val="FFFFFF" w:themeColor="background1"/>
              </w:rPr>
              <w:t>2012-13</w:t>
            </w:r>
          </w:p>
        </w:tc>
      </w:tr>
      <w:tr w:rsidR="001A5565" w:rsidRPr="00A52AEE" w14:paraId="4B1ECC9A" w14:textId="77777777" w:rsidTr="007A00D1">
        <w:trPr>
          <w:trHeight w:val="454"/>
        </w:trPr>
        <w:tc>
          <w:tcPr>
            <w:tcW w:w="2166" w:type="dxa"/>
            <w:shd w:val="clear" w:color="auto" w:fill="FFFFFF" w:themeFill="background1"/>
            <w:vAlign w:val="center"/>
          </w:tcPr>
          <w:p w14:paraId="5920D947" w14:textId="77777777" w:rsidR="001A5565" w:rsidRPr="00A52AEE" w:rsidRDefault="001A5565" w:rsidP="00A52AEE">
            <w:r w:rsidRPr="00A52AEE">
              <w:t>2007-08</w:t>
            </w:r>
          </w:p>
        </w:tc>
        <w:tc>
          <w:tcPr>
            <w:tcW w:w="1344" w:type="dxa"/>
            <w:shd w:val="clear" w:color="auto" w:fill="BDD6EE" w:themeFill="accent1" w:themeFillTint="66"/>
            <w:vAlign w:val="center"/>
          </w:tcPr>
          <w:p w14:paraId="5C3C5D58" w14:textId="77777777" w:rsidR="001A5565" w:rsidRPr="00A52AEE" w:rsidRDefault="001A5565" w:rsidP="00A52AEE"/>
        </w:tc>
        <w:tc>
          <w:tcPr>
            <w:tcW w:w="1560" w:type="dxa"/>
            <w:shd w:val="clear" w:color="auto" w:fill="BDD6EE" w:themeFill="accent1" w:themeFillTint="66"/>
            <w:vAlign w:val="center"/>
          </w:tcPr>
          <w:p w14:paraId="12D5F008" w14:textId="77777777" w:rsidR="001A5565" w:rsidRPr="00A52AEE" w:rsidRDefault="001A5565" w:rsidP="00A52AEE"/>
        </w:tc>
        <w:tc>
          <w:tcPr>
            <w:tcW w:w="1740" w:type="dxa"/>
            <w:shd w:val="clear" w:color="auto" w:fill="BDD6EE" w:themeFill="accent1" w:themeFillTint="66"/>
            <w:vAlign w:val="center"/>
          </w:tcPr>
          <w:p w14:paraId="34662E6F" w14:textId="77777777" w:rsidR="001A5565" w:rsidRPr="00A52AEE" w:rsidRDefault="001A5565" w:rsidP="00A52AEE"/>
        </w:tc>
        <w:tc>
          <w:tcPr>
            <w:tcW w:w="1276" w:type="dxa"/>
            <w:shd w:val="clear" w:color="auto" w:fill="BDD6EE" w:themeFill="accent1" w:themeFillTint="66"/>
            <w:vAlign w:val="center"/>
          </w:tcPr>
          <w:p w14:paraId="4F1035C2" w14:textId="77777777" w:rsidR="001A5565" w:rsidRPr="00A52AEE" w:rsidRDefault="001A5565" w:rsidP="00A52AEE"/>
        </w:tc>
        <w:tc>
          <w:tcPr>
            <w:tcW w:w="1418" w:type="dxa"/>
            <w:shd w:val="clear" w:color="auto" w:fill="BDD6EE" w:themeFill="accent1" w:themeFillTint="66"/>
            <w:vAlign w:val="center"/>
          </w:tcPr>
          <w:p w14:paraId="3BEB40B9" w14:textId="77777777" w:rsidR="001A5565" w:rsidRPr="00A52AEE" w:rsidRDefault="001A5565" w:rsidP="00A52AEE"/>
        </w:tc>
      </w:tr>
      <w:tr w:rsidR="001A5565" w:rsidRPr="00A52AEE" w14:paraId="47F4F15F" w14:textId="77777777" w:rsidTr="007A00D1">
        <w:trPr>
          <w:trHeight w:val="454"/>
        </w:trPr>
        <w:tc>
          <w:tcPr>
            <w:tcW w:w="2166" w:type="dxa"/>
            <w:shd w:val="clear" w:color="auto" w:fill="FFFFFF" w:themeFill="background1"/>
            <w:vAlign w:val="center"/>
          </w:tcPr>
          <w:p w14:paraId="779C1026" w14:textId="77777777" w:rsidR="001A5565" w:rsidRPr="00A52AEE" w:rsidRDefault="001A5565" w:rsidP="00A52AEE">
            <w:r w:rsidRPr="00A52AEE">
              <w:t>2008-09</w:t>
            </w:r>
          </w:p>
        </w:tc>
        <w:tc>
          <w:tcPr>
            <w:tcW w:w="1344" w:type="dxa"/>
            <w:vAlign w:val="center"/>
          </w:tcPr>
          <w:p w14:paraId="39248AB3" w14:textId="77777777" w:rsidR="001A5565" w:rsidRPr="00A52AEE" w:rsidRDefault="001A5565" w:rsidP="00A52AEE"/>
        </w:tc>
        <w:tc>
          <w:tcPr>
            <w:tcW w:w="1560" w:type="dxa"/>
            <w:shd w:val="clear" w:color="auto" w:fill="BDD6EE" w:themeFill="accent1" w:themeFillTint="66"/>
            <w:vAlign w:val="center"/>
          </w:tcPr>
          <w:p w14:paraId="49E9C979" w14:textId="77777777" w:rsidR="001A5565" w:rsidRPr="00A52AEE" w:rsidRDefault="001A5565" w:rsidP="00A52AEE"/>
        </w:tc>
        <w:tc>
          <w:tcPr>
            <w:tcW w:w="1740" w:type="dxa"/>
            <w:shd w:val="clear" w:color="auto" w:fill="BDD6EE" w:themeFill="accent1" w:themeFillTint="66"/>
            <w:vAlign w:val="center"/>
          </w:tcPr>
          <w:p w14:paraId="28E2F5A2" w14:textId="77777777" w:rsidR="001A5565" w:rsidRPr="00A52AEE" w:rsidRDefault="001A5565" w:rsidP="00A52AEE"/>
        </w:tc>
        <w:tc>
          <w:tcPr>
            <w:tcW w:w="1276" w:type="dxa"/>
            <w:shd w:val="clear" w:color="auto" w:fill="BDD6EE" w:themeFill="accent1" w:themeFillTint="66"/>
            <w:vAlign w:val="center"/>
          </w:tcPr>
          <w:p w14:paraId="25F6170D" w14:textId="77777777" w:rsidR="001A5565" w:rsidRPr="00A52AEE" w:rsidRDefault="001A5565" w:rsidP="00A52AEE"/>
        </w:tc>
        <w:tc>
          <w:tcPr>
            <w:tcW w:w="1418" w:type="dxa"/>
            <w:shd w:val="clear" w:color="auto" w:fill="BDD6EE" w:themeFill="accent1" w:themeFillTint="66"/>
            <w:vAlign w:val="center"/>
          </w:tcPr>
          <w:p w14:paraId="6CDF2756" w14:textId="77777777" w:rsidR="001A5565" w:rsidRPr="00A52AEE" w:rsidRDefault="001A5565" w:rsidP="00A52AEE"/>
        </w:tc>
      </w:tr>
      <w:tr w:rsidR="001A5565" w:rsidRPr="00A52AEE" w14:paraId="12D234C1" w14:textId="77777777" w:rsidTr="007A00D1">
        <w:trPr>
          <w:trHeight w:val="454"/>
        </w:trPr>
        <w:tc>
          <w:tcPr>
            <w:tcW w:w="2166" w:type="dxa"/>
            <w:shd w:val="clear" w:color="auto" w:fill="FFFFFF" w:themeFill="background1"/>
            <w:vAlign w:val="center"/>
          </w:tcPr>
          <w:p w14:paraId="1ADCAF58" w14:textId="77777777" w:rsidR="001A5565" w:rsidRPr="00A52AEE" w:rsidRDefault="001A5565" w:rsidP="00A52AEE">
            <w:r w:rsidRPr="00A52AEE">
              <w:t>2009-10</w:t>
            </w:r>
          </w:p>
        </w:tc>
        <w:tc>
          <w:tcPr>
            <w:tcW w:w="1344" w:type="dxa"/>
            <w:vAlign w:val="center"/>
          </w:tcPr>
          <w:p w14:paraId="1F3F70AD" w14:textId="77777777" w:rsidR="001A5565" w:rsidRPr="00A52AEE" w:rsidRDefault="001A5565" w:rsidP="00A52AEE"/>
        </w:tc>
        <w:tc>
          <w:tcPr>
            <w:tcW w:w="1560" w:type="dxa"/>
            <w:vAlign w:val="center"/>
          </w:tcPr>
          <w:p w14:paraId="5FD26F0B" w14:textId="77777777" w:rsidR="001A5565" w:rsidRPr="00A52AEE" w:rsidRDefault="001A5565" w:rsidP="00A52AEE"/>
        </w:tc>
        <w:tc>
          <w:tcPr>
            <w:tcW w:w="1740" w:type="dxa"/>
            <w:shd w:val="clear" w:color="auto" w:fill="BDD6EE" w:themeFill="accent1" w:themeFillTint="66"/>
            <w:vAlign w:val="center"/>
          </w:tcPr>
          <w:p w14:paraId="26FADCCD" w14:textId="77777777" w:rsidR="001A5565" w:rsidRPr="00A52AEE" w:rsidRDefault="001A5565" w:rsidP="00A52AEE"/>
        </w:tc>
        <w:tc>
          <w:tcPr>
            <w:tcW w:w="1276" w:type="dxa"/>
            <w:shd w:val="clear" w:color="auto" w:fill="BDD6EE" w:themeFill="accent1" w:themeFillTint="66"/>
            <w:vAlign w:val="center"/>
          </w:tcPr>
          <w:p w14:paraId="00F57C38" w14:textId="77777777" w:rsidR="001A5565" w:rsidRPr="00A52AEE" w:rsidRDefault="001A5565" w:rsidP="00A52AEE"/>
        </w:tc>
        <w:tc>
          <w:tcPr>
            <w:tcW w:w="1418" w:type="dxa"/>
            <w:shd w:val="clear" w:color="auto" w:fill="BDD6EE" w:themeFill="accent1" w:themeFillTint="66"/>
            <w:vAlign w:val="center"/>
          </w:tcPr>
          <w:p w14:paraId="64AB185B" w14:textId="77777777" w:rsidR="001A5565" w:rsidRPr="00A52AEE" w:rsidRDefault="001A5565" w:rsidP="00A52AEE"/>
        </w:tc>
      </w:tr>
      <w:tr w:rsidR="001A5565" w:rsidRPr="00A52AEE" w14:paraId="05C8FC10" w14:textId="77777777" w:rsidTr="007A00D1">
        <w:trPr>
          <w:trHeight w:val="454"/>
        </w:trPr>
        <w:tc>
          <w:tcPr>
            <w:tcW w:w="2166" w:type="dxa"/>
            <w:shd w:val="clear" w:color="auto" w:fill="FFFFFF" w:themeFill="background1"/>
            <w:vAlign w:val="center"/>
          </w:tcPr>
          <w:p w14:paraId="253E78F3" w14:textId="77777777" w:rsidR="001A5565" w:rsidRPr="00A52AEE" w:rsidRDefault="001A5565" w:rsidP="00A52AEE">
            <w:r w:rsidRPr="00A52AEE">
              <w:t>2010-11</w:t>
            </w:r>
          </w:p>
        </w:tc>
        <w:tc>
          <w:tcPr>
            <w:tcW w:w="1344" w:type="dxa"/>
            <w:vAlign w:val="center"/>
          </w:tcPr>
          <w:p w14:paraId="68B2DBE4" w14:textId="77777777" w:rsidR="001A5565" w:rsidRPr="00A52AEE" w:rsidRDefault="001A5565" w:rsidP="00A52AEE"/>
        </w:tc>
        <w:tc>
          <w:tcPr>
            <w:tcW w:w="1560" w:type="dxa"/>
            <w:vAlign w:val="center"/>
          </w:tcPr>
          <w:p w14:paraId="30AA9CF6" w14:textId="77777777" w:rsidR="001A5565" w:rsidRPr="00A52AEE" w:rsidRDefault="001A5565" w:rsidP="00A52AEE"/>
        </w:tc>
        <w:tc>
          <w:tcPr>
            <w:tcW w:w="1740" w:type="dxa"/>
            <w:vAlign w:val="center"/>
          </w:tcPr>
          <w:p w14:paraId="1C5448C2" w14:textId="77777777" w:rsidR="001A5565" w:rsidRPr="00A52AEE" w:rsidRDefault="001A5565" w:rsidP="00A52AEE"/>
        </w:tc>
        <w:tc>
          <w:tcPr>
            <w:tcW w:w="1276" w:type="dxa"/>
            <w:shd w:val="clear" w:color="auto" w:fill="BDD6EE" w:themeFill="accent1" w:themeFillTint="66"/>
            <w:vAlign w:val="center"/>
          </w:tcPr>
          <w:p w14:paraId="68780793" w14:textId="77777777" w:rsidR="001A5565" w:rsidRPr="00A52AEE" w:rsidRDefault="001A5565" w:rsidP="00A52AEE"/>
        </w:tc>
        <w:tc>
          <w:tcPr>
            <w:tcW w:w="1418" w:type="dxa"/>
            <w:shd w:val="clear" w:color="auto" w:fill="BDD6EE" w:themeFill="accent1" w:themeFillTint="66"/>
            <w:vAlign w:val="center"/>
          </w:tcPr>
          <w:p w14:paraId="5FC78F15" w14:textId="77777777" w:rsidR="001A5565" w:rsidRPr="00A52AEE" w:rsidRDefault="001A5565" w:rsidP="00A52AEE"/>
        </w:tc>
      </w:tr>
      <w:tr w:rsidR="001A5565" w:rsidRPr="00A52AEE" w14:paraId="52158F68" w14:textId="77777777" w:rsidTr="007A00D1">
        <w:trPr>
          <w:trHeight w:val="454"/>
        </w:trPr>
        <w:tc>
          <w:tcPr>
            <w:tcW w:w="2166" w:type="dxa"/>
            <w:shd w:val="clear" w:color="auto" w:fill="FFFFFF" w:themeFill="background1"/>
            <w:vAlign w:val="center"/>
          </w:tcPr>
          <w:p w14:paraId="0A7AA6B7" w14:textId="77777777" w:rsidR="001A5565" w:rsidRPr="00A52AEE" w:rsidRDefault="001A5565" w:rsidP="00A52AEE">
            <w:r w:rsidRPr="00A52AEE">
              <w:t>2011-12</w:t>
            </w:r>
          </w:p>
        </w:tc>
        <w:tc>
          <w:tcPr>
            <w:tcW w:w="1344" w:type="dxa"/>
            <w:vAlign w:val="center"/>
          </w:tcPr>
          <w:p w14:paraId="1E5A771A" w14:textId="77777777" w:rsidR="001A5565" w:rsidRPr="00A52AEE" w:rsidRDefault="001A5565" w:rsidP="00A52AEE"/>
        </w:tc>
        <w:tc>
          <w:tcPr>
            <w:tcW w:w="1560" w:type="dxa"/>
            <w:vAlign w:val="center"/>
          </w:tcPr>
          <w:p w14:paraId="0F97D1E7" w14:textId="77777777" w:rsidR="001A5565" w:rsidRPr="00A52AEE" w:rsidRDefault="001A5565" w:rsidP="00A52AEE"/>
        </w:tc>
        <w:tc>
          <w:tcPr>
            <w:tcW w:w="1740" w:type="dxa"/>
            <w:vAlign w:val="center"/>
          </w:tcPr>
          <w:p w14:paraId="4E5C39E6" w14:textId="77777777" w:rsidR="001A5565" w:rsidRPr="00A52AEE" w:rsidRDefault="001A5565" w:rsidP="00A52AEE"/>
        </w:tc>
        <w:tc>
          <w:tcPr>
            <w:tcW w:w="1276" w:type="dxa"/>
            <w:vAlign w:val="center"/>
          </w:tcPr>
          <w:p w14:paraId="4326021F" w14:textId="77777777" w:rsidR="001A5565" w:rsidRPr="00A52AEE" w:rsidRDefault="001A5565" w:rsidP="00A52AEE"/>
        </w:tc>
        <w:tc>
          <w:tcPr>
            <w:tcW w:w="1418" w:type="dxa"/>
            <w:shd w:val="clear" w:color="auto" w:fill="BDD6EE" w:themeFill="accent1" w:themeFillTint="66"/>
            <w:vAlign w:val="center"/>
          </w:tcPr>
          <w:p w14:paraId="242C49BD" w14:textId="77777777" w:rsidR="001A5565" w:rsidRPr="00A52AEE" w:rsidRDefault="001A5565" w:rsidP="00A52AEE"/>
        </w:tc>
      </w:tr>
    </w:tbl>
    <w:p w14:paraId="535DEA70" w14:textId="77777777" w:rsidR="001A5565" w:rsidRPr="00A52AEE" w:rsidRDefault="001A5565" w:rsidP="00A52AEE"/>
    <w:p w14:paraId="2DFC2A67" w14:textId="77777777" w:rsidR="007A4B70" w:rsidRPr="00A52AEE" w:rsidRDefault="007A4B70" w:rsidP="00A52AEE"/>
    <w:p w14:paraId="43DCDD2E" w14:textId="388CCEAE" w:rsidR="00C208F3" w:rsidRPr="00A52AEE" w:rsidRDefault="00C208F3" w:rsidP="00A52AEE">
      <w:r w:rsidRPr="00A52AEE">
        <w:t xml:space="preserve">By mining the data by qualification types, we can explore in detail progression for different types of </w:t>
      </w:r>
      <w:r w:rsidR="00842186" w:rsidRPr="00A52AEE">
        <w:t>student</w:t>
      </w:r>
      <w:r w:rsidRPr="00A52AEE">
        <w:t xml:space="preserve">s, comparing for example vocational and non-vocational </w:t>
      </w:r>
      <w:r w:rsidR="00842186" w:rsidRPr="00A52AEE">
        <w:t>student</w:t>
      </w:r>
      <w:r w:rsidRPr="00A52AEE">
        <w:t>s, and at qualification level, BTEC</w:t>
      </w:r>
      <w:r w:rsidR="0076166E" w:rsidRPr="00A52AEE">
        <w:t>, A Level</w:t>
      </w:r>
      <w:r w:rsidRPr="00A52AEE">
        <w:t xml:space="preserve"> and Access to HE </w:t>
      </w:r>
      <w:r w:rsidR="00842186" w:rsidRPr="00A52AEE">
        <w:t>student</w:t>
      </w:r>
      <w:r w:rsidRPr="00A52AEE">
        <w:t xml:space="preserve">s.  Furthermore, higher education progression trends are presented for </w:t>
      </w:r>
      <w:r w:rsidR="0076166E" w:rsidRPr="00A52AEE">
        <w:t>London</w:t>
      </w:r>
      <w:r w:rsidRPr="00A52AEE">
        <w:t xml:space="preserve"> college </w:t>
      </w:r>
      <w:r w:rsidR="00842186" w:rsidRPr="00A52AEE">
        <w:t>student</w:t>
      </w:r>
      <w:r w:rsidRPr="00A52AEE">
        <w:t xml:space="preserve">s to show </w:t>
      </w:r>
      <w:r w:rsidR="001A5565" w:rsidRPr="00A52AEE">
        <w:t xml:space="preserve">factors behind these </w:t>
      </w:r>
      <w:r w:rsidRPr="00A52AEE">
        <w:t xml:space="preserve">changes in progression patterns for each of the five cohorts.  The research also explores higher education progression rates alongside </w:t>
      </w:r>
      <w:r w:rsidR="00842186" w:rsidRPr="00A52AEE">
        <w:t>student</w:t>
      </w:r>
      <w:r w:rsidRPr="00A52AEE">
        <w:t xml:space="preserve"> characteristics such as domicile, age, gender, disadvantage profile and ethnicity. Finally, the longitudinal nature of the study allows for an exploration of higher education achievement.</w:t>
      </w:r>
    </w:p>
    <w:p w14:paraId="760114AF" w14:textId="77777777" w:rsidR="007A4B70" w:rsidRPr="00A52AEE" w:rsidRDefault="007A4B70" w:rsidP="00A52AEE"/>
    <w:p w14:paraId="4B6F8259" w14:textId="310F285E" w:rsidR="007A4B70" w:rsidRPr="00A52AEE" w:rsidRDefault="00771DD0" w:rsidP="008D527A">
      <w:pPr>
        <w:pStyle w:val="Heading2"/>
      </w:pPr>
      <w:bookmarkStart w:id="54" w:name="_Toc429151297"/>
      <w:r>
        <w:t>2</w:t>
      </w:r>
      <w:r w:rsidR="0025066C">
        <w:t>.4</w:t>
      </w:r>
      <w:r w:rsidR="001A04A7" w:rsidRPr="00A52AEE">
        <w:tab/>
        <w:t xml:space="preserve">London educational </w:t>
      </w:r>
      <w:r w:rsidR="007A4B70" w:rsidRPr="00A52AEE">
        <w:t>context</w:t>
      </w:r>
      <w:bookmarkEnd w:id="54"/>
    </w:p>
    <w:p w14:paraId="1FB338BB" w14:textId="6D91F1C6" w:rsidR="009531D3" w:rsidRPr="00A52AEE" w:rsidRDefault="00264CB1" w:rsidP="00A52AEE">
      <w:r w:rsidRPr="00A52AEE">
        <w:t>The London educational context is complex and this</w:t>
      </w:r>
      <w:r w:rsidR="0076166E" w:rsidRPr="00A52AEE">
        <w:t xml:space="preserve"> complexity</w:t>
      </w:r>
      <w:r w:rsidRPr="00A52AEE">
        <w:t xml:space="preserve"> has increased over the period of our study. </w:t>
      </w:r>
      <w:r w:rsidR="009531D3" w:rsidRPr="00A52AEE">
        <w:t xml:space="preserve"> There </w:t>
      </w:r>
      <w:r w:rsidR="0076166E" w:rsidRPr="00A52AEE">
        <w:t xml:space="preserve">is a </w:t>
      </w:r>
      <w:r w:rsidR="0097656F" w:rsidRPr="00A52AEE">
        <w:t>wide</w:t>
      </w:r>
      <w:r w:rsidR="009531D3" w:rsidRPr="00A52AEE">
        <w:t xml:space="preserve"> variety </w:t>
      </w:r>
      <w:r w:rsidR="0097656F" w:rsidRPr="00A52AEE">
        <w:t>in the 879</w:t>
      </w:r>
      <w:r w:rsidR="009531D3" w:rsidRPr="00A52AEE">
        <w:t xml:space="preserve"> secondary schools in London</w:t>
      </w:r>
      <w:sdt>
        <w:sdtPr>
          <w:id w:val="-1894881625"/>
          <w:citation/>
        </w:sdtPr>
        <w:sdtEndPr/>
        <w:sdtContent>
          <w:r w:rsidR="0097656F" w:rsidRPr="00A52AEE">
            <w:fldChar w:fldCharType="begin"/>
          </w:r>
          <w:r w:rsidR="0097656F" w:rsidRPr="00A52AEE">
            <w:instrText xml:space="preserve"> CITATION Lon14 \l 2057 </w:instrText>
          </w:r>
          <w:r w:rsidR="0097656F" w:rsidRPr="00A52AEE">
            <w:fldChar w:fldCharType="separate"/>
          </w:r>
          <w:r w:rsidR="004E52FE">
            <w:rPr>
              <w:noProof/>
            </w:rPr>
            <w:t xml:space="preserve"> (London Councils, 2014)</w:t>
          </w:r>
          <w:r w:rsidR="0097656F" w:rsidRPr="00A52AEE">
            <w:fldChar w:fldCharType="end"/>
          </w:r>
        </w:sdtContent>
      </w:sdt>
      <w:r w:rsidR="009531D3" w:rsidRPr="00A52AEE">
        <w:t xml:space="preserve"> including </w:t>
      </w:r>
      <w:r w:rsidR="0097656F" w:rsidRPr="00A52AEE">
        <w:t xml:space="preserve">comprehensives, </w:t>
      </w:r>
      <w:r w:rsidR="009531D3" w:rsidRPr="00A52AEE">
        <w:t xml:space="preserve">academies, faith schools, </w:t>
      </w:r>
      <w:r w:rsidR="0097656F" w:rsidRPr="00A52AEE">
        <w:t xml:space="preserve">studio schools, </w:t>
      </w:r>
      <w:r w:rsidR="009531D3" w:rsidRPr="00A52AEE">
        <w:t xml:space="preserve">free schools, </w:t>
      </w:r>
      <w:r w:rsidR="0097656F" w:rsidRPr="00A52AEE">
        <w:t xml:space="preserve">university technology colleges </w:t>
      </w:r>
      <w:r w:rsidR="009531D3" w:rsidRPr="00A52AEE">
        <w:t>and private schools.  There are just under 50 FE and Sixth Form Colleges and over forty universities.</w:t>
      </w:r>
      <w:r w:rsidR="007F3B28" w:rsidRPr="00A52AEE">
        <w:t xml:space="preserve"> </w:t>
      </w:r>
      <w:r w:rsidR="0097656F" w:rsidRPr="00A52AEE">
        <w:t xml:space="preserve"> </w:t>
      </w:r>
      <w:r w:rsidR="001A04A7" w:rsidRPr="00A52AEE">
        <w:t xml:space="preserve">During the time period of this report there have been college mergers such as Barnet and Southgate colleges and Lewisham and Southwark colleges.  </w:t>
      </w:r>
      <w:r w:rsidR="0097656F" w:rsidRPr="00A52AEE">
        <w:rPr>
          <w:b/>
        </w:rPr>
        <w:t>50%</w:t>
      </w:r>
      <w:r w:rsidR="0097656F" w:rsidRPr="00A52AEE">
        <w:t xml:space="preserve"> of post 16 </w:t>
      </w:r>
      <w:r w:rsidR="0097656F" w:rsidRPr="00A52AEE">
        <w:lastRenderedPageBreak/>
        <w:t xml:space="preserve">students in London in 2012 were </w:t>
      </w:r>
      <w:r w:rsidR="007F3B28" w:rsidRPr="00A52AEE">
        <w:t xml:space="preserve">in the </w:t>
      </w:r>
      <w:r w:rsidR="009531D3" w:rsidRPr="00A52AEE">
        <w:t xml:space="preserve">FE and Sixth Form College sector </w:t>
      </w:r>
      <w:r w:rsidR="007F3B28" w:rsidRPr="00A52AEE">
        <w:t>(40% FE College and 10% Sixth Form College)</w:t>
      </w:r>
      <w:sdt>
        <w:sdtPr>
          <w:id w:val="289328092"/>
          <w:citation/>
        </w:sdtPr>
        <w:sdtEndPr/>
        <w:sdtContent>
          <w:r w:rsidR="007F3B28" w:rsidRPr="00A52AEE">
            <w:fldChar w:fldCharType="begin"/>
          </w:r>
          <w:r w:rsidR="007F3B28" w:rsidRPr="00A52AEE">
            <w:instrText xml:space="preserve">CITATION Hod14 \l 2057 </w:instrText>
          </w:r>
          <w:r w:rsidR="007F3B28" w:rsidRPr="00A52AEE">
            <w:fldChar w:fldCharType="separate"/>
          </w:r>
          <w:r w:rsidR="004E52FE">
            <w:rPr>
              <w:noProof/>
            </w:rPr>
            <w:t xml:space="preserve"> (Hodgson &amp; Spours, 2014)</w:t>
          </w:r>
          <w:r w:rsidR="007F3B28" w:rsidRPr="00A52AEE">
            <w:fldChar w:fldCharType="end"/>
          </w:r>
        </w:sdtContent>
      </w:sdt>
    </w:p>
    <w:p w14:paraId="0121D2AC" w14:textId="77777777" w:rsidR="009531D3" w:rsidRPr="00A52AEE" w:rsidRDefault="009531D3" w:rsidP="00A52AEE"/>
    <w:p w14:paraId="79EB157C" w14:textId="78F45B3E" w:rsidR="007A00D1" w:rsidRPr="00A52AEE" w:rsidRDefault="00264CB1" w:rsidP="00A52AEE">
      <w:r w:rsidRPr="00A52AEE">
        <w:t xml:space="preserve"> </w:t>
      </w:r>
      <w:r w:rsidR="00C607C3" w:rsidRPr="00A52AEE">
        <w:t xml:space="preserve">A significant </w:t>
      </w:r>
      <w:r w:rsidR="0076166E" w:rsidRPr="00A52AEE">
        <w:t xml:space="preserve">contextual </w:t>
      </w:r>
      <w:r w:rsidR="00C607C3" w:rsidRPr="00A52AEE">
        <w:t xml:space="preserve">factor is </w:t>
      </w:r>
      <w:r w:rsidR="00C41C24" w:rsidRPr="00A52AEE">
        <w:t>th</w:t>
      </w:r>
      <w:r w:rsidR="0076166E" w:rsidRPr="00A52AEE">
        <w:t xml:space="preserve">e performance of London schools.  </w:t>
      </w:r>
      <w:r w:rsidR="00C41C24" w:rsidRPr="00A52AEE">
        <w:t>London has the best GCSE results in England</w:t>
      </w:r>
      <w:sdt>
        <w:sdtPr>
          <w:id w:val="-569733180"/>
          <w:citation/>
        </w:sdtPr>
        <w:sdtEndPr/>
        <w:sdtContent>
          <w:r w:rsidR="00621F08" w:rsidRPr="00A52AEE">
            <w:fldChar w:fldCharType="begin"/>
          </w:r>
          <w:r w:rsidR="00621F08" w:rsidRPr="00A52AEE">
            <w:instrText xml:space="preserve">CITATION Ofs14 \p 3 \l 2057 </w:instrText>
          </w:r>
          <w:r w:rsidR="00621F08" w:rsidRPr="00A52AEE">
            <w:fldChar w:fldCharType="separate"/>
          </w:r>
          <w:r w:rsidR="004E52FE">
            <w:rPr>
              <w:noProof/>
            </w:rPr>
            <w:t xml:space="preserve"> (Ofsted, 2014, p. 3)</w:t>
          </w:r>
          <w:r w:rsidR="00621F08" w:rsidRPr="00A52AEE">
            <w:fldChar w:fldCharType="end"/>
          </w:r>
        </w:sdtContent>
      </w:sdt>
      <w:r w:rsidR="0074535F" w:rsidRPr="00A52AEE">
        <w:t>; in</w:t>
      </w:r>
      <w:r w:rsidR="00C41C24" w:rsidRPr="00A52AEE">
        <w:t xml:space="preserve"> 2012, </w:t>
      </w:r>
      <w:r w:rsidR="00C41C24" w:rsidRPr="00A52AEE">
        <w:rPr>
          <w:b/>
        </w:rPr>
        <w:t>60.8%</w:t>
      </w:r>
      <w:r w:rsidR="00C41C24" w:rsidRPr="00A52AEE">
        <w:t xml:space="preserve"> of London pupils achieved 5 GCSEs (A*-C) including English and Maths compared to 57.4</w:t>
      </w:r>
      <w:r w:rsidR="0076166E" w:rsidRPr="00A52AEE">
        <w:t>%</w:t>
      </w:r>
      <w:r w:rsidR="00C41C24" w:rsidRPr="00A52AEE">
        <w:t xml:space="preserve"> nationally</w:t>
      </w:r>
      <w:sdt>
        <w:sdtPr>
          <w:id w:val="-1382087324"/>
          <w:citation/>
        </w:sdtPr>
        <w:sdtEndPr/>
        <w:sdtContent>
          <w:r w:rsidR="00C41C24" w:rsidRPr="00A52AEE">
            <w:fldChar w:fldCharType="begin"/>
          </w:r>
          <w:r w:rsidR="00C41C24" w:rsidRPr="00A52AEE">
            <w:instrText xml:space="preserve"> CITATION Ofs13 \l 2057 </w:instrText>
          </w:r>
          <w:r w:rsidR="00C41C24" w:rsidRPr="00A52AEE">
            <w:fldChar w:fldCharType="separate"/>
          </w:r>
          <w:r w:rsidR="004E52FE">
            <w:rPr>
              <w:noProof/>
            </w:rPr>
            <w:t xml:space="preserve"> (Ofsted, 2013)</w:t>
          </w:r>
          <w:r w:rsidR="00C41C24" w:rsidRPr="00A52AEE">
            <w:fldChar w:fldCharType="end"/>
          </w:r>
        </w:sdtContent>
      </w:sdt>
      <w:r w:rsidR="00C41C24" w:rsidRPr="00A52AEE">
        <w:t>.</w:t>
      </w:r>
      <w:r w:rsidR="00621F08" w:rsidRPr="00A52AEE">
        <w:t xml:space="preserve">  The pattern of tertiary provision in London varies borough to borough and so </w:t>
      </w:r>
      <w:r w:rsidR="0082463B" w:rsidRPr="00A52AEE">
        <w:t>it is impossible to compare c</w:t>
      </w:r>
      <w:r w:rsidR="00621F08" w:rsidRPr="00A52AEE">
        <w:t xml:space="preserve">olleges across the piece.  In some boroughs FE Colleges co-exist with large Sixth Form Colleges and in others there are large school sixth forms.  </w:t>
      </w:r>
    </w:p>
    <w:p w14:paraId="4148D3A7" w14:textId="77777777" w:rsidR="007A00D1" w:rsidRPr="00A52AEE" w:rsidRDefault="007A00D1" w:rsidP="00A52AEE"/>
    <w:p w14:paraId="21EC7500" w14:textId="368F2CB7" w:rsidR="007A00D1" w:rsidRPr="00A52AEE" w:rsidRDefault="00621F08" w:rsidP="00A52AEE">
      <w:r w:rsidRPr="00A52AEE">
        <w:t xml:space="preserve">The complex demography across the London boroughs plays an important role in participation and our research reveals that 61% of the Level 3 cohort between 2007-08 and 2011-12 are from BME groups. </w:t>
      </w:r>
      <w:r w:rsidR="007A00D1" w:rsidRPr="00A52AEE">
        <w:t xml:space="preserve"> In their report on 17+ participation, attainment and progression in colleges in London, Hodgson and Spours state that London FE and Sixth Forms College have a higher proportion of BME students than schools.  They also add that they have a higher proportion </w:t>
      </w:r>
      <w:r w:rsidR="0082463B" w:rsidRPr="00A52AEE">
        <w:t xml:space="preserve">of students </w:t>
      </w:r>
      <w:r w:rsidR="007A00D1" w:rsidRPr="00A52AEE">
        <w:t xml:space="preserve">with lower GCSE attainment than </w:t>
      </w:r>
      <w:r w:rsidR="0082463B" w:rsidRPr="00A52AEE">
        <w:t>those in school</w:t>
      </w:r>
      <w:r w:rsidR="007A00D1" w:rsidRPr="00A52AEE">
        <w:t xml:space="preserve"> sixth forms.</w:t>
      </w:r>
    </w:p>
    <w:p w14:paraId="56A3C0F3" w14:textId="77777777" w:rsidR="007A00D1" w:rsidRPr="00A52AEE" w:rsidRDefault="007A00D1" w:rsidP="00A52AEE"/>
    <w:p w14:paraId="2869E95E" w14:textId="72929927" w:rsidR="007A00D1" w:rsidRPr="00A52AEE" w:rsidRDefault="00621F08" w:rsidP="00A52AEE">
      <w:r w:rsidRPr="00A52AEE">
        <w:t xml:space="preserve">Using the Income Deprivation Affecting Children Index (IDACI) as a metric for disadvantage, around three in four of the </w:t>
      </w:r>
      <w:r w:rsidR="0082463B" w:rsidRPr="00A52AEE">
        <w:t>London college</w:t>
      </w:r>
      <w:r w:rsidRPr="00A52AEE">
        <w:t xml:space="preserve"> students in this study were classified as living in the top 40% quantiles of deprivation</w:t>
      </w:r>
      <w:r w:rsidR="004153CF" w:rsidRPr="00A52AEE">
        <w:t xml:space="preserve"> and </w:t>
      </w:r>
      <w:r w:rsidR="0082463B" w:rsidRPr="00A52AEE">
        <w:t>it is important to note</w:t>
      </w:r>
      <w:r w:rsidR="004153CF" w:rsidRPr="00A52AEE">
        <w:t xml:space="preserve"> geographical variations</w:t>
      </w:r>
      <w:r w:rsidR="0082463B" w:rsidRPr="00A52AEE">
        <w:t>,</w:t>
      </w:r>
      <w:r w:rsidR="004153CF" w:rsidRPr="00A52AEE">
        <w:t xml:space="preserve"> as deprivation is higher in some boroughs (Hackney, Newham and Tower Hamlets) than others</w:t>
      </w:r>
      <w:sdt>
        <w:sdtPr>
          <w:id w:val="850999589"/>
          <w:citation/>
        </w:sdtPr>
        <w:sdtEndPr/>
        <w:sdtContent>
          <w:r w:rsidR="004153CF" w:rsidRPr="00A52AEE">
            <w:fldChar w:fldCharType="begin"/>
          </w:r>
          <w:r w:rsidR="004153CF" w:rsidRPr="00A52AEE">
            <w:instrText xml:space="preserve"> CITATION Lon14 \l 2057 </w:instrText>
          </w:r>
          <w:r w:rsidR="004153CF" w:rsidRPr="00A52AEE">
            <w:fldChar w:fldCharType="separate"/>
          </w:r>
          <w:r w:rsidR="004E52FE">
            <w:rPr>
              <w:noProof/>
            </w:rPr>
            <w:t xml:space="preserve"> (London Councils, 2014)</w:t>
          </w:r>
          <w:r w:rsidR="004153CF" w:rsidRPr="00A52AEE">
            <w:fldChar w:fldCharType="end"/>
          </w:r>
        </w:sdtContent>
      </w:sdt>
      <w:r w:rsidR="004153CF" w:rsidRPr="00A52AEE">
        <w:t>.</w:t>
      </w:r>
    </w:p>
    <w:p w14:paraId="31DCD68C" w14:textId="77777777" w:rsidR="007A00D1" w:rsidRPr="00A52AEE" w:rsidRDefault="007A00D1" w:rsidP="00A52AEE"/>
    <w:p w14:paraId="4A1BA675" w14:textId="022A7526" w:rsidR="00264CB1" w:rsidRPr="00A52AEE" w:rsidRDefault="00174DE0" w:rsidP="00A52AEE">
      <w:r w:rsidRPr="00A52AEE">
        <w:t>These factors play into progression in various ways including choice of Level 3 programme and progression destination and mean that it is important to keep in mind the distinctiveness of the London FE and Sixth Form College student body when making comparisons with the school sector generally and with other regions and national averages for England.</w:t>
      </w:r>
    </w:p>
    <w:p w14:paraId="26E39068" w14:textId="77777777" w:rsidR="00C607C3" w:rsidRPr="00A52AEE" w:rsidRDefault="00C607C3" w:rsidP="00A52AEE"/>
    <w:p w14:paraId="08B745CA" w14:textId="7D0A6C05" w:rsidR="00E63A8B" w:rsidRPr="00A52AEE" w:rsidRDefault="007A4B70" w:rsidP="00A52AEE">
      <w:r w:rsidRPr="00A52AEE">
        <w:t>A recent report published by London Councils Young People’s Education and Skills</w:t>
      </w:r>
      <w:sdt>
        <w:sdtPr>
          <w:id w:val="2120868150"/>
          <w:citation/>
        </w:sdtPr>
        <w:sdtEndPr/>
        <w:sdtContent>
          <w:r w:rsidRPr="00A52AEE">
            <w:fldChar w:fldCharType="begin"/>
          </w:r>
          <w:r w:rsidRPr="00A52AEE">
            <w:instrText xml:space="preserve"> CITATION Tin14 \l 2057 </w:instrText>
          </w:r>
          <w:r w:rsidRPr="00A52AEE">
            <w:fldChar w:fldCharType="separate"/>
          </w:r>
          <w:r w:rsidR="004E52FE">
            <w:rPr>
              <w:noProof/>
            </w:rPr>
            <w:t xml:space="preserve"> (Tindell, Weeden, &amp; Storan, 2014)</w:t>
          </w:r>
          <w:r w:rsidRPr="00A52AEE">
            <w:fldChar w:fldCharType="end"/>
          </w:r>
        </w:sdtContent>
      </w:sdt>
      <w:r w:rsidRPr="00A52AEE">
        <w:t xml:space="preserve"> looks at progression into higher education for </w:t>
      </w:r>
      <w:r w:rsidR="00E63A8B" w:rsidRPr="00A52AEE">
        <w:t xml:space="preserve">all young London domiciles (school and college) over the same period as this report (2007-2012).  Although the methodology is different, </w:t>
      </w:r>
      <w:r w:rsidR="00264CB1" w:rsidRPr="00A52AEE">
        <w:t xml:space="preserve">and the age bands do not exactly align, </w:t>
      </w:r>
      <w:r w:rsidR="00E63A8B" w:rsidRPr="00A52AEE">
        <w:t xml:space="preserve">it provides a useful </w:t>
      </w:r>
      <w:r w:rsidR="00264CB1" w:rsidRPr="00A52AEE">
        <w:t xml:space="preserve">general </w:t>
      </w:r>
      <w:r w:rsidR="00E63A8B" w:rsidRPr="00A52AEE">
        <w:t xml:space="preserve">reference for </w:t>
      </w:r>
      <w:r w:rsidR="0023558A" w:rsidRPr="00A52AEE">
        <w:t>the</w:t>
      </w:r>
      <w:r w:rsidR="00E63A8B" w:rsidRPr="00A52AEE">
        <w:t xml:space="preserve"> findings in </w:t>
      </w:r>
      <w:r w:rsidR="0023558A" w:rsidRPr="00A52AEE">
        <w:t>our</w:t>
      </w:r>
      <w:r w:rsidR="00E63A8B" w:rsidRPr="00A52AEE">
        <w:t xml:space="preserve"> report.  </w:t>
      </w:r>
      <w:r w:rsidR="00264CB1" w:rsidRPr="00A52AEE">
        <w:t>The drop in numbers of young FE and Sixth Form College Learners progressing in 2012-13 from the previous year was 665 c</w:t>
      </w:r>
      <w:r w:rsidR="0023558A" w:rsidRPr="00A52AEE">
        <w:t>ompared to</w:t>
      </w:r>
      <w:r w:rsidR="00264CB1" w:rsidRPr="00A52AEE">
        <w:t xml:space="preserve"> the figure of 8,936 for all London students</w:t>
      </w:r>
      <w:sdt>
        <w:sdtPr>
          <w:id w:val="1168602190"/>
          <w:citation/>
        </w:sdtPr>
        <w:sdtEndPr/>
        <w:sdtContent>
          <w:r w:rsidR="00264CB1" w:rsidRPr="00A52AEE">
            <w:fldChar w:fldCharType="begin"/>
          </w:r>
          <w:r w:rsidR="00264CB1" w:rsidRPr="00A52AEE">
            <w:instrText xml:space="preserve">CITATION Tin14 \p 7 \l 2057 </w:instrText>
          </w:r>
          <w:r w:rsidR="00264CB1" w:rsidRPr="00A52AEE">
            <w:fldChar w:fldCharType="separate"/>
          </w:r>
          <w:r w:rsidR="004E52FE">
            <w:rPr>
              <w:noProof/>
            </w:rPr>
            <w:t xml:space="preserve"> (Tindell, Weeden, &amp; Storan, 2014, p. 7)</w:t>
          </w:r>
          <w:r w:rsidR="00264CB1" w:rsidRPr="00A52AEE">
            <w:fldChar w:fldCharType="end"/>
          </w:r>
        </w:sdtContent>
      </w:sdt>
      <w:r w:rsidR="00264CB1" w:rsidRPr="00A52AEE">
        <w:t xml:space="preserve">, a much smaller percentage decrease for the college sector.  </w:t>
      </w:r>
      <w:r w:rsidR="00174DE0" w:rsidRPr="00A52AEE">
        <w:t>It reports high HE achievement rates for all young London students progressing to HE (</w:t>
      </w:r>
      <w:r w:rsidR="00174DE0" w:rsidRPr="00A52AEE">
        <w:rPr>
          <w:b/>
        </w:rPr>
        <w:t>67%</w:t>
      </w:r>
      <w:r w:rsidR="00174DE0" w:rsidRPr="00A52AEE">
        <w:t xml:space="preserve"> achieving a First or 2:1)</w:t>
      </w:r>
      <w:sdt>
        <w:sdtPr>
          <w:id w:val="-894499605"/>
          <w:citation/>
        </w:sdtPr>
        <w:sdtEndPr/>
        <w:sdtContent>
          <w:r w:rsidR="00174DE0" w:rsidRPr="00A52AEE">
            <w:fldChar w:fldCharType="begin"/>
          </w:r>
          <w:r w:rsidR="00174DE0" w:rsidRPr="00A52AEE">
            <w:instrText xml:space="preserve">CITATION Tin14 \p 5 \l 2057 </w:instrText>
          </w:r>
          <w:r w:rsidR="00174DE0" w:rsidRPr="00A52AEE">
            <w:fldChar w:fldCharType="separate"/>
          </w:r>
          <w:r w:rsidR="004E52FE">
            <w:rPr>
              <w:noProof/>
            </w:rPr>
            <w:t xml:space="preserve"> (Tindell, Weeden, &amp; Storan, 2014, p. 5)</w:t>
          </w:r>
          <w:r w:rsidR="00174DE0" w:rsidRPr="00A52AEE">
            <w:fldChar w:fldCharType="end"/>
          </w:r>
        </w:sdtContent>
      </w:sdt>
      <w:r w:rsidR="00174DE0" w:rsidRPr="00A52AEE">
        <w:t xml:space="preserve">.  This compares to </w:t>
      </w:r>
      <w:r w:rsidR="003B4E18" w:rsidRPr="00A52AEE">
        <w:rPr>
          <w:b/>
        </w:rPr>
        <w:t>52%</w:t>
      </w:r>
      <w:r w:rsidR="003B4E18" w:rsidRPr="00A52AEE">
        <w:t xml:space="preserve"> of FE and Sixth Form College students of all ages who achieved a first degree in our study attaining a first class or 2:1 degree. The national rate is 62% for FE college </w:t>
      </w:r>
      <w:r w:rsidR="00842186" w:rsidRPr="00A52AEE">
        <w:t>student</w:t>
      </w:r>
      <w:r w:rsidR="003B4E18" w:rsidRPr="00A52AEE">
        <w:t>s across England</w:t>
      </w:r>
      <w:sdt>
        <w:sdtPr>
          <w:id w:val="199370839"/>
          <w:citation/>
        </w:sdtPr>
        <w:sdtEndPr/>
        <w:sdtContent>
          <w:r w:rsidR="003B4E18" w:rsidRPr="00A52AEE">
            <w:fldChar w:fldCharType="begin"/>
          </w:r>
          <w:r w:rsidR="003B4E18" w:rsidRPr="00A52AEE">
            <w:instrText xml:space="preserve"> CITATION Smi15 \l 2057 </w:instrText>
          </w:r>
          <w:r w:rsidR="003B4E18" w:rsidRPr="00A52AEE">
            <w:fldChar w:fldCharType="separate"/>
          </w:r>
          <w:r w:rsidR="004E52FE">
            <w:rPr>
              <w:noProof/>
            </w:rPr>
            <w:t xml:space="preserve"> (Smith, Joslin, &amp; Jameson, 2015)</w:t>
          </w:r>
          <w:r w:rsidR="003B4E18" w:rsidRPr="00A52AEE">
            <w:fldChar w:fldCharType="end"/>
          </w:r>
        </w:sdtContent>
      </w:sdt>
      <w:r w:rsidR="001A04A7" w:rsidRPr="00A52AEE">
        <w:t xml:space="preserve"> but these differences must be set in the context of the very high </w:t>
      </w:r>
      <w:r w:rsidR="0082463B" w:rsidRPr="00A52AEE">
        <w:t>1</w:t>
      </w:r>
      <w:r w:rsidR="001A04A7" w:rsidRPr="00A52AEE">
        <w:t>6-19 participation rates in London</w:t>
      </w:r>
      <w:r w:rsidR="00784AC2" w:rsidRPr="00A52AEE">
        <w:t xml:space="preserve"> (89% 16-17 year olds in 2012 compared to 81% for England)</w:t>
      </w:r>
      <w:sdt>
        <w:sdtPr>
          <w:id w:val="-907143679"/>
          <w:citation/>
        </w:sdtPr>
        <w:sdtEndPr/>
        <w:sdtContent>
          <w:r w:rsidR="00784AC2" w:rsidRPr="00A52AEE">
            <w:fldChar w:fldCharType="begin"/>
          </w:r>
          <w:r w:rsidR="00784AC2" w:rsidRPr="00A52AEE">
            <w:instrText xml:space="preserve"> CITATION Lon14 \l 2057 </w:instrText>
          </w:r>
          <w:r w:rsidR="00784AC2" w:rsidRPr="00A52AEE">
            <w:fldChar w:fldCharType="separate"/>
          </w:r>
          <w:r w:rsidR="004E52FE">
            <w:rPr>
              <w:noProof/>
            </w:rPr>
            <w:t xml:space="preserve"> (London Councils, 2014)</w:t>
          </w:r>
          <w:r w:rsidR="00784AC2" w:rsidRPr="00A52AEE">
            <w:fldChar w:fldCharType="end"/>
          </w:r>
        </w:sdtContent>
      </w:sdt>
      <w:r w:rsidR="00784AC2" w:rsidRPr="00A52AEE">
        <w:t xml:space="preserve">.  </w:t>
      </w:r>
      <w:r w:rsidR="003B4E18" w:rsidRPr="00A52AEE">
        <w:t xml:space="preserve">A Level </w:t>
      </w:r>
      <w:r w:rsidR="00842186" w:rsidRPr="00A52AEE">
        <w:t>student</w:t>
      </w:r>
      <w:r w:rsidR="003B4E18" w:rsidRPr="00A52AEE">
        <w:t xml:space="preserve">s are more likely to attain a good degree than BTEC </w:t>
      </w:r>
      <w:r w:rsidR="00842186" w:rsidRPr="00A52AEE">
        <w:t>student</w:t>
      </w:r>
      <w:r w:rsidR="003B4E18" w:rsidRPr="00A52AEE">
        <w:t>s and the differential proportion of students taking A Levels in schools compared to colleges will have an influence on these findings.</w:t>
      </w:r>
    </w:p>
    <w:p w14:paraId="48F9FCE6" w14:textId="77777777" w:rsidR="00842186" w:rsidRPr="00A52AEE" w:rsidRDefault="00842186" w:rsidP="00A52AEE"/>
    <w:p w14:paraId="4267007E" w14:textId="6550BDFE" w:rsidR="00842186" w:rsidRPr="00A52AEE" w:rsidRDefault="00771DD0" w:rsidP="008D527A">
      <w:pPr>
        <w:pStyle w:val="Heading2"/>
      </w:pPr>
      <w:bookmarkStart w:id="55" w:name="_Toc429151298"/>
      <w:r>
        <w:lastRenderedPageBreak/>
        <w:t>2</w:t>
      </w:r>
      <w:r w:rsidR="0025066C">
        <w:t>.5</w:t>
      </w:r>
      <w:r w:rsidR="00842186" w:rsidRPr="00A52AEE">
        <w:tab/>
        <w:t>Structure of the report</w:t>
      </w:r>
      <w:bookmarkEnd w:id="55"/>
    </w:p>
    <w:p w14:paraId="5666A912" w14:textId="14FC5F8E" w:rsidR="00842186" w:rsidRPr="00A52AEE" w:rsidRDefault="00842186" w:rsidP="00A52AEE">
      <w:r w:rsidRPr="00A52AEE">
        <w:t>This report is structured simply.  The executive summary provides a digest of the key findings of the report.  This introduction provides some contextual detail within which the findings can be set.  The methodology is outlined in the next section including the matching of ILR and HESA datasets and the linking with the DfE Key Stage 4 dataset.  The first section of the results analyses the Level 3 FE and Sixth Form College cohorts between 2007-08 and 2011-12, looking at underlying trends in the make-up of the student populations and the demographic, programme and institutional factors behind them.  The section on progression identifies longitudinally</w:t>
      </w:r>
      <w:r w:rsidR="0082463B" w:rsidRPr="00A52AEE">
        <w:t>,</w:t>
      </w:r>
      <w:r w:rsidRPr="00A52AEE">
        <w:t xml:space="preserve"> patterns of movement into higher education over time and analyses these in relation to demographics.  This leads to analysis of the HE achievement of two cohorts and prior attainment at Key Stage 4 in school.</w:t>
      </w:r>
    </w:p>
    <w:p w14:paraId="7A7BB995" w14:textId="048AA849" w:rsidR="0097656F" w:rsidRPr="00A52AEE" w:rsidRDefault="0097656F" w:rsidP="00A52AEE">
      <w:r w:rsidRPr="00A52AEE">
        <w:br w:type="page"/>
      </w:r>
    </w:p>
    <w:p w14:paraId="5B664198" w14:textId="0AB8D0C7" w:rsidR="00D469CB" w:rsidRPr="00A52AEE" w:rsidRDefault="0025066C" w:rsidP="009443B2">
      <w:pPr>
        <w:pStyle w:val="Heading1"/>
        <w:numPr>
          <w:ilvl w:val="0"/>
          <w:numId w:val="20"/>
        </w:numPr>
      </w:pPr>
      <w:bookmarkStart w:id="56" w:name="_Toc429151299"/>
      <w:r>
        <w:lastRenderedPageBreak/>
        <w:t>M</w:t>
      </w:r>
      <w:r w:rsidR="00027430" w:rsidRPr="00A52AEE">
        <w:t>ethodology</w:t>
      </w:r>
      <w:bookmarkEnd w:id="56"/>
    </w:p>
    <w:p w14:paraId="3B4D7A55" w14:textId="77777777" w:rsidR="00027430" w:rsidRPr="00A52AEE" w:rsidRDefault="00027430" w:rsidP="00A52AEE"/>
    <w:p w14:paraId="485DC6C6" w14:textId="503E640A" w:rsidR="00C208F3" w:rsidRPr="00A52AEE" w:rsidRDefault="00771DD0" w:rsidP="008D527A">
      <w:pPr>
        <w:pStyle w:val="Heading2"/>
      </w:pPr>
      <w:bookmarkStart w:id="57" w:name="_Toc405201377"/>
      <w:bookmarkStart w:id="58" w:name="_Toc411437005"/>
      <w:bookmarkStart w:id="59" w:name="_Toc429151300"/>
      <w:r>
        <w:t>3</w:t>
      </w:r>
      <w:r w:rsidR="0025066C">
        <w:t>.1</w:t>
      </w:r>
      <w:r w:rsidR="0025066C">
        <w:tab/>
      </w:r>
      <w:r w:rsidR="00C208F3" w:rsidRPr="00A52AEE">
        <w:t>Who is the tracked cohort?</w:t>
      </w:r>
      <w:bookmarkEnd w:id="57"/>
      <w:bookmarkEnd w:id="58"/>
      <w:bookmarkEnd w:id="59"/>
    </w:p>
    <w:p w14:paraId="509F6F0C" w14:textId="15ACC82F" w:rsidR="00C208F3" w:rsidRDefault="00852A2C" w:rsidP="00A52AEE">
      <w:r w:rsidRPr="00A52AEE">
        <w:t>Data for L</w:t>
      </w:r>
      <w:r w:rsidR="00C208F3" w:rsidRPr="00A52AEE">
        <w:t>evel 3 students s</w:t>
      </w:r>
      <w:r w:rsidR="0082463B" w:rsidRPr="00A52AEE">
        <w:t xml:space="preserve">tudying in a London </w:t>
      </w:r>
      <w:r w:rsidR="00C208F3" w:rsidRPr="00A52AEE">
        <w:t xml:space="preserve">FE College or Sixth Form College, for academic years 2007-08 to 2012-13, was mined to identify a </w:t>
      </w:r>
      <w:r w:rsidR="0021637B" w:rsidRPr="00A52AEE">
        <w:t>Level</w:t>
      </w:r>
      <w:r w:rsidR="00C208F3" w:rsidRPr="00A52AEE">
        <w:t xml:space="preserve"> 3 achiever cohort.  Learners were grouped using their last year of </w:t>
      </w:r>
      <w:r w:rsidR="0021637B" w:rsidRPr="00A52AEE">
        <w:t>Level</w:t>
      </w:r>
      <w:r w:rsidR="00C208F3" w:rsidRPr="00A52AEE">
        <w:t xml:space="preserve"> 3 study.  There were five cohorts of students: 2007-08, 2008-09, 2009-10, 2010-11 and 2011-12.  Where students were found in the dataset studying more than one </w:t>
      </w:r>
      <w:r w:rsidR="0021637B" w:rsidRPr="00A52AEE">
        <w:t>Level</w:t>
      </w:r>
      <w:r w:rsidR="00C208F3" w:rsidRPr="00A52AEE">
        <w:t xml:space="preserve"> 3 programme, a classification system was used to decide a primary </w:t>
      </w:r>
      <w:r w:rsidR="0021637B" w:rsidRPr="00A52AEE">
        <w:t>Level</w:t>
      </w:r>
      <w:r w:rsidR="00C208F3" w:rsidRPr="00A52AEE">
        <w:t xml:space="preserve"> 3 qualification for each student, based on type of programme and duration of study. For example, if a </w:t>
      </w:r>
      <w:r w:rsidR="00842186" w:rsidRPr="00A52AEE">
        <w:t>student</w:t>
      </w:r>
      <w:r w:rsidR="00C208F3" w:rsidRPr="00A52AEE">
        <w:t xml:space="preserve"> studied both a BTEC Diploma and an AS qualification, they were classified as BTEC. If a </w:t>
      </w:r>
      <w:r w:rsidR="00842186" w:rsidRPr="00A52AEE">
        <w:t>student</w:t>
      </w:r>
      <w:r w:rsidR="00C208F3" w:rsidRPr="00A52AEE">
        <w:t xml:space="preserve"> studied a Vocational Certificate programme and 2 A </w:t>
      </w:r>
      <w:r w:rsidR="0021637B" w:rsidRPr="00A52AEE">
        <w:t>Level</w:t>
      </w:r>
      <w:r w:rsidR="00C208F3" w:rsidRPr="00A52AEE">
        <w:t xml:space="preserve">s, they were classified as A </w:t>
      </w:r>
      <w:r w:rsidR="0021637B" w:rsidRPr="00A52AEE">
        <w:t>Level</w:t>
      </w:r>
      <w:r w:rsidR="00C208F3" w:rsidRPr="00A52AEE">
        <w:t xml:space="preserve">.  Those </w:t>
      </w:r>
      <w:r w:rsidR="0021637B" w:rsidRPr="00A52AEE">
        <w:t>Level</w:t>
      </w:r>
      <w:r w:rsidR="00C208F3" w:rsidRPr="00A52AEE">
        <w:t xml:space="preserve"> 3 students who completed and achieved their primary </w:t>
      </w:r>
      <w:r w:rsidR="0021637B" w:rsidRPr="00A52AEE">
        <w:t>Level</w:t>
      </w:r>
      <w:r w:rsidR="00C208F3" w:rsidRPr="00A52AEE">
        <w:t xml:space="preserve"> 3 aim were tracked. In the report, the cohort will be referred to as the FE </w:t>
      </w:r>
      <w:r w:rsidR="0021637B" w:rsidRPr="00A52AEE">
        <w:t>Level</w:t>
      </w:r>
      <w:r w:rsidR="00C208F3" w:rsidRPr="00A52AEE">
        <w:t xml:space="preserve"> 3 cohort although this includes students who achieved their qualification in either an FE College or a Sixth Form College.</w:t>
      </w:r>
    </w:p>
    <w:p w14:paraId="1D4DBC75" w14:textId="77777777" w:rsidR="00455D65" w:rsidRPr="00A52AEE" w:rsidRDefault="00455D65" w:rsidP="00A52AEE"/>
    <w:p w14:paraId="7125D46F" w14:textId="77777777" w:rsidR="00C208F3" w:rsidRDefault="00C208F3" w:rsidP="00A52AEE">
      <w:r w:rsidRPr="00A52AEE">
        <w:t xml:space="preserve">Two matching exercises were undertaken to obtain the total number of students who entered higher education study: </w:t>
      </w:r>
    </w:p>
    <w:p w14:paraId="001CBA12" w14:textId="77777777" w:rsidR="00455D65" w:rsidRPr="00A52AEE" w:rsidRDefault="00455D65" w:rsidP="00A52AEE"/>
    <w:p w14:paraId="5353A9AC" w14:textId="2CFF34E6" w:rsidR="00C208F3" w:rsidRPr="00A52AEE" w:rsidRDefault="00C208F3" w:rsidP="00A52AEE">
      <w:pPr>
        <w:pStyle w:val="ListParagraph"/>
        <w:numPr>
          <w:ilvl w:val="0"/>
          <w:numId w:val="12"/>
        </w:numPr>
      </w:pPr>
      <w:r w:rsidRPr="00A52AEE">
        <w:t xml:space="preserve">ILR </w:t>
      </w:r>
      <w:r w:rsidR="0021637B" w:rsidRPr="00A52AEE">
        <w:t>Level</w:t>
      </w:r>
      <w:r w:rsidRPr="00A52AEE">
        <w:t xml:space="preserve"> 3 student data was linked to HESA student data to identify FE </w:t>
      </w:r>
      <w:r w:rsidR="0021637B" w:rsidRPr="00A52AEE">
        <w:t>Level</w:t>
      </w:r>
      <w:r w:rsidRPr="00A52AEE">
        <w:t xml:space="preserve"> 3 Students progressing to prescribed higher education study </w:t>
      </w:r>
    </w:p>
    <w:p w14:paraId="037A2EA7" w14:textId="77777777" w:rsidR="00873F6A" w:rsidRPr="00A52AEE" w:rsidRDefault="00873F6A" w:rsidP="00A52AEE">
      <w:pPr>
        <w:pStyle w:val="ListParagraph"/>
      </w:pPr>
    </w:p>
    <w:p w14:paraId="4BA1155C" w14:textId="7BA83E28" w:rsidR="00C208F3" w:rsidRPr="00A52AEE" w:rsidRDefault="00C208F3" w:rsidP="00A52AEE">
      <w:pPr>
        <w:pStyle w:val="ListParagraph"/>
        <w:numPr>
          <w:ilvl w:val="0"/>
          <w:numId w:val="12"/>
        </w:numPr>
      </w:pPr>
      <w:r w:rsidRPr="00A52AEE">
        <w:t xml:space="preserve">ILR </w:t>
      </w:r>
      <w:r w:rsidR="0021637B" w:rsidRPr="00A52AEE">
        <w:t>Level</w:t>
      </w:r>
      <w:r w:rsidRPr="00A52AEE">
        <w:t xml:space="preserve"> 3 student data was linked to ILR </w:t>
      </w:r>
      <w:r w:rsidR="0021637B" w:rsidRPr="00A52AEE">
        <w:t>Level</w:t>
      </w:r>
      <w:r w:rsidRPr="00A52AEE">
        <w:t xml:space="preserve"> 4 student data to identify FE </w:t>
      </w:r>
      <w:r w:rsidR="0021637B" w:rsidRPr="00A52AEE">
        <w:t>Level</w:t>
      </w:r>
      <w:r w:rsidRPr="00A52AEE">
        <w:t xml:space="preserve"> 3 students progressing to higher education study in FE (non-prescribed and directly funded prescribed).</w:t>
      </w:r>
    </w:p>
    <w:p w14:paraId="015C7671" w14:textId="77777777" w:rsidR="00873F6A" w:rsidRPr="00A52AEE" w:rsidRDefault="00873F6A" w:rsidP="00A52AEE">
      <w:pPr>
        <w:pStyle w:val="ListParagraph"/>
      </w:pPr>
    </w:p>
    <w:p w14:paraId="7DBD3725" w14:textId="094BEC23" w:rsidR="00C208F3" w:rsidRPr="00A52AEE" w:rsidRDefault="00C208F3" w:rsidP="00A52AEE">
      <w:r w:rsidRPr="00A52AEE">
        <w:t xml:space="preserve">The absence of a unique </w:t>
      </w:r>
      <w:r w:rsidR="00842186" w:rsidRPr="00A52AEE">
        <w:t>student</w:t>
      </w:r>
      <w:r w:rsidRPr="00A52AEE">
        <w:t xml:space="preserve"> number attached to students moving from one provider to another, means that individual students were tracked using a number of personal characteristics. A fuzzy matching exercise was undertaken by HESA to identify students on the first year of their HE programme and a second match was undertaken for the tracked cohort to FE </w:t>
      </w:r>
      <w:r w:rsidR="0021637B" w:rsidRPr="00A52AEE">
        <w:t>Level</w:t>
      </w:r>
      <w:r w:rsidRPr="00A52AEE">
        <w:t xml:space="preserve"> 4 and above student data using either the ILR student unique reference or through fuzzy matching.</w:t>
      </w:r>
    </w:p>
    <w:p w14:paraId="3181A3D2" w14:textId="77777777" w:rsidR="00842186" w:rsidRPr="00A52AEE" w:rsidRDefault="00842186" w:rsidP="00A52AEE"/>
    <w:p w14:paraId="5EF986A4" w14:textId="3D2CF0A0" w:rsidR="00C208F3" w:rsidRDefault="00C208F3" w:rsidP="00A52AEE">
      <w:r w:rsidRPr="00A52AEE">
        <w:t xml:space="preserve">Longitudinal tracking was undertaken, so the first </w:t>
      </w:r>
      <w:r w:rsidR="0021637B" w:rsidRPr="00A52AEE">
        <w:t>Level</w:t>
      </w:r>
      <w:r w:rsidRPr="00A52AEE">
        <w:t xml:space="preserve"> 3 cohort in 2007-08 was tracked into HE for 5 years, whilst the last </w:t>
      </w:r>
      <w:r w:rsidR="0021637B" w:rsidRPr="00A52AEE">
        <w:t>Level</w:t>
      </w:r>
      <w:r w:rsidRPr="00A52AEE">
        <w:t xml:space="preserve"> 3 cohort in 2011-12 was only tracked for one year.  Progression trends are available by examining immediate progression rates for each of the five cohorts, reflecting the progression of students in the year following their </w:t>
      </w:r>
      <w:r w:rsidR="0021637B" w:rsidRPr="00A52AEE">
        <w:t>Level</w:t>
      </w:r>
      <w:r w:rsidRPr="00A52AEE">
        <w:t xml:space="preserve"> 3 study on a like for like basis.</w:t>
      </w:r>
    </w:p>
    <w:p w14:paraId="5368EA29" w14:textId="77777777" w:rsidR="00455D65" w:rsidRPr="00A52AEE" w:rsidRDefault="00455D65" w:rsidP="00A52AEE"/>
    <w:p w14:paraId="25AF39B1" w14:textId="3DC6F9C2" w:rsidR="00C208F3" w:rsidRPr="00A52AEE" w:rsidRDefault="00771DD0" w:rsidP="008D527A">
      <w:pPr>
        <w:pStyle w:val="Heading2"/>
      </w:pPr>
      <w:bookmarkStart w:id="60" w:name="_Toc411437007"/>
      <w:bookmarkStart w:id="61" w:name="_Toc429151301"/>
      <w:r>
        <w:t>3</w:t>
      </w:r>
      <w:r w:rsidR="00455D65">
        <w:t>.2</w:t>
      </w:r>
      <w:r w:rsidR="00873F6A" w:rsidRPr="00A52AEE">
        <w:tab/>
      </w:r>
      <w:r w:rsidR="0025066C">
        <w:t xml:space="preserve">The ILR – changes over time, </w:t>
      </w:r>
      <w:r w:rsidR="00C208F3" w:rsidRPr="00A52AEE">
        <w:t>classification and coding</w:t>
      </w:r>
      <w:bookmarkEnd w:id="60"/>
      <w:bookmarkEnd w:id="61"/>
    </w:p>
    <w:p w14:paraId="4E44F54B" w14:textId="77777777" w:rsidR="00C208F3" w:rsidRDefault="00C208F3" w:rsidP="00A52AEE">
      <w:r w:rsidRPr="00A52AEE">
        <w:t>Changes to the way data is recorded for different academic years requires data cleaning to ensure standardisation of coding and classifications systems. For example, ethnic group classifications changed in 2011 and a decision was taken to map ethnic groups for 2011 to reflect the previous classification system.</w:t>
      </w:r>
    </w:p>
    <w:p w14:paraId="0029A3B4" w14:textId="77777777" w:rsidR="0074535F" w:rsidRPr="00A52AEE" w:rsidRDefault="0074535F" w:rsidP="00A52AEE"/>
    <w:p w14:paraId="46832EB7" w14:textId="361D583A" w:rsidR="00C208F3" w:rsidRPr="00A52AEE" w:rsidRDefault="00C208F3" w:rsidP="00A52AEE">
      <w:r w:rsidRPr="00A52AEE">
        <w:t xml:space="preserve">Learning aim references in the ILR map to over 1,300 learning aim type descriptors and so to enable a meaningful analysis, a ‘programme type’ classification was developed to re-categorise </w:t>
      </w:r>
      <w:r w:rsidRPr="00A52AEE">
        <w:lastRenderedPageBreak/>
        <w:t xml:space="preserve">ILR types into 4 main categories: A </w:t>
      </w:r>
      <w:r w:rsidR="0021637B" w:rsidRPr="00A52AEE">
        <w:t>Level</w:t>
      </w:r>
      <w:r w:rsidRPr="00A52AEE">
        <w:t>, Access to HE, BTEC and Other Vocational (this enabled BTEC qualifications to be distinguished from other certificate and diploma qualifications).</w:t>
      </w:r>
    </w:p>
    <w:p w14:paraId="5421B0D1" w14:textId="77777777" w:rsidR="00873F6A" w:rsidRPr="00A52AEE" w:rsidRDefault="00873F6A" w:rsidP="00A52AEE"/>
    <w:p w14:paraId="31A3EE9C" w14:textId="37BADB32" w:rsidR="00C208F3" w:rsidRPr="00A52AEE" w:rsidRDefault="00455D65" w:rsidP="008D527A">
      <w:pPr>
        <w:pStyle w:val="Heading2"/>
      </w:pPr>
      <w:bookmarkStart w:id="62" w:name="_Toc411437008"/>
      <w:bookmarkStart w:id="63" w:name="_Toc429151302"/>
      <w:r>
        <w:t>3.3</w:t>
      </w:r>
      <w:r w:rsidR="00771DD0">
        <w:tab/>
      </w:r>
      <w:r w:rsidR="00C208F3" w:rsidRPr="00A52AEE">
        <w:t>Linking to the Department for Education Key Stage 4 dataset</w:t>
      </w:r>
      <w:bookmarkEnd w:id="62"/>
      <w:bookmarkEnd w:id="63"/>
    </w:p>
    <w:p w14:paraId="79059F20" w14:textId="2F224FE1" w:rsidR="00C208F3" w:rsidRPr="00A52AEE" w:rsidRDefault="00C208F3" w:rsidP="00A52AEE">
      <w:r w:rsidRPr="00A52AEE">
        <w:t xml:space="preserve">A linked dataset was obtained for the FE </w:t>
      </w:r>
      <w:r w:rsidR="0021637B" w:rsidRPr="00A52AEE">
        <w:t>Level</w:t>
      </w:r>
      <w:r w:rsidRPr="00A52AEE">
        <w:t xml:space="preserve"> 3 cohort from the Department for Education to enable analysis of KS4 attainment in secondary schools. It was expected that KS4 data would not be available for all students in the </w:t>
      </w:r>
      <w:r w:rsidR="0021637B" w:rsidRPr="00A52AEE">
        <w:t>Level</w:t>
      </w:r>
      <w:r w:rsidRPr="00A52AEE">
        <w:t xml:space="preserve"> 3 cohort, for example, non-England students as well as those students who did not attend an institution that is required to report attainment data through the Department for Education.  Due to changes in KS4 data across years, a decision was made to restrict the analysis of the linked set and explore prior attainment for young students (aged </w:t>
      </w:r>
      <w:r w:rsidR="005175E4" w:rsidRPr="00A52AEE">
        <w:t>17-19</w:t>
      </w:r>
      <w:r w:rsidRPr="00A52AEE">
        <w:t xml:space="preserve">) in the latest three FE </w:t>
      </w:r>
      <w:r w:rsidR="0021637B" w:rsidRPr="00A52AEE">
        <w:t>Level</w:t>
      </w:r>
      <w:r w:rsidRPr="00A52AEE">
        <w:t xml:space="preserve"> 3 cohorts: 2009-10, 2010-11 and 2011-12. This ensured optimisation of the attainment records available for the cohort and ensured that the same KS4 indicators were available across the years.</w:t>
      </w:r>
    </w:p>
    <w:p w14:paraId="67B68143" w14:textId="77777777" w:rsidR="00C208F3" w:rsidRPr="00A52AEE" w:rsidRDefault="00C208F3" w:rsidP="00A52AEE">
      <w:r w:rsidRPr="00A52AEE">
        <w:rPr>
          <w:noProof/>
          <w:lang w:eastAsia="en-GB"/>
        </w:rPr>
        <w:drawing>
          <wp:inline distT="0" distB="0" distL="0" distR="0" wp14:anchorId="374E3FF1" wp14:editId="25AA6A35">
            <wp:extent cx="3038475" cy="22383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2E2234" w14:textId="77777777" w:rsidR="00FE68E8" w:rsidRDefault="00FE68E8" w:rsidP="008D527A">
      <w:pPr>
        <w:pStyle w:val="Heading2"/>
      </w:pPr>
      <w:bookmarkStart w:id="64" w:name="_Toc411437009"/>
    </w:p>
    <w:p w14:paraId="5F89E43E" w14:textId="2AF61BEB" w:rsidR="00C208F3" w:rsidRPr="00A52AEE" w:rsidRDefault="00455D65" w:rsidP="008D527A">
      <w:pPr>
        <w:pStyle w:val="Heading2"/>
      </w:pPr>
      <w:bookmarkStart w:id="65" w:name="_Toc429151303"/>
      <w:r>
        <w:t>3.4</w:t>
      </w:r>
      <w:r w:rsidR="00FE68E8">
        <w:tab/>
      </w:r>
      <w:r w:rsidR="00C208F3" w:rsidRPr="00A52AEE">
        <w:t>Tracking HE achievement</w:t>
      </w:r>
      <w:bookmarkEnd w:id="64"/>
      <w:bookmarkEnd w:id="65"/>
    </w:p>
    <w:p w14:paraId="480616DC" w14:textId="77777777" w:rsidR="00C208F3" w:rsidRPr="00A52AEE" w:rsidRDefault="00C208F3" w:rsidP="00A52AEE">
      <w:r w:rsidRPr="00A52AEE">
        <w:t>HESA provided indicators of prescribed HE qualification achievement for those HE programmes funded through universities only.  These flags allow an interrogation of achievement rates in terms of students who enrolled and completed their intended qualification and their attainment (classification).  Achievement rates take into consideration those students who do not achieve their First degree in HE and who complete instead with an Other Undergraduate qualification (e.g. Foundation degree).  Attainment classification is restricted to those students who start and finish their First degree.</w:t>
      </w:r>
    </w:p>
    <w:p w14:paraId="6A6D94EB" w14:textId="77777777" w:rsidR="00F16C89" w:rsidRPr="00A52AEE" w:rsidRDefault="00F16C89" w:rsidP="00A52AEE"/>
    <w:p w14:paraId="2CA7C4D3" w14:textId="77777777" w:rsidR="00C208F3" w:rsidRPr="00A52AEE" w:rsidRDefault="00C208F3" w:rsidP="00A52AEE">
      <w:r w:rsidRPr="00A52AEE">
        <w:rPr>
          <w:b/>
        </w:rPr>
        <w:t>NB</w:t>
      </w:r>
      <w:r w:rsidRPr="00A52AEE">
        <w:t xml:space="preserve">: Achievement for the cohort who undertake HE qualifications in FE has not been included in this report. </w:t>
      </w:r>
    </w:p>
    <w:p w14:paraId="3B369065" w14:textId="77777777" w:rsidR="00C208F3" w:rsidRPr="00A52AEE" w:rsidRDefault="00C208F3" w:rsidP="00A52AEE"/>
    <w:p w14:paraId="62BB56FA" w14:textId="77777777" w:rsidR="00027430" w:rsidRPr="00A52AEE" w:rsidRDefault="00027430" w:rsidP="00A52AEE">
      <w:r w:rsidRPr="00A52AEE">
        <w:br w:type="page"/>
      </w:r>
    </w:p>
    <w:p w14:paraId="077F3974" w14:textId="740B827D" w:rsidR="00027430" w:rsidRPr="00A52AEE" w:rsidRDefault="00771DD0" w:rsidP="009443B2">
      <w:pPr>
        <w:pStyle w:val="Heading1"/>
        <w:numPr>
          <w:ilvl w:val="0"/>
          <w:numId w:val="20"/>
        </w:numPr>
      </w:pPr>
      <w:bookmarkStart w:id="66" w:name="_Toc429151304"/>
      <w:r>
        <w:lastRenderedPageBreak/>
        <w:t>C</w:t>
      </w:r>
      <w:r w:rsidR="00027430" w:rsidRPr="00A52AEE">
        <w:t xml:space="preserve">haracteristics of </w:t>
      </w:r>
      <w:r w:rsidR="00E30B41" w:rsidRPr="00A52AEE">
        <w:t xml:space="preserve">the </w:t>
      </w:r>
      <w:r w:rsidR="00B73561" w:rsidRPr="00A52AEE">
        <w:t xml:space="preserve">London </w:t>
      </w:r>
      <w:r w:rsidR="00E30B41" w:rsidRPr="00A52AEE">
        <w:t>college cohorts</w:t>
      </w:r>
      <w:bookmarkEnd w:id="66"/>
    </w:p>
    <w:p w14:paraId="23E6EBBE" w14:textId="77777777" w:rsidR="00A81E69" w:rsidRPr="00A52AEE" w:rsidRDefault="00A81E69" w:rsidP="00A52AEE"/>
    <w:p w14:paraId="5947A44F" w14:textId="7FB62843" w:rsidR="00A81E69" w:rsidRPr="00A52AEE" w:rsidRDefault="0082463B" w:rsidP="00A52AEE">
      <w:r w:rsidRPr="00A52AEE">
        <w:t>London c</w:t>
      </w:r>
      <w:r w:rsidR="00A81E69" w:rsidRPr="00A52AEE">
        <w:t xml:space="preserve">ollege </w:t>
      </w:r>
      <w:r w:rsidR="0021637B" w:rsidRPr="00A52AEE">
        <w:t>Level</w:t>
      </w:r>
      <w:r w:rsidR="00A81E69" w:rsidRPr="00A52AEE">
        <w:t xml:space="preserve"> 3 students </w:t>
      </w:r>
      <w:r w:rsidR="00F60ABC" w:rsidRPr="00A52AEE">
        <w:t xml:space="preserve">can be described as a </w:t>
      </w:r>
      <w:r w:rsidR="00A81E69" w:rsidRPr="00A52AEE">
        <w:t xml:space="preserve">diverse group of students studying programmes leading to a range of qualifications from traditional academic programmes such as A </w:t>
      </w:r>
      <w:r w:rsidR="0021637B" w:rsidRPr="00A52AEE">
        <w:t>Level</w:t>
      </w:r>
      <w:r w:rsidR="00A81E69" w:rsidRPr="00A52AEE">
        <w:t xml:space="preserve">s to vocational programmes. Students in </w:t>
      </w:r>
      <w:r w:rsidR="0076166E" w:rsidRPr="00A52AEE">
        <w:t>London</w:t>
      </w:r>
      <w:r w:rsidR="00A81E69" w:rsidRPr="00A52AEE">
        <w:t xml:space="preserve"> colleges have a range of characteristics: across all age groups: young students who entered straight from school, students who worked and studied part-time, as well as those who returned to study after some time.  Before examining patterns of progression to higher education, it is helpful to describe the tracked population of </w:t>
      </w:r>
      <w:r w:rsidR="0021637B" w:rsidRPr="00A52AEE">
        <w:t>Level</w:t>
      </w:r>
      <w:r w:rsidR="00A81E69" w:rsidRPr="00A52AEE">
        <w:t xml:space="preserve"> 3 London college students.  It is interesting to see how the profile of students has changed across academic years and this helps set a context from which to interpret trends in patterns of progression. </w:t>
      </w:r>
    </w:p>
    <w:p w14:paraId="1C76F420" w14:textId="77777777" w:rsidR="00A81E69" w:rsidRPr="00A52AEE" w:rsidRDefault="00A81E69" w:rsidP="00A52AEE"/>
    <w:p w14:paraId="2C7743DE" w14:textId="702D4321" w:rsidR="00A81E69" w:rsidRPr="00A52AEE" w:rsidRDefault="00771DD0" w:rsidP="008D527A">
      <w:pPr>
        <w:pStyle w:val="Heading2"/>
      </w:pPr>
      <w:bookmarkStart w:id="67" w:name="_Toc405201380"/>
      <w:bookmarkStart w:id="68" w:name="_Toc411437011"/>
      <w:bookmarkStart w:id="69" w:name="_Toc429151305"/>
      <w:r>
        <w:t>4</w:t>
      </w:r>
      <w:r w:rsidR="00A81E69" w:rsidRPr="00A52AEE">
        <w:t>.1</w:t>
      </w:r>
      <w:r w:rsidR="00A81E69" w:rsidRPr="00A52AEE">
        <w:tab/>
        <w:t>Age</w:t>
      </w:r>
      <w:bookmarkEnd w:id="67"/>
      <w:bookmarkEnd w:id="68"/>
      <w:bookmarkEnd w:id="69"/>
    </w:p>
    <w:p w14:paraId="767354F7" w14:textId="046041A2" w:rsidR="00A81E69" w:rsidRPr="00A52AEE" w:rsidRDefault="00F24239" w:rsidP="00A52AEE">
      <w:r w:rsidRPr="00A52AEE">
        <w:t>The</w:t>
      </w:r>
      <w:r w:rsidR="00A81E69" w:rsidRPr="00A52AEE">
        <w:t xml:space="preserve"> student population increased by </w:t>
      </w:r>
      <w:r w:rsidRPr="00A52AEE">
        <w:t>10</w:t>
      </w:r>
      <w:r w:rsidR="0021637B" w:rsidRPr="00A52AEE">
        <w:t>% between the earliest L</w:t>
      </w:r>
      <w:r w:rsidR="00A81E69" w:rsidRPr="00A52AEE">
        <w:t xml:space="preserve">evel 3 cohort and the last cohort, from around </w:t>
      </w:r>
      <w:r w:rsidRPr="00A52AEE">
        <w:t>42</w:t>
      </w:r>
      <w:r w:rsidR="00842186" w:rsidRPr="00A52AEE">
        <w:t>,</w:t>
      </w:r>
      <w:r w:rsidRPr="00A52AEE">
        <w:t>060</w:t>
      </w:r>
      <w:r w:rsidR="00A81E69" w:rsidRPr="00A52AEE">
        <w:t xml:space="preserve"> in 2007-08, to around </w:t>
      </w:r>
      <w:r w:rsidRPr="00A52AEE">
        <w:t>46</w:t>
      </w:r>
      <w:r w:rsidR="0082463B" w:rsidRPr="00A52AEE">
        <w:t>,</w:t>
      </w:r>
      <w:r w:rsidRPr="00A52AEE">
        <w:t>380</w:t>
      </w:r>
      <w:r w:rsidR="00A81E69" w:rsidRPr="00A52AEE">
        <w:t xml:space="preserve"> in 2011-12.  The age composition of the cohort changed considerably, the numbers of </w:t>
      </w:r>
      <w:r w:rsidR="0021637B" w:rsidRPr="00A52AEE">
        <w:t>Level</w:t>
      </w:r>
      <w:r w:rsidR="00A81E69" w:rsidRPr="00A52AEE">
        <w:t xml:space="preserve"> 3 students</w:t>
      </w:r>
      <w:r w:rsidRPr="00A52AEE">
        <w:t xml:space="preserve"> aged 25+ fell by -20%. This fall mirrors that found nationally although the decrease is lower than that found across England where the age 25+ population fell by </w:t>
      </w:r>
      <w:r w:rsidR="00A81E69" w:rsidRPr="00A52AEE">
        <w:t>-39%. Meanwhile, the number of students under 19 increased by +</w:t>
      </w:r>
      <w:r w:rsidRPr="00A52AEE">
        <w:t>33</w:t>
      </w:r>
      <w:r w:rsidR="00A81E69" w:rsidRPr="00A52AEE">
        <w:t>%</w:t>
      </w:r>
      <w:r w:rsidRPr="00A52AEE">
        <w:t xml:space="preserve"> (this is a lower increase than that found nationally at +46%). Nevertheless, </w:t>
      </w:r>
      <w:r w:rsidR="00A81E69" w:rsidRPr="00A52AEE">
        <w:t xml:space="preserve">by 2011-12, this age group represented </w:t>
      </w:r>
      <w:r w:rsidRPr="00A52AEE">
        <w:t>62</w:t>
      </w:r>
      <w:r w:rsidR="00A81E69" w:rsidRPr="00A52AEE">
        <w:t xml:space="preserve">% of the total compared to 52% in 2007-08.  There were around </w:t>
      </w:r>
      <w:r w:rsidRPr="00A52AEE">
        <w:t>7</w:t>
      </w:r>
      <w:r w:rsidR="0082463B" w:rsidRPr="00A52AEE">
        <w:t>,</w:t>
      </w:r>
      <w:r w:rsidRPr="00A52AEE">
        <w:t>230</w:t>
      </w:r>
      <w:r w:rsidR="00A81E69" w:rsidRPr="00A52AEE">
        <w:t xml:space="preserve"> more young </w:t>
      </w:r>
      <w:r w:rsidR="0021637B" w:rsidRPr="00A52AEE">
        <w:t>Level</w:t>
      </w:r>
      <w:r w:rsidR="00A81E69" w:rsidRPr="00A52AEE">
        <w:t xml:space="preserve"> 3 students in the 2011-12 cohort than the 2007-08 cohort</w:t>
      </w:r>
      <w:r w:rsidR="00F60ABC" w:rsidRPr="00A52AEE">
        <w:t xml:space="preserve"> and over 3</w:t>
      </w:r>
      <w:r w:rsidR="0082463B" w:rsidRPr="00A52AEE">
        <w:t>,</w:t>
      </w:r>
      <w:r w:rsidR="00F60ABC" w:rsidRPr="00A52AEE">
        <w:t>000 less mature students age 25+.</w:t>
      </w:r>
    </w:p>
    <w:p w14:paraId="4ACB4673" w14:textId="77777777" w:rsidR="00873F6A" w:rsidRPr="00A52AEE" w:rsidRDefault="00873F6A" w:rsidP="00A52AEE"/>
    <w:p w14:paraId="614DB2ED" w14:textId="5AA54804" w:rsidR="00A81E69" w:rsidRPr="00305EFC" w:rsidRDefault="00873F6A" w:rsidP="00A52AEE">
      <w:pPr>
        <w:rPr>
          <w:b/>
          <w:lang w:eastAsia="en-GB"/>
        </w:rPr>
      </w:pPr>
      <w:r w:rsidRPr="00305EFC">
        <w:rPr>
          <w:b/>
          <w:lang w:eastAsia="en-GB"/>
        </w:rPr>
        <w:t>Table 1:</w:t>
      </w:r>
      <w:r w:rsidR="00167733" w:rsidRPr="00305EFC">
        <w:rPr>
          <w:b/>
          <w:lang w:eastAsia="en-GB"/>
        </w:rPr>
        <w:t xml:space="preserve"> Breakdown of the Level 3 cohorts </w:t>
      </w:r>
      <w:r w:rsidRPr="00305EFC">
        <w:rPr>
          <w:b/>
          <w:lang w:eastAsia="en-GB"/>
        </w:rPr>
        <w:t>by age</w:t>
      </w:r>
    </w:p>
    <w:p w14:paraId="735A7E38" w14:textId="3D079D6A" w:rsidR="00873F6A" w:rsidRPr="00A52AEE" w:rsidRDefault="0021637B" w:rsidP="00A52AEE">
      <w:pPr>
        <w:rPr>
          <w:lang w:eastAsia="en-GB"/>
        </w:rPr>
      </w:pPr>
      <w:r w:rsidRPr="00A52AEE">
        <w:rPr>
          <w:lang w:eastAsia="en-GB"/>
        </w:rPr>
        <w:tab/>
      </w:r>
    </w:p>
    <w:tbl>
      <w:tblPr>
        <w:tblW w:w="9238" w:type="dxa"/>
        <w:tblInd w:w="108" w:type="dxa"/>
        <w:tblLook w:val="04A0" w:firstRow="1" w:lastRow="0" w:firstColumn="1" w:lastColumn="0" w:noHBand="0" w:noVBand="1"/>
      </w:tblPr>
      <w:tblGrid>
        <w:gridCol w:w="1084"/>
        <w:gridCol w:w="1326"/>
        <w:gridCol w:w="1134"/>
        <w:gridCol w:w="1134"/>
        <w:gridCol w:w="1134"/>
        <w:gridCol w:w="1118"/>
        <w:gridCol w:w="1292"/>
        <w:gridCol w:w="1016"/>
      </w:tblGrid>
      <w:tr w:rsidR="00873F6A" w:rsidRPr="0074535F" w14:paraId="32CD2A48" w14:textId="77777777" w:rsidTr="00DB2D18">
        <w:trPr>
          <w:trHeight w:val="330"/>
        </w:trPr>
        <w:tc>
          <w:tcPr>
            <w:tcW w:w="1084"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738F0CE5" w14:textId="77777777" w:rsidR="00C51CA7" w:rsidRDefault="00C51CA7" w:rsidP="00A52AEE">
            <w:pPr>
              <w:rPr>
                <w:b/>
                <w:color w:val="FFFFFF" w:themeColor="background1"/>
                <w:lang w:eastAsia="en-GB"/>
              </w:rPr>
            </w:pPr>
          </w:p>
          <w:p w14:paraId="08D92C22" w14:textId="77777777" w:rsidR="00A81E69" w:rsidRPr="0074535F" w:rsidRDefault="00A81E69" w:rsidP="00A52AEE">
            <w:pPr>
              <w:rPr>
                <w:b/>
                <w:color w:val="FFFFFF" w:themeColor="background1"/>
                <w:lang w:eastAsia="en-GB"/>
              </w:rPr>
            </w:pPr>
            <w:r w:rsidRPr="0074535F">
              <w:rPr>
                <w:b/>
                <w:color w:val="FFFFFF" w:themeColor="background1"/>
                <w:lang w:eastAsia="en-GB"/>
              </w:rPr>
              <w:t>Age</w:t>
            </w:r>
          </w:p>
        </w:tc>
        <w:tc>
          <w:tcPr>
            <w:tcW w:w="8154" w:type="dxa"/>
            <w:gridSpan w:val="7"/>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0E7ED565" w14:textId="4CB186DF" w:rsidR="00A81E69" w:rsidRPr="0074535F" w:rsidRDefault="00A81E69" w:rsidP="00C51CA7">
            <w:pPr>
              <w:jc w:val="center"/>
              <w:rPr>
                <w:b/>
                <w:color w:val="FFFFFF" w:themeColor="background1"/>
                <w:lang w:eastAsia="en-GB"/>
              </w:rPr>
            </w:pPr>
            <w:r w:rsidRPr="0074535F">
              <w:rPr>
                <w:b/>
                <w:color w:val="FFFFFF" w:themeColor="background1"/>
                <w:lang w:eastAsia="en-GB"/>
              </w:rPr>
              <w:t xml:space="preserve">FE </w:t>
            </w:r>
            <w:r w:rsidR="0021637B" w:rsidRPr="0074535F">
              <w:rPr>
                <w:b/>
                <w:color w:val="FFFFFF" w:themeColor="background1"/>
                <w:lang w:eastAsia="en-GB"/>
              </w:rPr>
              <w:t>Level</w:t>
            </w:r>
            <w:r w:rsidRPr="0074535F">
              <w:rPr>
                <w:b/>
                <w:color w:val="FFFFFF" w:themeColor="background1"/>
                <w:lang w:eastAsia="en-GB"/>
              </w:rPr>
              <w:t xml:space="preserve"> 3 cohort - population tracked</w:t>
            </w:r>
          </w:p>
        </w:tc>
      </w:tr>
      <w:tr w:rsidR="00873F6A" w:rsidRPr="0074535F" w14:paraId="16204246" w14:textId="77777777" w:rsidTr="00DB2D18">
        <w:trPr>
          <w:trHeight w:val="1295"/>
        </w:trPr>
        <w:tc>
          <w:tcPr>
            <w:tcW w:w="1084"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03DBD48A" w14:textId="77777777" w:rsidR="00873F6A" w:rsidRPr="0074535F" w:rsidRDefault="00873F6A" w:rsidP="00A52AEE">
            <w:pPr>
              <w:rPr>
                <w:b/>
                <w:color w:val="FFFFFF" w:themeColor="background1"/>
                <w:lang w:eastAsia="en-GB"/>
              </w:rPr>
            </w:pPr>
          </w:p>
        </w:tc>
        <w:tc>
          <w:tcPr>
            <w:tcW w:w="1326" w:type="dxa"/>
            <w:tcBorders>
              <w:top w:val="nil"/>
              <w:left w:val="single" w:sz="8" w:space="0" w:color="auto"/>
              <w:bottom w:val="single" w:sz="8" w:space="0" w:color="000000"/>
              <w:right w:val="single" w:sz="8" w:space="0" w:color="auto"/>
            </w:tcBorders>
            <w:shd w:val="clear" w:color="auto" w:fill="1F4E79" w:themeFill="accent1" w:themeFillShade="80"/>
            <w:vAlign w:val="center"/>
            <w:hideMark/>
          </w:tcPr>
          <w:p w14:paraId="23757772" w14:textId="77777777" w:rsidR="00873F6A" w:rsidRPr="0074535F" w:rsidRDefault="00873F6A" w:rsidP="00A52AEE">
            <w:pPr>
              <w:rPr>
                <w:b/>
                <w:color w:val="FFFFFF" w:themeColor="background1"/>
                <w:lang w:eastAsia="en-GB"/>
              </w:rPr>
            </w:pPr>
            <w:r w:rsidRPr="0074535F">
              <w:rPr>
                <w:b/>
                <w:color w:val="FFFFFF" w:themeColor="background1"/>
                <w:lang w:eastAsia="en-GB"/>
              </w:rPr>
              <w:t>2007-08</w:t>
            </w:r>
          </w:p>
        </w:tc>
        <w:tc>
          <w:tcPr>
            <w:tcW w:w="1134" w:type="dxa"/>
            <w:tcBorders>
              <w:top w:val="nil"/>
              <w:left w:val="single" w:sz="8" w:space="0" w:color="auto"/>
              <w:bottom w:val="single" w:sz="8" w:space="0" w:color="000000"/>
              <w:right w:val="single" w:sz="8" w:space="0" w:color="auto"/>
            </w:tcBorders>
            <w:shd w:val="clear" w:color="auto" w:fill="1F4E79" w:themeFill="accent1" w:themeFillShade="80"/>
            <w:vAlign w:val="center"/>
            <w:hideMark/>
          </w:tcPr>
          <w:p w14:paraId="6C740490" w14:textId="77777777" w:rsidR="00873F6A" w:rsidRPr="0074535F" w:rsidRDefault="00873F6A" w:rsidP="00A52AEE">
            <w:pPr>
              <w:rPr>
                <w:b/>
                <w:color w:val="FFFFFF" w:themeColor="background1"/>
                <w:lang w:eastAsia="en-GB"/>
              </w:rPr>
            </w:pPr>
            <w:r w:rsidRPr="0074535F">
              <w:rPr>
                <w:b/>
                <w:color w:val="FFFFFF" w:themeColor="background1"/>
                <w:lang w:eastAsia="en-GB"/>
              </w:rPr>
              <w:t>2008-09</w:t>
            </w:r>
          </w:p>
        </w:tc>
        <w:tc>
          <w:tcPr>
            <w:tcW w:w="1134" w:type="dxa"/>
            <w:tcBorders>
              <w:top w:val="nil"/>
              <w:left w:val="single" w:sz="8" w:space="0" w:color="auto"/>
              <w:bottom w:val="single" w:sz="8" w:space="0" w:color="000000"/>
              <w:right w:val="single" w:sz="8" w:space="0" w:color="auto"/>
            </w:tcBorders>
            <w:shd w:val="clear" w:color="auto" w:fill="1F4E79" w:themeFill="accent1" w:themeFillShade="80"/>
            <w:vAlign w:val="center"/>
            <w:hideMark/>
          </w:tcPr>
          <w:p w14:paraId="39DFF256" w14:textId="77777777" w:rsidR="00873F6A" w:rsidRPr="0074535F" w:rsidRDefault="00873F6A" w:rsidP="00A52AEE">
            <w:pPr>
              <w:rPr>
                <w:b/>
                <w:color w:val="FFFFFF" w:themeColor="background1"/>
                <w:lang w:eastAsia="en-GB"/>
              </w:rPr>
            </w:pPr>
            <w:r w:rsidRPr="0074535F">
              <w:rPr>
                <w:b/>
                <w:color w:val="FFFFFF" w:themeColor="background1"/>
                <w:lang w:eastAsia="en-GB"/>
              </w:rPr>
              <w:t>2009-10</w:t>
            </w:r>
          </w:p>
        </w:tc>
        <w:tc>
          <w:tcPr>
            <w:tcW w:w="1134" w:type="dxa"/>
            <w:tcBorders>
              <w:top w:val="nil"/>
              <w:left w:val="single" w:sz="8" w:space="0" w:color="auto"/>
              <w:bottom w:val="single" w:sz="8" w:space="0" w:color="000000"/>
              <w:right w:val="single" w:sz="8" w:space="0" w:color="auto"/>
            </w:tcBorders>
            <w:shd w:val="clear" w:color="auto" w:fill="1F4E79" w:themeFill="accent1" w:themeFillShade="80"/>
            <w:vAlign w:val="center"/>
            <w:hideMark/>
          </w:tcPr>
          <w:p w14:paraId="5F60A7FB" w14:textId="77777777" w:rsidR="00873F6A" w:rsidRPr="0074535F" w:rsidRDefault="00873F6A" w:rsidP="00A52AEE">
            <w:pPr>
              <w:rPr>
                <w:b/>
                <w:color w:val="FFFFFF" w:themeColor="background1"/>
                <w:lang w:eastAsia="en-GB"/>
              </w:rPr>
            </w:pPr>
            <w:r w:rsidRPr="0074535F">
              <w:rPr>
                <w:b/>
                <w:color w:val="FFFFFF" w:themeColor="background1"/>
                <w:lang w:eastAsia="en-GB"/>
              </w:rPr>
              <w:t>2010-11</w:t>
            </w:r>
          </w:p>
        </w:tc>
        <w:tc>
          <w:tcPr>
            <w:tcW w:w="1118" w:type="dxa"/>
            <w:tcBorders>
              <w:top w:val="nil"/>
              <w:left w:val="single" w:sz="8" w:space="0" w:color="auto"/>
              <w:bottom w:val="single" w:sz="8" w:space="0" w:color="000000"/>
              <w:right w:val="single" w:sz="8" w:space="0" w:color="auto"/>
            </w:tcBorders>
            <w:shd w:val="clear" w:color="auto" w:fill="1F4E79" w:themeFill="accent1" w:themeFillShade="80"/>
            <w:vAlign w:val="center"/>
            <w:hideMark/>
          </w:tcPr>
          <w:p w14:paraId="1A1920C0" w14:textId="77777777" w:rsidR="00873F6A" w:rsidRPr="0074535F" w:rsidRDefault="00873F6A" w:rsidP="00A52AEE">
            <w:pPr>
              <w:rPr>
                <w:b/>
                <w:color w:val="FFFFFF" w:themeColor="background1"/>
                <w:lang w:eastAsia="en-GB"/>
              </w:rPr>
            </w:pPr>
            <w:r w:rsidRPr="0074535F">
              <w:rPr>
                <w:b/>
                <w:color w:val="FFFFFF" w:themeColor="background1"/>
                <w:lang w:eastAsia="en-GB"/>
              </w:rPr>
              <w:t>2011-12</w:t>
            </w:r>
          </w:p>
        </w:tc>
        <w:tc>
          <w:tcPr>
            <w:tcW w:w="1292" w:type="dxa"/>
            <w:tcBorders>
              <w:top w:val="nil"/>
              <w:left w:val="nil"/>
              <w:right w:val="single" w:sz="8" w:space="0" w:color="auto"/>
            </w:tcBorders>
            <w:shd w:val="clear" w:color="auto" w:fill="1F4E79" w:themeFill="accent1" w:themeFillShade="80"/>
            <w:vAlign w:val="center"/>
            <w:hideMark/>
          </w:tcPr>
          <w:p w14:paraId="510A340D" w14:textId="08DE8A4B" w:rsidR="00873F6A" w:rsidRPr="0074535F" w:rsidRDefault="00873F6A" w:rsidP="00A52AEE">
            <w:pPr>
              <w:rPr>
                <w:b/>
                <w:color w:val="FFFFFF" w:themeColor="background1"/>
                <w:lang w:eastAsia="en-GB"/>
              </w:rPr>
            </w:pPr>
            <w:r w:rsidRPr="0074535F">
              <w:rPr>
                <w:b/>
                <w:color w:val="FFFFFF" w:themeColor="background1"/>
                <w:lang w:eastAsia="en-GB"/>
              </w:rPr>
              <w:t>Difference 2007 to 2011</w:t>
            </w:r>
          </w:p>
        </w:tc>
        <w:tc>
          <w:tcPr>
            <w:tcW w:w="1016" w:type="dxa"/>
            <w:tcBorders>
              <w:top w:val="nil"/>
              <w:left w:val="single" w:sz="8" w:space="0" w:color="auto"/>
              <w:bottom w:val="single" w:sz="8" w:space="0" w:color="000000"/>
              <w:right w:val="single" w:sz="8" w:space="0" w:color="auto"/>
            </w:tcBorders>
            <w:shd w:val="clear" w:color="auto" w:fill="1F4E79" w:themeFill="accent1" w:themeFillShade="80"/>
            <w:noWrap/>
            <w:vAlign w:val="center"/>
            <w:hideMark/>
          </w:tcPr>
          <w:p w14:paraId="0F7BA972" w14:textId="77777777" w:rsidR="00873F6A" w:rsidRPr="0074535F" w:rsidRDefault="00873F6A" w:rsidP="00A52AEE">
            <w:pPr>
              <w:rPr>
                <w:b/>
                <w:color w:val="FFFFFF" w:themeColor="background1"/>
                <w:lang w:eastAsia="en-GB"/>
              </w:rPr>
            </w:pPr>
            <w:r w:rsidRPr="0074535F">
              <w:rPr>
                <w:b/>
                <w:color w:val="FFFFFF" w:themeColor="background1"/>
                <w:lang w:eastAsia="en-GB"/>
              </w:rPr>
              <w:t>% growth</w:t>
            </w:r>
          </w:p>
        </w:tc>
      </w:tr>
      <w:tr w:rsidR="00AE31DC" w:rsidRPr="00A52AEE" w14:paraId="7A1A3578" w14:textId="77777777" w:rsidTr="00DB2D18">
        <w:trPr>
          <w:trHeight w:val="330"/>
        </w:trPr>
        <w:tc>
          <w:tcPr>
            <w:tcW w:w="1084" w:type="dxa"/>
            <w:tcBorders>
              <w:top w:val="nil"/>
              <w:left w:val="single" w:sz="8" w:space="0" w:color="auto"/>
              <w:bottom w:val="single" w:sz="8" w:space="0" w:color="auto"/>
              <w:right w:val="single" w:sz="8" w:space="0" w:color="auto"/>
            </w:tcBorders>
            <w:shd w:val="clear" w:color="000000" w:fill="FFFFFF"/>
            <w:noWrap/>
            <w:vAlign w:val="center"/>
            <w:hideMark/>
          </w:tcPr>
          <w:p w14:paraId="2863C7F3" w14:textId="77777777" w:rsidR="00AE31DC" w:rsidRPr="00A52AEE" w:rsidRDefault="00AE31DC" w:rsidP="00A52AEE">
            <w:pPr>
              <w:rPr>
                <w:lang w:eastAsia="en-GB"/>
              </w:rPr>
            </w:pPr>
            <w:r w:rsidRPr="00A52AEE">
              <w:rPr>
                <w:lang w:eastAsia="en-GB"/>
              </w:rPr>
              <w:t>17-19</w:t>
            </w:r>
          </w:p>
        </w:tc>
        <w:tc>
          <w:tcPr>
            <w:tcW w:w="1326" w:type="dxa"/>
            <w:tcBorders>
              <w:top w:val="nil"/>
              <w:left w:val="nil"/>
              <w:bottom w:val="single" w:sz="8" w:space="0" w:color="auto"/>
              <w:right w:val="single" w:sz="8" w:space="0" w:color="auto"/>
            </w:tcBorders>
            <w:shd w:val="clear" w:color="auto" w:fill="auto"/>
            <w:noWrap/>
            <w:vAlign w:val="center"/>
            <w:hideMark/>
          </w:tcPr>
          <w:p w14:paraId="16FA6D67" w14:textId="77777777" w:rsidR="00AE31DC" w:rsidRPr="00A52AEE" w:rsidRDefault="00AE31DC" w:rsidP="00FE68E8">
            <w:pPr>
              <w:jc w:val="right"/>
              <w:rPr>
                <w:lang w:eastAsia="en-GB"/>
              </w:rPr>
            </w:pPr>
            <w:r w:rsidRPr="00A52AEE">
              <w:rPr>
                <w:lang w:eastAsia="en-GB"/>
              </w:rPr>
              <w:t>21665</w:t>
            </w:r>
          </w:p>
        </w:tc>
        <w:tc>
          <w:tcPr>
            <w:tcW w:w="1134" w:type="dxa"/>
            <w:tcBorders>
              <w:top w:val="nil"/>
              <w:left w:val="nil"/>
              <w:bottom w:val="single" w:sz="8" w:space="0" w:color="auto"/>
              <w:right w:val="single" w:sz="8" w:space="0" w:color="auto"/>
            </w:tcBorders>
            <w:shd w:val="clear" w:color="auto" w:fill="auto"/>
            <w:noWrap/>
            <w:vAlign w:val="center"/>
            <w:hideMark/>
          </w:tcPr>
          <w:p w14:paraId="2043BDC5" w14:textId="77777777" w:rsidR="00AE31DC" w:rsidRPr="00A52AEE" w:rsidRDefault="00AE31DC" w:rsidP="00FE68E8">
            <w:pPr>
              <w:jc w:val="right"/>
              <w:rPr>
                <w:lang w:eastAsia="en-GB"/>
              </w:rPr>
            </w:pPr>
            <w:r w:rsidRPr="00A52AEE">
              <w:rPr>
                <w:lang w:eastAsia="en-GB"/>
              </w:rPr>
              <w:t>21105</w:t>
            </w:r>
          </w:p>
        </w:tc>
        <w:tc>
          <w:tcPr>
            <w:tcW w:w="1134" w:type="dxa"/>
            <w:tcBorders>
              <w:top w:val="nil"/>
              <w:left w:val="nil"/>
              <w:bottom w:val="single" w:sz="8" w:space="0" w:color="auto"/>
              <w:right w:val="single" w:sz="8" w:space="0" w:color="auto"/>
            </w:tcBorders>
            <w:shd w:val="clear" w:color="auto" w:fill="auto"/>
            <w:noWrap/>
            <w:vAlign w:val="center"/>
            <w:hideMark/>
          </w:tcPr>
          <w:p w14:paraId="61D3EEA1" w14:textId="77777777" w:rsidR="00AE31DC" w:rsidRPr="00A52AEE" w:rsidRDefault="00AE31DC" w:rsidP="00FE68E8">
            <w:pPr>
              <w:jc w:val="right"/>
              <w:rPr>
                <w:lang w:eastAsia="en-GB"/>
              </w:rPr>
            </w:pPr>
            <w:r w:rsidRPr="00A52AEE">
              <w:rPr>
                <w:lang w:eastAsia="en-GB"/>
              </w:rPr>
              <w:t>22415</w:t>
            </w:r>
          </w:p>
        </w:tc>
        <w:tc>
          <w:tcPr>
            <w:tcW w:w="1134" w:type="dxa"/>
            <w:tcBorders>
              <w:top w:val="nil"/>
              <w:left w:val="nil"/>
              <w:bottom w:val="single" w:sz="8" w:space="0" w:color="auto"/>
              <w:right w:val="single" w:sz="8" w:space="0" w:color="auto"/>
            </w:tcBorders>
            <w:shd w:val="clear" w:color="auto" w:fill="auto"/>
            <w:noWrap/>
            <w:vAlign w:val="center"/>
            <w:hideMark/>
          </w:tcPr>
          <w:p w14:paraId="1A767BF2" w14:textId="77777777" w:rsidR="00AE31DC" w:rsidRPr="00A52AEE" w:rsidRDefault="00AE31DC" w:rsidP="00FE68E8">
            <w:pPr>
              <w:jc w:val="right"/>
              <w:rPr>
                <w:lang w:eastAsia="en-GB"/>
              </w:rPr>
            </w:pPr>
            <w:r w:rsidRPr="00A52AEE">
              <w:rPr>
                <w:lang w:eastAsia="en-GB"/>
              </w:rPr>
              <w:t>23855</w:t>
            </w:r>
          </w:p>
        </w:tc>
        <w:tc>
          <w:tcPr>
            <w:tcW w:w="1118" w:type="dxa"/>
            <w:tcBorders>
              <w:top w:val="nil"/>
              <w:left w:val="nil"/>
              <w:bottom w:val="single" w:sz="8" w:space="0" w:color="auto"/>
              <w:right w:val="single" w:sz="8" w:space="0" w:color="auto"/>
            </w:tcBorders>
            <w:shd w:val="clear" w:color="auto" w:fill="auto"/>
            <w:noWrap/>
            <w:vAlign w:val="center"/>
            <w:hideMark/>
          </w:tcPr>
          <w:p w14:paraId="4E7DA424" w14:textId="77777777" w:rsidR="00AE31DC" w:rsidRPr="00A52AEE" w:rsidRDefault="00AE31DC" w:rsidP="00FE68E8">
            <w:pPr>
              <w:jc w:val="right"/>
              <w:rPr>
                <w:lang w:eastAsia="en-GB"/>
              </w:rPr>
            </w:pPr>
            <w:r w:rsidRPr="00A52AEE">
              <w:rPr>
                <w:lang w:eastAsia="en-GB"/>
              </w:rPr>
              <w:t>28900</w:t>
            </w:r>
          </w:p>
        </w:tc>
        <w:tc>
          <w:tcPr>
            <w:tcW w:w="1292" w:type="dxa"/>
            <w:tcBorders>
              <w:top w:val="nil"/>
              <w:left w:val="nil"/>
              <w:bottom w:val="single" w:sz="8" w:space="0" w:color="auto"/>
              <w:right w:val="single" w:sz="8" w:space="0" w:color="auto"/>
            </w:tcBorders>
            <w:shd w:val="clear" w:color="auto" w:fill="auto"/>
            <w:noWrap/>
            <w:vAlign w:val="center"/>
            <w:hideMark/>
          </w:tcPr>
          <w:p w14:paraId="450EDFE1" w14:textId="2D751389" w:rsidR="00AE31DC" w:rsidRPr="00A52AEE" w:rsidRDefault="00AE31DC" w:rsidP="00FE68E8">
            <w:pPr>
              <w:jc w:val="right"/>
              <w:rPr>
                <w:rFonts w:eastAsia="Times New Roman"/>
                <w:sz w:val="22"/>
                <w:lang w:eastAsia="en-GB"/>
              </w:rPr>
            </w:pPr>
            <w:r w:rsidRPr="00A52AEE">
              <w:t>7235</w:t>
            </w:r>
          </w:p>
        </w:tc>
        <w:tc>
          <w:tcPr>
            <w:tcW w:w="1016" w:type="dxa"/>
            <w:tcBorders>
              <w:top w:val="nil"/>
              <w:left w:val="nil"/>
              <w:bottom w:val="single" w:sz="8" w:space="0" w:color="auto"/>
              <w:right w:val="single" w:sz="8" w:space="0" w:color="auto"/>
            </w:tcBorders>
            <w:shd w:val="clear" w:color="auto" w:fill="auto"/>
            <w:noWrap/>
            <w:vAlign w:val="center"/>
            <w:hideMark/>
          </w:tcPr>
          <w:p w14:paraId="66AF9CAB" w14:textId="77777777" w:rsidR="00AE31DC" w:rsidRPr="00A52AEE" w:rsidRDefault="00AE31DC" w:rsidP="00FE68E8">
            <w:pPr>
              <w:jc w:val="right"/>
              <w:rPr>
                <w:lang w:eastAsia="en-GB"/>
              </w:rPr>
            </w:pPr>
            <w:r w:rsidRPr="00A52AEE">
              <w:rPr>
                <w:lang w:eastAsia="en-GB"/>
              </w:rPr>
              <w:t>33%</w:t>
            </w:r>
          </w:p>
        </w:tc>
      </w:tr>
      <w:tr w:rsidR="00AE31DC" w:rsidRPr="00A52AEE" w14:paraId="6B8F5B04" w14:textId="77777777" w:rsidTr="00DB2D18">
        <w:trPr>
          <w:trHeight w:val="330"/>
        </w:trPr>
        <w:tc>
          <w:tcPr>
            <w:tcW w:w="1084" w:type="dxa"/>
            <w:tcBorders>
              <w:top w:val="nil"/>
              <w:left w:val="single" w:sz="8" w:space="0" w:color="auto"/>
              <w:bottom w:val="single" w:sz="8" w:space="0" w:color="auto"/>
              <w:right w:val="single" w:sz="8" w:space="0" w:color="auto"/>
            </w:tcBorders>
            <w:shd w:val="clear" w:color="000000" w:fill="FFFFFF"/>
            <w:noWrap/>
            <w:vAlign w:val="center"/>
            <w:hideMark/>
          </w:tcPr>
          <w:p w14:paraId="5A822544" w14:textId="77777777" w:rsidR="00AE31DC" w:rsidRPr="00A52AEE" w:rsidRDefault="00AE31DC" w:rsidP="00A52AEE">
            <w:pPr>
              <w:rPr>
                <w:lang w:eastAsia="en-GB"/>
              </w:rPr>
            </w:pPr>
            <w:r w:rsidRPr="00A52AEE">
              <w:rPr>
                <w:lang w:eastAsia="en-GB"/>
              </w:rPr>
              <w:t>20-24</w:t>
            </w:r>
          </w:p>
        </w:tc>
        <w:tc>
          <w:tcPr>
            <w:tcW w:w="1326" w:type="dxa"/>
            <w:tcBorders>
              <w:top w:val="nil"/>
              <w:left w:val="nil"/>
              <w:bottom w:val="single" w:sz="8" w:space="0" w:color="auto"/>
              <w:right w:val="single" w:sz="8" w:space="0" w:color="auto"/>
            </w:tcBorders>
            <w:shd w:val="clear" w:color="auto" w:fill="auto"/>
            <w:noWrap/>
            <w:vAlign w:val="center"/>
            <w:hideMark/>
          </w:tcPr>
          <w:p w14:paraId="4DDC9877" w14:textId="77777777" w:rsidR="00AE31DC" w:rsidRPr="00A52AEE" w:rsidRDefault="00AE31DC" w:rsidP="00FE68E8">
            <w:pPr>
              <w:jc w:val="right"/>
              <w:rPr>
                <w:lang w:eastAsia="en-GB"/>
              </w:rPr>
            </w:pPr>
            <w:r w:rsidRPr="00A52AEE">
              <w:rPr>
                <w:lang w:eastAsia="en-GB"/>
              </w:rPr>
              <w:t>4910</w:t>
            </w:r>
          </w:p>
        </w:tc>
        <w:tc>
          <w:tcPr>
            <w:tcW w:w="1134" w:type="dxa"/>
            <w:tcBorders>
              <w:top w:val="nil"/>
              <w:left w:val="nil"/>
              <w:bottom w:val="single" w:sz="8" w:space="0" w:color="auto"/>
              <w:right w:val="single" w:sz="8" w:space="0" w:color="auto"/>
            </w:tcBorders>
            <w:shd w:val="clear" w:color="auto" w:fill="auto"/>
            <w:noWrap/>
            <w:vAlign w:val="center"/>
            <w:hideMark/>
          </w:tcPr>
          <w:p w14:paraId="22D1E340" w14:textId="77777777" w:rsidR="00AE31DC" w:rsidRPr="00A52AEE" w:rsidRDefault="00AE31DC" w:rsidP="00FE68E8">
            <w:pPr>
              <w:jc w:val="right"/>
              <w:rPr>
                <w:lang w:eastAsia="en-GB"/>
              </w:rPr>
            </w:pPr>
            <w:r w:rsidRPr="00A52AEE">
              <w:rPr>
                <w:lang w:eastAsia="en-GB"/>
              </w:rPr>
              <w:t>5180</w:t>
            </w:r>
          </w:p>
        </w:tc>
        <w:tc>
          <w:tcPr>
            <w:tcW w:w="1134" w:type="dxa"/>
            <w:tcBorders>
              <w:top w:val="nil"/>
              <w:left w:val="nil"/>
              <w:bottom w:val="single" w:sz="8" w:space="0" w:color="auto"/>
              <w:right w:val="single" w:sz="8" w:space="0" w:color="auto"/>
            </w:tcBorders>
            <w:shd w:val="clear" w:color="auto" w:fill="auto"/>
            <w:noWrap/>
            <w:vAlign w:val="center"/>
            <w:hideMark/>
          </w:tcPr>
          <w:p w14:paraId="6907D5CE" w14:textId="77777777" w:rsidR="00AE31DC" w:rsidRPr="00A52AEE" w:rsidRDefault="00AE31DC" w:rsidP="00FE68E8">
            <w:pPr>
              <w:jc w:val="right"/>
              <w:rPr>
                <w:lang w:eastAsia="en-GB"/>
              </w:rPr>
            </w:pPr>
            <w:r w:rsidRPr="00A52AEE">
              <w:rPr>
                <w:lang w:eastAsia="en-GB"/>
              </w:rPr>
              <w:t>5545</w:t>
            </w:r>
          </w:p>
        </w:tc>
        <w:tc>
          <w:tcPr>
            <w:tcW w:w="1134" w:type="dxa"/>
            <w:tcBorders>
              <w:top w:val="nil"/>
              <w:left w:val="nil"/>
              <w:bottom w:val="single" w:sz="8" w:space="0" w:color="auto"/>
              <w:right w:val="single" w:sz="8" w:space="0" w:color="auto"/>
            </w:tcBorders>
            <w:shd w:val="clear" w:color="auto" w:fill="auto"/>
            <w:noWrap/>
            <w:vAlign w:val="center"/>
            <w:hideMark/>
          </w:tcPr>
          <w:p w14:paraId="6CA22B95" w14:textId="77777777" w:rsidR="00AE31DC" w:rsidRPr="00A52AEE" w:rsidRDefault="00AE31DC" w:rsidP="00FE68E8">
            <w:pPr>
              <w:jc w:val="right"/>
              <w:rPr>
                <w:lang w:eastAsia="en-GB"/>
              </w:rPr>
            </w:pPr>
            <w:r w:rsidRPr="00A52AEE">
              <w:rPr>
                <w:lang w:eastAsia="en-GB"/>
              </w:rPr>
              <w:t>5055</w:t>
            </w:r>
          </w:p>
        </w:tc>
        <w:tc>
          <w:tcPr>
            <w:tcW w:w="1118" w:type="dxa"/>
            <w:tcBorders>
              <w:top w:val="nil"/>
              <w:left w:val="nil"/>
              <w:bottom w:val="single" w:sz="8" w:space="0" w:color="auto"/>
              <w:right w:val="single" w:sz="8" w:space="0" w:color="auto"/>
            </w:tcBorders>
            <w:shd w:val="clear" w:color="auto" w:fill="auto"/>
            <w:noWrap/>
            <w:vAlign w:val="center"/>
            <w:hideMark/>
          </w:tcPr>
          <w:p w14:paraId="246ED49D" w14:textId="77777777" w:rsidR="00AE31DC" w:rsidRPr="00A52AEE" w:rsidRDefault="00AE31DC" w:rsidP="00FE68E8">
            <w:pPr>
              <w:jc w:val="right"/>
              <w:rPr>
                <w:lang w:eastAsia="en-GB"/>
              </w:rPr>
            </w:pPr>
            <w:r w:rsidRPr="00A52AEE">
              <w:rPr>
                <w:lang w:eastAsia="en-GB"/>
              </w:rPr>
              <w:t>5055</w:t>
            </w:r>
          </w:p>
        </w:tc>
        <w:tc>
          <w:tcPr>
            <w:tcW w:w="1292" w:type="dxa"/>
            <w:tcBorders>
              <w:top w:val="nil"/>
              <w:left w:val="nil"/>
              <w:bottom w:val="single" w:sz="8" w:space="0" w:color="auto"/>
              <w:right w:val="single" w:sz="8" w:space="0" w:color="auto"/>
            </w:tcBorders>
            <w:shd w:val="clear" w:color="auto" w:fill="auto"/>
            <w:noWrap/>
            <w:vAlign w:val="center"/>
            <w:hideMark/>
          </w:tcPr>
          <w:p w14:paraId="4ADF4AA6" w14:textId="339848A5" w:rsidR="00AE31DC" w:rsidRPr="00A52AEE" w:rsidRDefault="00AE31DC" w:rsidP="00FE68E8">
            <w:pPr>
              <w:jc w:val="right"/>
              <w:rPr>
                <w:rFonts w:eastAsia="Times New Roman"/>
                <w:sz w:val="22"/>
                <w:lang w:eastAsia="en-GB"/>
              </w:rPr>
            </w:pPr>
            <w:r w:rsidRPr="00A52AEE">
              <w:t>145</w:t>
            </w:r>
          </w:p>
        </w:tc>
        <w:tc>
          <w:tcPr>
            <w:tcW w:w="1016" w:type="dxa"/>
            <w:tcBorders>
              <w:top w:val="nil"/>
              <w:left w:val="nil"/>
              <w:bottom w:val="single" w:sz="8" w:space="0" w:color="auto"/>
              <w:right w:val="single" w:sz="8" w:space="0" w:color="auto"/>
            </w:tcBorders>
            <w:shd w:val="clear" w:color="auto" w:fill="auto"/>
            <w:noWrap/>
            <w:vAlign w:val="center"/>
            <w:hideMark/>
          </w:tcPr>
          <w:p w14:paraId="733FA44F" w14:textId="77777777" w:rsidR="00AE31DC" w:rsidRPr="00A52AEE" w:rsidRDefault="00AE31DC" w:rsidP="00FE68E8">
            <w:pPr>
              <w:jc w:val="right"/>
              <w:rPr>
                <w:lang w:eastAsia="en-GB"/>
              </w:rPr>
            </w:pPr>
            <w:r w:rsidRPr="00A52AEE">
              <w:rPr>
                <w:lang w:eastAsia="en-GB"/>
              </w:rPr>
              <w:t>3%</w:t>
            </w:r>
          </w:p>
        </w:tc>
      </w:tr>
      <w:tr w:rsidR="00AE31DC" w:rsidRPr="00A52AEE" w14:paraId="3B47AD8F" w14:textId="77777777" w:rsidTr="00DB2D18">
        <w:trPr>
          <w:trHeight w:val="330"/>
        </w:trPr>
        <w:tc>
          <w:tcPr>
            <w:tcW w:w="1084" w:type="dxa"/>
            <w:tcBorders>
              <w:top w:val="nil"/>
              <w:left w:val="single" w:sz="8" w:space="0" w:color="auto"/>
              <w:bottom w:val="single" w:sz="8" w:space="0" w:color="auto"/>
              <w:right w:val="single" w:sz="8" w:space="0" w:color="auto"/>
            </w:tcBorders>
            <w:shd w:val="clear" w:color="000000" w:fill="FFFFFF"/>
            <w:noWrap/>
            <w:vAlign w:val="center"/>
            <w:hideMark/>
          </w:tcPr>
          <w:p w14:paraId="75A38D14" w14:textId="172B8778" w:rsidR="00AE31DC" w:rsidRPr="00A52AEE" w:rsidRDefault="0082463B" w:rsidP="00A52AEE">
            <w:pPr>
              <w:rPr>
                <w:lang w:eastAsia="en-GB"/>
              </w:rPr>
            </w:pPr>
            <w:r w:rsidRPr="00A52AEE">
              <w:rPr>
                <w:lang w:eastAsia="en-GB"/>
              </w:rPr>
              <w:t>25+</w:t>
            </w:r>
          </w:p>
        </w:tc>
        <w:tc>
          <w:tcPr>
            <w:tcW w:w="1326" w:type="dxa"/>
            <w:tcBorders>
              <w:top w:val="nil"/>
              <w:left w:val="nil"/>
              <w:bottom w:val="single" w:sz="8" w:space="0" w:color="auto"/>
              <w:right w:val="single" w:sz="8" w:space="0" w:color="auto"/>
            </w:tcBorders>
            <w:shd w:val="clear" w:color="auto" w:fill="auto"/>
            <w:noWrap/>
            <w:vAlign w:val="center"/>
            <w:hideMark/>
          </w:tcPr>
          <w:p w14:paraId="1E68365F" w14:textId="77777777" w:rsidR="00AE31DC" w:rsidRPr="00A52AEE" w:rsidRDefault="00AE31DC" w:rsidP="00FE68E8">
            <w:pPr>
              <w:jc w:val="right"/>
              <w:rPr>
                <w:lang w:eastAsia="en-GB"/>
              </w:rPr>
            </w:pPr>
            <w:r w:rsidRPr="00A52AEE">
              <w:rPr>
                <w:lang w:eastAsia="en-GB"/>
              </w:rPr>
              <w:t>15485</w:t>
            </w:r>
          </w:p>
        </w:tc>
        <w:tc>
          <w:tcPr>
            <w:tcW w:w="1134" w:type="dxa"/>
            <w:tcBorders>
              <w:top w:val="nil"/>
              <w:left w:val="nil"/>
              <w:bottom w:val="single" w:sz="8" w:space="0" w:color="auto"/>
              <w:right w:val="single" w:sz="8" w:space="0" w:color="auto"/>
            </w:tcBorders>
            <w:shd w:val="clear" w:color="auto" w:fill="auto"/>
            <w:noWrap/>
            <w:vAlign w:val="center"/>
            <w:hideMark/>
          </w:tcPr>
          <w:p w14:paraId="1EFAA8F7" w14:textId="77777777" w:rsidR="00AE31DC" w:rsidRPr="00A52AEE" w:rsidRDefault="00AE31DC" w:rsidP="00FE68E8">
            <w:pPr>
              <w:jc w:val="right"/>
              <w:rPr>
                <w:lang w:eastAsia="en-GB"/>
              </w:rPr>
            </w:pPr>
            <w:r w:rsidRPr="00A52AEE">
              <w:rPr>
                <w:lang w:eastAsia="en-GB"/>
              </w:rPr>
              <w:t>17855</w:t>
            </w:r>
          </w:p>
        </w:tc>
        <w:tc>
          <w:tcPr>
            <w:tcW w:w="1134" w:type="dxa"/>
            <w:tcBorders>
              <w:top w:val="nil"/>
              <w:left w:val="nil"/>
              <w:bottom w:val="single" w:sz="8" w:space="0" w:color="auto"/>
              <w:right w:val="single" w:sz="8" w:space="0" w:color="auto"/>
            </w:tcBorders>
            <w:shd w:val="clear" w:color="auto" w:fill="auto"/>
            <w:noWrap/>
            <w:vAlign w:val="center"/>
            <w:hideMark/>
          </w:tcPr>
          <w:p w14:paraId="1130C607" w14:textId="77777777" w:rsidR="00AE31DC" w:rsidRPr="00A52AEE" w:rsidRDefault="00AE31DC" w:rsidP="00FE68E8">
            <w:pPr>
              <w:jc w:val="right"/>
              <w:rPr>
                <w:lang w:eastAsia="en-GB"/>
              </w:rPr>
            </w:pPr>
            <w:r w:rsidRPr="00A52AEE">
              <w:rPr>
                <w:lang w:eastAsia="en-GB"/>
              </w:rPr>
              <w:t>18125</w:t>
            </w:r>
          </w:p>
        </w:tc>
        <w:tc>
          <w:tcPr>
            <w:tcW w:w="1134" w:type="dxa"/>
            <w:tcBorders>
              <w:top w:val="nil"/>
              <w:left w:val="nil"/>
              <w:bottom w:val="single" w:sz="8" w:space="0" w:color="auto"/>
              <w:right w:val="single" w:sz="8" w:space="0" w:color="auto"/>
            </w:tcBorders>
            <w:shd w:val="clear" w:color="auto" w:fill="auto"/>
            <w:noWrap/>
            <w:vAlign w:val="center"/>
            <w:hideMark/>
          </w:tcPr>
          <w:p w14:paraId="1729BA29" w14:textId="77777777" w:rsidR="00AE31DC" w:rsidRPr="00A52AEE" w:rsidRDefault="00AE31DC" w:rsidP="00FE68E8">
            <w:pPr>
              <w:jc w:val="right"/>
              <w:rPr>
                <w:lang w:eastAsia="en-GB"/>
              </w:rPr>
            </w:pPr>
            <w:r w:rsidRPr="00A52AEE">
              <w:rPr>
                <w:lang w:eastAsia="en-GB"/>
              </w:rPr>
              <w:t>13925</w:t>
            </w:r>
          </w:p>
        </w:tc>
        <w:tc>
          <w:tcPr>
            <w:tcW w:w="1118" w:type="dxa"/>
            <w:tcBorders>
              <w:top w:val="nil"/>
              <w:left w:val="nil"/>
              <w:bottom w:val="single" w:sz="8" w:space="0" w:color="auto"/>
              <w:right w:val="single" w:sz="8" w:space="0" w:color="auto"/>
            </w:tcBorders>
            <w:shd w:val="clear" w:color="auto" w:fill="auto"/>
            <w:noWrap/>
            <w:vAlign w:val="center"/>
            <w:hideMark/>
          </w:tcPr>
          <w:p w14:paraId="36D7728A" w14:textId="77777777" w:rsidR="00AE31DC" w:rsidRPr="00A52AEE" w:rsidRDefault="00AE31DC" w:rsidP="00FE68E8">
            <w:pPr>
              <w:jc w:val="right"/>
              <w:rPr>
                <w:lang w:eastAsia="en-GB"/>
              </w:rPr>
            </w:pPr>
            <w:r w:rsidRPr="00A52AEE">
              <w:rPr>
                <w:lang w:eastAsia="en-GB"/>
              </w:rPr>
              <w:t>12430</w:t>
            </w:r>
          </w:p>
        </w:tc>
        <w:tc>
          <w:tcPr>
            <w:tcW w:w="1292" w:type="dxa"/>
            <w:tcBorders>
              <w:top w:val="nil"/>
              <w:left w:val="nil"/>
              <w:bottom w:val="single" w:sz="8" w:space="0" w:color="auto"/>
              <w:right w:val="single" w:sz="8" w:space="0" w:color="auto"/>
            </w:tcBorders>
            <w:shd w:val="clear" w:color="auto" w:fill="auto"/>
            <w:noWrap/>
            <w:vAlign w:val="center"/>
            <w:hideMark/>
          </w:tcPr>
          <w:p w14:paraId="0251E217" w14:textId="302B5E0F" w:rsidR="00AE31DC" w:rsidRPr="00A52AEE" w:rsidRDefault="00AE31DC" w:rsidP="00FE68E8">
            <w:pPr>
              <w:jc w:val="right"/>
              <w:rPr>
                <w:rFonts w:eastAsia="Times New Roman"/>
                <w:sz w:val="22"/>
                <w:lang w:eastAsia="en-GB"/>
              </w:rPr>
            </w:pPr>
            <w:r w:rsidRPr="00A52AEE">
              <w:t>-3055</w:t>
            </w:r>
          </w:p>
        </w:tc>
        <w:tc>
          <w:tcPr>
            <w:tcW w:w="1016" w:type="dxa"/>
            <w:tcBorders>
              <w:top w:val="nil"/>
              <w:left w:val="nil"/>
              <w:bottom w:val="single" w:sz="8" w:space="0" w:color="auto"/>
              <w:right w:val="single" w:sz="8" w:space="0" w:color="auto"/>
            </w:tcBorders>
            <w:shd w:val="clear" w:color="auto" w:fill="auto"/>
            <w:noWrap/>
            <w:vAlign w:val="center"/>
            <w:hideMark/>
          </w:tcPr>
          <w:p w14:paraId="1A5B4A8C" w14:textId="77777777" w:rsidR="00AE31DC" w:rsidRPr="00A52AEE" w:rsidRDefault="00AE31DC" w:rsidP="00FE68E8">
            <w:pPr>
              <w:jc w:val="right"/>
              <w:rPr>
                <w:lang w:eastAsia="en-GB"/>
              </w:rPr>
            </w:pPr>
            <w:r w:rsidRPr="00A52AEE">
              <w:rPr>
                <w:lang w:eastAsia="en-GB"/>
              </w:rPr>
              <w:t>-20%</w:t>
            </w:r>
          </w:p>
        </w:tc>
      </w:tr>
      <w:tr w:rsidR="00AE31DC" w:rsidRPr="00A52AEE" w14:paraId="6CC5A7A9" w14:textId="77777777" w:rsidTr="00DB2D18">
        <w:trPr>
          <w:trHeight w:val="330"/>
        </w:trPr>
        <w:tc>
          <w:tcPr>
            <w:tcW w:w="1084" w:type="dxa"/>
            <w:tcBorders>
              <w:top w:val="nil"/>
              <w:left w:val="single" w:sz="8" w:space="0" w:color="auto"/>
              <w:bottom w:val="single" w:sz="8" w:space="0" w:color="auto"/>
              <w:right w:val="single" w:sz="8" w:space="0" w:color="auto"/>
            </w:tcBorders>
            <w:shd w:val="clear" w:color="000000" w:fill="FFFFFF"/>
            <w:noWrap/>
            <w:vAlign w:val="center"/>
            <w:hideMark/>
          </w:tcPr>
          <w:p w14:paraId="47DA297B" w14:textId="77777777" w:rsidR="00AE31DC" w:rsidRPr="00A52AEE" w:rsidRDefault="00AE31DC" w:rsidP="00A52AEE">
            <w:pPr>
              <w:rPr>
                <w:lang w:eastAsia="en-GB"/>
              </w:rPr>
            </w:pPr>
            <w:r w:rsidRPr="00A52AEE">
              <w:rPr>
                <w:lang w:eastAsia="en-GB"/>
              </w:rPr>
              <w:t>Total</w:t>
            </w:r>
          </w:p>
        </w:tc>
        <w:tc>
          <w:tcPr>
            <w:tcW w:w="1326" w:type="dxa"/>
            <w:tcBorders>
              <w:top w:val="nil"/>
              <w:left w:val="nil"/>
              <w:bottom w:val="single" w:sz="8" w:space="0" w:color="auto"/>
              <w:right w:val="single" w:sz="8" w:space="0" w:color="auto"/>
            </w:tcBorders>
            <w:shd w:val="clear" w:color="auto" w:fill="auto"/>
            <w:noWrap/>
            <w:vAlign w:val="center"/>
            <w:hideMark/>
          </w:tcPr>
          <w:p w14:paraId="1776280E" w14:textId="77777777" w:rsidR="00AE31DC" w:rsidRPr="00A52AEE" w:rsidRDefault="00AE31DC" w:rsidP="00FE68E8">
            <w:pPr>
              <w:jc w:val="right"/>
              <w:rPr>
                <w:lang w:eastAsia="en-GB"/>
              </w:rPr>
            </w:pPr>
            <w:r w:rsidRPr="00A52AEE">
              <w:rPr>
                <w:lang w:eastAsia="en-GB"/>
              </w:rPr>
              <w:t>42060</w:t>
            </w:r>
          </w:p>
        </w:tc>
        <w:tc>
          <w:tcPr>
            <w:tcW w:w="1134" w:type="dxa"/>
            <w:tcBorders>
              <w:top w:val="nil"/>
              <w:left w:val="nil"/>
              <w:bottom w:val="single" w:sz="8" w:space="0" w:color="auto"/>
              <w:right w:val="single" w:sz="8" w:space="0" w:color="auto"/>
            </w:tcBorders>
            <w:shd w:val="clear" w:color="auto" w:fill="auto"/>
            <w:noWrap/>
            <w:vAlign w:val="center"/>
            <w:hideMark/>
          </w:tcPr>
          <w:p w14:paraId="2AEB68CB" w14:textId="77777777" w:rsidR="00AE31DC" w:rsidRPr="00A52AEE" w:rsidRDefault="00AE31DC" w:rsidP="00FE68E8">
            <w:pPr>
              <w:jc w:val="right"/>
              <w:rPr>
                <w:lang w:eastAsia="en-GB"/>
              </w:rPr>
            </w:pPr>
            <w:r w:rsidRPr="00A52AEE">
              <w:rPr>
                <w:lang w:eastAsia="en-GB"/>
              </w:rPr>
              <w:t>44140</w:t>
            </w:r>
          </w:p>
        </w:tc>
        <w:tc>
          <w:tcPr>
            <w:tcW w:w="1134" w:type="dxa"/>
            <w:tcBorders>
              <w:top w:val="nil"/>
              <w:left w:val="nil"/>
              <w:bottom w:val="single" w:sz="8" w:space="0" w:color="auto"/>
              <w:right w:val="single" w:sz="8" w:space="0" w:color="auto"/>
            </w:tcBorders>
            <w:shd w:val="clear" w:color="auto" w:fill="auto"/>
            <w:noWrap/>
            <w:vAlign w:val="center"/>
            <w:hideMark/>
          </w:tcPr>
          <w:p w14:paraId="24200712" w14:textId="77777777" w:rsidR="00AE31DC" w:rsidRPr="00A52AEE" w:rsidRDefault="00AE31DC" w:rsidP="00FE68E8">
            <w:pPr>
              <w:jc w:val="right"/>
              <w:rPr>
                <w:lang w:eastAsia="en-GB"/>
              </w:rPr>
            </w:pPr>
            <w:r w:rsidRPr="00A52AEE">
              <w:rPr>
                <w:lang w:eastAsia="en-GB"/>
              </w:rPr>
              <w:t>46085</w:t>
            </w:r>
          </w:p>
        </w:tc>
        <w:tc>
          <w:tcPr>
            <w:tcW w:w="1134" w:type="dxa"/>
            <w:tcBorders>
              <w:top w:val="nil"/>
              <w:left w:val="nil"/>
              <w:bottom w:val="single" w:sz="8" w:space="0" w:color="auto"/>
              <w:right w:val="single" w:sz="8" w:space="0" w:color="auto"/>
            </w:tcBorders>
            <w:shd w:val="clear" w:color="auto" w:fill="auto"/>
            <w:noWrap/>
            <w:vAlign w:val="center"/>
            <w:hideMark/>
          </w:tcPr>
          <w:p w14:paraId="7BBBF069" w14:textId="77777777" w:rsidR="00AE31DC" w:rsidRPr="00A52AEE" w:rsidRDefault="00AE31DC" w:rsidP="00FE68E8">
            <w:pPr>
              <w:jc w:val="right"/>
              <w:rPr>
                <w:lang w:eastAsia="en-GB"/>
              </w:rPr>
            </w:pPr>
            <w:r w:rsidRPr="00A52AEE">
              <w:rPr>
                <w:lang w:eastAsia="en-GB"/>
              </w:rPr>
              <w:t>42835</w:t>
            </w:r>
          </w:p>
        </w:tc>
        <w:tc>
          <w:tcPr>
            <w:tcW w:w="1118" w:type="dxa"/>
            <w:tcBorders>
              <w:top w:val="nil"/>
              <w:left w:val="nil"/>
              <w:bottom w:val="single" w:sz="8" w:space="0" w:color="auto"/>
              <w:right w:val="single" w:sz="8" w:space="0" w:color="auto"/>
            </w:tcBorders>
            <w:shd w:val="clear" w:color="auto" w:fill="auto"/>
            <w:noWrap/>
            <w:vAlign w:val="center"/>
            <w:hideMark/>
          </w:tcPr>
          <w:p w14:paraId="7402F928" w14:textId="4B6A8DCE" w:rsidR="00AE31DC" w:rsidRPr="00A52AEE" w:rsidRDefault="00C51CA7" w:rsidP="00FE68E8">
            <w:pPr>
              <w:jc w:val="right"/>
              <w:rPr>
                <w:lang w:eastAsia="en-GB"/>
              </w:rPr>
            </w:pPr>
            <w:r>
              <w:rPr>
                <w:lang w:eastAsia="en-GB"/>
              </w:rPr>
              <w:fldChar w:fldCharType="begin"/>
            </w:r>
            <w:r>
              <w:rPr>
                <w:lang w:eastAsia="en-GB"/>
              </w:rPr>
              <w:instrText xml:space="preserve"> =SUM(ABOVE) </w:instrText>
            </w:r>
            <w:r>
              <w:rPr>
                <w:lang w:eastAsia="en-GB"/>
              </w:rPr>
              <w:fldChar w:fldCharType="separate"/>
            </w:r>
            <w:r>
              <w:rPr>
                <w:noProof/>
                <w:lang w:eastAsia="en-GB"/>
              </w:rPr>
              <w:t>46385</w:t>
            </w:r>
            <w:r>
              <w:rPr>
                <w:lang w:eastAsia="en-GB"/>
              </w:rPr>
              <w:fldChar w:fldCharType="end"/>
            </w:r>
          </w:p>
        </w:tc>
        <w:tc>
          <w:tcPr>
            <w:tcW w:w="1292" w:type="dxa"/>
            <w:tcBorders>
              <w:top w:val="nil"/>
              <w:left w:val="nil"/>
              <w:bottom w:val="single" w:sz="8" w:space="0" w:color="auto"/>
              <w:right w:val="single" w:sz="8" w:space="0" w:color="auto"/>
            </w:tcBorders>
            <w:shd w:val="clear" w:color="auto" w:fill="auto"/>
            <w:noWrap/>
            <w:vAlign w:val="center"/>
            <w:hideMark/>
          </w:tcPr>
          <w:p w14:paraId="311D6E0A" w14:textId="28D2915A" w:rsidR="00AE31DC" w:rsidRPr="00A52AEE" w:rsidRDefault="00C51CA7" w:rsidP="00FE68E8">
            <w:pPr>
              <w:jc w:val="right"/>
              <w:rPr>
                <w:rFonts w:eastAsia="Times New Roman"/>
                <w:sz w:val="22"/>
                <w:lang w:eastAsia="en-GB"/>
              </w:rPr>
            </w:pPr>
            <w:r>
              <w:fldChar w:fldCharType="begin"/>
            </w:r>
            <w:r>
              <w:instrText xml:space="preserve"> =SUM(ABOVE) </w:instrText>
            </w:r>
            <w:r>
              <w:fldChar w:fldCharType="separate"/>
            </w:r>
            <w:r>
              <w:rPr>
                <w:noProof/>
              </w:rPr>
              <w:t>4325</w:t>
            </w:r>
            <w:r>
              <w:fldChar w:fldCharType="end"/>
            </w:r>
          </w:p>
        </w:tc>
        <w:tc>
          <w:tcPr>
            <w:tcW w:w="1016" w:type="dxa"/>
            <w:tcBorders>
              <w:top w:val="nil"/>
              <w:left w:val="nil"/>
              <w:bottom w:val="single" w:sz="8" w:space="0" w:color="auto"/>
              <w:right w:val="single" w:sz="8" w:space="0" w:color="auto"/>
            </w:tcBorders>
            <w:shd w:val="clear" w:color="auto" w:fill="auto"/>
            <w:noWrap/>
            <w:vAlign w:val="center"/>
            <w:hideMark/>
          </w:tcPr>
          <w:p w14:paraId="51134EDF" w14:textId="77777777" w:rsidR="00AE31DC" w:rsidRPr="00A52AEE" w:rsidRDefault="00AE31DC" w:rsidP="00FE68E8">
            <w:pPr>
              <w:jc w:val="right"/>
              <w:rPr>
                <w:lang w:eastAsia="en-GB"/>
              </w:rPr>
            </w:pPr>
            <w:r w:rsidRPr="00A52AEE">
              <w:rPr>
                <w:lang w:eastAsia="en-GB"/>
              </w:rPr>
              <w:t>10%</w:t>
            </w:r>
          </w:p>
        </w:tc>
      </w:tr>
    </w:tbl>
    <w:p w14:paraId="1C9D9903" w14:textId="77777777" w:rsidR="0074535F" w:rsidRDefault="0074535F" w:rsidP="008D527A">
      <w:pPr>
        <w:pStyle w:val="Heading2"/>
      </w:pPr>
      <w:bookmarkStart w:id="70" w:name="_Toc405201381"/>
      <w:bookmarkStart w:id="71" w:name="_Toc411437012"/>
    </w:p>
    <w:p w14:paraId="5B04FC38" w14:textId="71B40C20" w:rsidR="00F24239" w:rsidRPr="00A52AEE" w:rsidRDefault="00771DD0" w:rsidP="008D527A">
      <w:pPr>
        <w:pStyle w:val="Heading2"/>
      </w:pPr>
      <w:bookmarkStart w:id="72" w:name="_Toc429151306"/>
      <w:r>
        <w:t>4</w:t>
      </w:r>
      <w:r w:rsidR="007F7A33">
        <w:t>.2</w:t>
      </w:r>
      <w:r w:rsidR="00873F6A" w:rsidRPr="00A52AEE">
        <w:tab/>
      </w:r>
      <w:r w:rsidR="00F24239" w:rsidRPr="00A52AEE">
        <w:t>Qualifications</w:t>
      </w:r>
      <w:bookmarkEnd w:id="70"/>
      <w:bookmarkEnd w:id="71"/>
      <w:bookmarkEnd w:id="72"/>
    </w:p>
    <w:p w14:paraId="694CC3F6" w14:textId="6ECEA774" w:rsidR="00F24239" w:rsidRPr="00A52AEE" w:rsidRDefault="00F24239" w:rsidP="00A52AEE">
      <w:r w:rsidRPr="00A52AEE">
        <w:t>Figures in Table 2 show that there were dips in tracked students in 2011-12</w:t>
      </w:r>
      <w:r w:rsidR="00543D45" w:rsidRPr="00A52AEE">
        <w:t xml:space="preserve"> studying A </w:t>
      </w:r>
      <w:r w:rsidR="0021637B" w:rsidRPr="00A52AEE">
        <w:t>Level</w:t>
      </w:r>
      <w:r w:rsidR="00543D45" w:rsidRPr="00A52AEE">
        <w:t>, NVQ and Other Vocational</w:t>
      </w:r>
      <w:r w:rsidR="0082463B" w:rsidRPr="00A52AEE">
        <w:t xml:space="preserve"> qualifications. NVQ and Other V</w:t>
      </w:r>
      <w:r w:rsidR="00543D45" w:rsidRPr="00A52AEE">
        <w:t xml:space="preserve">ocational in particular saw a decrease in the population of the cohort tracked. </w:t>
      </w:r>
      <w:r w:rsidRPr="00A52AEE">
        <w:t xml:space="preserve">In 2007-08 students studying Other Vocational programmes made up the highest proportion of </w:t>
      </w:r>
      <w:r w:rsidR="0021637B" w:rsidRPr="00A52AEE">
        <w:t>Level</w:t>
      </w:r>
      <w:r w:rsidRPr="00A52AEE">
        <w:t xml:space="preserve"> 3 students but by 2011-12 numbers had dropped by -</w:t>
      </w:r>
      <w:r w:rsidR="00543D45" w:rsidRPr="00A52AEE">
        <w:lastRenderedPageBreak/>
        <w:t>17</w:t>
      </w:r>
      <w:r w:rsidRPr="00A52AEE">
        <w:t xml:space="preserve">%.  This might in part be explainable by numbers on Train to Gain which operated from 2006 until it was discontinued in 2011.  </w:t>
      </w:r>
    </w:p>
    <w:p w14:paraId="22C83669" w14:textId="77777777" w:rsidR="004872CF" w:rsidRPr="00A52AEE" w:rsidRDefault="004872CF" w:rsidP="00A52AEE"/>
    <w:p w14:paraId="1D29272F" w14:textId="0D8215C9" w:rsidR="003C6067" w:rsidRPr="00A52AEE" w:rsidRDefault="00F24239" w:rsidP="00A52AEE">
      <w:r w:rsidRPr="00A52AEE">
        <w:t xml:space="preserve">The numbers of </w:t>
      </w:r>
      <w:r w:rsidR="0082463B" w:rsidRPr="00A52AEE">
        <w:t xml:space="preserve">London </w:t>
      </w:r>
      <w:r w:rsidR="0021637B" w:rsidRPr="00A52AEE">
        <w:t>Level</w:t>
      </w:r>
      <w:r w:rsidRPr="00A52AEE">
        <w:t xml:space="preserve"> 3 BTEC students increased substantially</w:t>
      </w:r>
      <w:r w:rsidR="00543D45" w:rsidRPr="00A52AEE">
        <w:t xml:space="preserve"> </w:t>
      </w:r>
      <w:r w:rsidRPr="00A52AEE">
        <w:t xml:space="preserve">across the tracked cohorts: in 2007-08 their population was </w:t>
      </w:r>
      <w:r w:rsidR="00543D45" w:rsidRPr="00A52AEE">
        <w:t>9</w:t>
      </w:r>
      <w:r w:rsidR="0082463B" w:rsidRPr="00A52AEE">
        <w:t>,</w:t>
      </w:r>
      <w:r w:rsidR="00543D45" w:rsidRPr="00A52AEE">
        <w:t>650</w:t>
      </w:r>
      <w:r w:rsidRPr="00A52AEE">
        <w:t xml:space="preserve"> and this </w:t>
      </w:r>
      <w:r w:rsidR="00543D45" w:rsidRPr="00A52AEE">
        <w:t>nearly</w:t>
      </w:r>
      <w:r w:rsidRPr="00A52AEE">
        <w:t xml:space="preserve"> doubled to </w:t>
      </w:r>
      <w:r w:rsidR="00543D45" w:rsidRPr="00A52AEE">
        <w:t>18</w:t>
      </w:r>
      <w:r w:rsidR="0082463B" w:rsidRPr="00A52AEE">
        <w:t>,</w:t>
      </w:r>
      <w:r w:rsidR="00543D45" w:rsidRPr="00A52AEE">
        <w:t>660</w:t>
      </w:r>
      <w:r w:rsidRPr="00A52AEE">
        <w:t xml:space="preserve"> in 2011-12.  A </w:t>
      </w:r>
      <w:r w:rsidR="0021637B" w:rsidRPr="00A52AEE">
        <w:t>Level</w:t>
      </w:r>
      <w:r w:rsidRPr="00A52AEE">
        <w:t xml:space="preserve"> and BTEC student numbers were similar f</w:t>
      </w:r>
      <w:r w:rsidR="00543D45" w:rsidRPr="00A52AEE">
        <w:t xml:space="preserve">or the 2007-08 cohort just under 10,000 each </w:t>
      </w:r>
      <w:r w:rsidRPr="00A52AEE">
        <w:t xml:space="preserve">but by 2011-12, BTEC </w:t>
      </w:r>
      <w:r w:rsidR="00842186" w:rsidRPr="00A52AEE">
        <w:t>student</w:t>
      </w:r>
      <w:r w:rsidRPr="00A52AEE">
        <w:t xml:space="preserve"> numbers in the tracked cohort were more than double the A </w:t>
      </w:r>
      <w:r w:rsidR="0021637B" w:rsidRPr="00A52AEE">
        <w:t>Level</w:t>
      </w:r>
      <w:r w:rsidRPr="00A52AEE">
        <w:t xml:space="preserve"> group</w:t>
      </w:r>
      <w:r w:rsidR="00543D45" w:rsidRPr="00A52AEE">
        <w:t>. This picture mirrors that found nationally.</w:t>
      </w:r>
      <w:r w:rsidR="003C6067" w:rsidRPr="00A52AEE">
        <w:t xml:space="preserve"> BTEC subject areas Health, Public Services and Care, Science and Mathematics and Business and Administration all saw particularly high growth where numbers more than doubled over the five cohorts.</w:t>
      </w:r>
    </w:p>
    <w:p w14:paraId="37A0A9DA" w14:textId="77777777" w:rsidR="00F24239" w:rsidRPr="00A52AEE" w:rsidRDefault="00F24239" w:rsidP="00A52AEE">
      <w:r w:rsidRPr="00A52AEE">
        <w:t xml:space="preserve">  </w:t>
      </w:r>
    </w:p>
    <w:p w14:paraId="1CBA15D8" w14:textId="26191A74" w:rsidR="00873F6A" w:rsidRPr="00305EFC" w:rsidRDefault="00873F6A" w:rsidP="00A52AEE">
      <w:pPr>
        <w:rPr>
          <w:b/>
          <w:lang w:eastAsia="en-GB"/>
        </w:rPr>
      </w:pPr>
      <w:r w:rsidRPr="00305EFC">
        <w:rPr>
          <w:b/>
          <w:lang w:eastAsia="en-GB"/>
        </w:rPr>
        <w:t xml:space="preserve">Table 2: </w:t>
      </w:r>
      <w:r w:rsidR="00167733" w:rsidRPr="00305EFC">
        <w:rPr>
          <w:b/>
          <w:lang w:eastAsia="en-GB"/>
        </w:rPr>
        <w:t xml:space="preserve"> B</w:t>
      </w:r>
      <w:r w:rsidR="00F24239" w:rsidRPr="00305EFC">
        <w:rPr>
          <w:b/>
          <w:lang w:eastAsia="en-GB"/>
        </w:rPr>
        <w:t>reakdown</w:t>
      </w:r>
      <w:r w:rsidR="00167733" w:rsidRPr="00305EFC">
        <w:rPr>
          <w:b/>
          <w:lang w:eastAsia="en-GB"/>
        </w:rPr>
        <w:t xml:space="preserve"> of the Level 3 cohorts </w:t>
      </w:r>
      <w:r w:rsidR="00F24239" w:rsidRPr="00305EFC">
        <w:rPr>
          <w:b/>
          <w:lang w:eastAsia="en-GB"/>
        </w:rPr>
        <w:t>by qualification type</w:t>
      </w:r>
      <w:r w:rsidR="00F24239" w:rsidRPr="00305EFC">
        <w:rPr>
          <w:b/>
          <w:lang w:eastAsia="en-GB"/>
        </w:rPr>
        <w:tab/>
      </w:r>
    </w:p>
    <w:p w14:paraId="0B817CFA" w14:textId="29E4C47B" w:rsidR="00F24239" w:rsidRPr="00A52AEE" w:rsidRDefault="00F24239" w:rsidP="00A52AEE">
      <w:pPr>
        <w:rPr>
          <w:lang w:eastAsia="en-GB"/>
        </w:rPr>
      </w:pPr>
      <w:r w:rsidRPr="00A52AEE">
        <w:rPr>
          <w:b/>
          <w:bCs/>
          <w:color w:val="000000"/>
          <w:lang w:eastAsia="en-GB"/>
        </w:rPr>
        <w:tab/>
      </w:r>
      <w:r w:rsidRPr="00A52AEE">
        <w:rPr>
          <w:lang w:eastAsia="en-GB"/>
        </w:rPr>
        <w:tab/>
      </w:r>
      <w:r w:rsidRPr="00A52AEE">
        <w:rPr>
          <w:lang w:eastAsia="en-GB"/>
        </w:rPr>
        <w:tab/>
      </w:r>
      <w:r w:rsidRPr="00A52AEE">
        <w:rPr>
          <w:lang w:eastAsia="en-GB"/>
        </w:rPr>
        <w:tab/>
      </w:r>
    </w:p>
    <w:tbl>
      <w:tblPr>
        <w:tblW w:w="4758" w:type="pct"/>
        <w:tblLayout w:type="fixed"/>
        <w:tblLook w:val="04A0" w:firstRow="1" w:lastRow="0" w:firstColumn="1" w:lastColumn="0" w:noHBand="0" w:noVBand="1"/>
      </w:tblPr>
      <w:tblGrid>
        <w:gridCol w:w="1351"/>
        <w:gridCol w:w="830"/>
        <w:gridCol w:w="557"/>
        <w:gridCol w:w="828"/>
        <w:gridCol w:w="555"/>
        <w:gridCol w:w="828"/>
        <w:gridCol w:w="555"/>
        <w:gridCol w:w="828"/>
        <w:gridCol w:w="555"/>
        <w:gridCol w:w="830"/>
        <w:gridCol w:w="553"/>
        <w:gridCol w:w="828"/>
      </w:tblGrid>
      <w:tr w:rsidR="0074535F" w:rsidRPr="0074535F" w14:paraId="32A7D630" w14:textId="77777777" w:rsidTr="0074535F">
        <w:trPr>
          <w:trHeight w:val="556"/>
        </w:trPr>
        <w:tc>
          <w:tcPr>
            <w:tcW w:w="743"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38265706" w14:textId="77777777" w:rsidR="00F24239" w:rsidRPr="0074535F" w:rsidRDefault="00F24239" w:rsidP="00A52AEE">
            <w:pPr>
              <w:rPr>
                <w:b/>
                <w:color w:val="FFFFFF" w:themeColor="background1"/>
                <w:lang w:eastAsia="en-GB"/>
              </w:rPr>
            </w:pPr>
            <w:r w:rsidRPr="0074535F">
              <w:rPr>
                <w:b/>
                <w:color w:val="FFFFFF" w:themeColor="background1"/>
                <w:lang w:eastAsia="en-GB"/>
              </w:rPr>
              <w:t>Qualification Type</w:t>
            </w:r>
          </w:p>
        </w:tc>
        <w:tc>
          <w:tcPr>
            <w:tcW w:w="762" w:type="pct"/>
            <w:gridSpan w:val="2"/>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31E54A9D" w14:textId="77777777" w:rsidR="00F24239" w:rsidRPr="0074535F" w:rsidRDefault="00F24239" w:rsidP="00A52AEE">
            <w:pPr>
              <w:rPr>
                <w:b/>
                <w:color w:val="FFFFFF" w:themeColor="background1"/>
                <w:lang w:eastAsia="en-GB"/>
              </w:rPr>
            </w:pPr>
            <w:r w:rsidRPr="0074535F">
              <w:rPr>
                <w:b/>
                <w:color w:val="FFFFFF" w:themeColor="background1"/>
                <w:lang w:eastAsia="en-GB"/>
              </w:rPr>
              <w:t>2007-08</w:t>
            </w:r>
          </w:p>
        </w:tc>
        <w:tc>
          <w:tcPr>
            <w:tcW w:w="760" w:type="pct"/>
            <w:gridSpan w:val="2"/>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446C33D0" w14:textId="77777777" w:rsidR="00F24239" w:rsidRPr="0074535F" w:rsidRDefault="00F24239" w:rsidP="00A52AEE">
            <w:pPr>
              <w:rPr>
                <w:b/>
                <w:color w:val="FFFFFF" w:themeColor="background1"/>
                <w:lang w:eastAsia="en-GB"/>
              </w:rPr>
            </w:pPr>
            <w:r w:rsidRPr="0074535F">
              <w:rPr>
                <w:b/>
                <w:color w:val="FFFFFF" w:themeColor="background1"/>
                <w:lang w:eastAsia="en-GB"/>
              </w:rPr>
              <w:t>2008-09</w:t>
            </w:r>
          </w:p>
        </w:tc>
        <w:tc>
          <w:tcPr>
            <w:tcW w:w="760" w:type="pct"/>
            <w:gridSpan w:val="2"/>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060C970C" w14:textId="77777777" w:rsidR="00F24239" w:rsidRPr="0074535F" w:rsidRDefault="00F24239" w:rsidP="00A52AEE">
            <w:pPr>
              <w:rPr>
                <w:b/>
                <w:color w:val="FFFFFF" w:themeColor="background1"/>
                <w:lang w:eastAsia="en-GB"/>
              </w:rPr>
            </w:pPr>
            <w:r w:rsidRPr="0074535F">
              <w:rPr>
                <w:b/>
                <w:color w:val="FFFFFF" w:themeColor="background1"/>
                <w:lang w:eastAsia="en-GB"/>
              </w:rPr>
              <w:t>2009-10</w:t>
            </w:r>
          </w:p>
        </w:tc>
        <w:tc>
          <w:tcPr>
            <w:tcW w:w="760" w:type="pct"/>
            <w:gridSpan w:val="2"/>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2C0B4ABA" w14:textId="77777777" w:rsidR="00F24239" w:rsidRPr="0074535F" w:rsidRDefault="00F24239" w:rsidP="00A52AEE">
            <w:pPr>
              <w:rPr>
                <w:b/>
                <w:color w:val="FFFFFF" w:themeColor="background1"/>
                <w:lang w:eastAsia="en-GB"/>
              </w:rPr>
            </w:pPr>
            <w:r w:rsidRPr="0074535F">
              <w:rPr>
                <w:b/>
                <w:color w:val="FFFFFF" w:themeColor="background1"/>
                <w:lang w:eastAsia="en-GB"/>
              </w:rPr>
              <w:t>2010-11</w:t>
            </w:r>
          </w:p>
        </w:tc>
        <w:tc>
          <w:tcPr>
            <w:tcW w:w="760" w:type="pct"/>
            <w:gridSpan w:val="2"/>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483E9138" w14:textId="77777777" w:rsidR="00F24239" w:rsidRPr="0074535F" w:rsidRDefault="00F24239" w:rsidP="00A52AEE">
            <w:pPr>
              <w:rPr>
                <w:b/>
                <w:color w:val="FFFFFF" w:themeColor="background1"/>
                <w:lang w:eastAsia="en-GB"/>
              </w:rPr>
            </w:pPr>
            <w:r w:rsidRPr="0074535F">
              <w:rPr>
                <w:b/>
                <w:color w:val="FFFFFF" w:themeColor="background1"/>
                <w:lang w:eastAsia="en-GB"/>
              </w:rPr>
              <w:t>2011-12</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textDirection w:val="btLr"/>
            <w:vAlign w:val="center"/>
            <w:hideMark/>
          </w:tcPr>
          <w:p w14:paraId="2355EE68" w14:textId="22FC6563" w:rsidR="00F24239" w:rsidRPr="0074535F" w:rsidRDefault="00F24239" w:rsidP="00A52AEE">
            <w:pPr>
              <w:rPr>
                <w:b/>
                <w:color w:val="FFFFFF" w:themeColor="background1"/>
                <w:lang w:eastAsia="en-GB"/>
              </w:rPr>
            </w:pPr>
            <w:r w:rsidRPr="0074535F">
              <w:rPr>
                <w:b/>
                <w:color w:val="FFFFFF" w:themeColor="background1"/>
                <w:lang w:eastAsia="en-GB"/>
              </w:rPr>
              <w:t>% growth</w:t>
            </w:r>
            <w:r w:rsidR="00C51CA7">
              <w:rPr>
                <w:b/>
                <w:color w:val="FFFFFF" w:themeColor="background1"/>
                <w:lang w:eastAsia="en-GB"/>
              </w:rPr>
              <w:t xml:space="preserve"> between 2007 and 2012</w:t>
            </w:r>
          </w:p>
        </w:tc>
      </w:tr>
      <w:tr w:rsidR="0074535F" w:rsidRPr="0074535F" w14:paraId="1E562350" w14:textId="77777777" w:rsidTr="0074535F">
        <w:trPr>
          <w:trHeight w:val="1908"/>
        </w:trPr>
        <w:tc>
          <w:tcPr>
            <w:tcW w:w="743"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BD0B113" w14:textId="77777777" w:rsidR="00F24239" w:rsidRPr="0074535F" w:rsidRDefault="00F24239" w:rsidP="00A52AEE">
            <w:pPr>
              <w:rPr>
                <w:b/>
                <w:color w:val="FFFFFF" w:themeColor="background1"/>
                <w:lang w:eastAsia="en-GB"/>
              </w:rPr>
            </w:pPr>
          </w:p>
        </w:tc>
        <w:tc>
          <w:tcPr>
            <w:tcW w:w="456" w:type="pct"/>
            <w:tcBorders>
              <w:top w:val="nil"/>
              <w:left w:val="nil"/>
              <w:bottom w:val="single" w:sz="8" w:space="0" w:color="auto"/>
              <w:right w:val="single" w:sz="8" w:space="0" w:color="auto"/>
            </w:tcBorders>
            <w:shd w:val="clear" w:color="auto" w:fill="1F4E79" w:themeFill="accent1" w:themeFillShade="80"/>
            <w:noWrap/>
            <w:textDirection w:val="btLr"/>
            <w:vAlign w:val="center"/>
            <w:hideMark/>
          </w:tcPr>
          <w:p w14:paraId="4026043D" w14:textId="77777777" w:rsidR="00F24239" w:rsidRPr="0074535F" w:rsidRDefault="00F24239" w:rsidP="00A52AEE">
            <w:pPr>
              <w:rPr>
                <w:b/>
                <w:color w:val="FFFFFF" w:themeColor="background1"/>
                <w:lang w:eastAsia="en-GB"/>
              </w:rPr>
            </w:pPr>
            <w:r w:rsidRPr="0074535F">
              <w:rPr>
                <w:b/>
                <w:color w:val="FFFFFF" w:themeColor="background1"/>
                <w:lang w:eastAsia="en-GB"/>
              </w:rPr>
              <w:t>Cohort Number</w:t>
            </w:r>
          </w:p>
        </w:tc>
        <w:tc>
          <w:tcPr>
            <w:tcW w:w="306"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0D7D6604" w14:textId="77777777" w:rsidR="00F24239" w:rsidRPr="0074535F" w:rsidRDefault="00F24239" w:rsidP="00A52AEE">
            <w:pPr>
              <w:rPr>
                <w:b/>
                <w:color w:val="FFFFFF" w:themeColor="background1"/>
                <w:lang w:eastAsia="en-GB"/>
              </w:rPr>
            </w:pPr>
            <w:r w:rsidRPr="0074535F">
              <w:rPr>
                <w:b/>
                <w:color w:val="FFFFFF" w:themeColor="background1"/>
                <w:lang w:eastAsia="en-GB"/>
              </w:rPr>
              <w:t>% of Total Cohort</w:t>
            </w:r>
          </w:p>
        </w:tc>
        <w:tc>
          <w:tcPr>
            <w:tcW w:w="455" w:type="pct"/>
            <w:tcBorders>
              <w:top w:val="nil"/>
              <w:left w:val="nil"/>
              <w:bottom w:val="single" w:sz="8" w:space="0" w:color="auto"/>
              <w:right w:val="single" w:sz="8" w:space="0" w:color="auto"/>
            </w:tcBorders>
            <w:shd w:val="clear" w:color="auto" w:fill="1F4E79" w:themeFill="accent1" w:themeFillShade="80"/>
            <w:noWrap/>
            <w:textDirection w:val="btLr"/>
            <w:vAlign w:val="center"/>
            <w:hideMark/>
          </w:tcPr>
          <w:p w14:paraId="1EBF505E" w14:textId="77777777" w:rsidR="00F24239" w:rsidRPr="0074535F" w:rsidRDefault="00F24239" w:rsidP="00A52AEE">
            <w:pPr>
              <w:rPr>
                <w:b/>
                <w:color w:val="FFFFFF" w:themeColor="background1"/>
                <w:lang w:eastAsia="en-GB"/>
              </w:rPr>
            </w:pPr>
            <w:r w:rsidRPr="0074535F">
              <w:rPr>
                <w:b/>
                <w:color w:val="FFFFFF" w:themeColor="background1"/>
                <w:lang w:eastAsia="en-GB"/>
              </w:rPr>
              <w:t>Cohort Number</w:t>
            </w:r>
          </w:p>
        </w:tc>
        <w:tc>
          <w:tcPr>
            <w:tcW w:w="30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2C7AE05F" w14:textId="77777777" w:rsidR="00F24239" w:rsidRPr="0074535F" w:rsidRDefault="00F24239" w:rsidP="00A52AEE">
            <w:pPr>
              <w:rPr>
                <w:b/>
                <w:color w:val="FFFFFF" w:themeColor="background1"/>
                <w:lang w:eastAsia="en-GB"/>
              </w:rPr>
            </w:pPr>
            <w:r w:rsidRPr="0074535F">
              <w:rPr>
                <w:b/>
                <w:color w:val="FFFFFF" w:themeColor="background1"/>
                <w:lang w:eastAsia="en-GB"/>
              </w:rPr>
              <w:t>% of Total Cohort</w:t>
            </w:r>
          </w:p>
        </w:tc>
        <w:tc>
          <w:tcPr>
            <w:tcW w:w="455" w:type="pct"/>
            <w:tcBorders>
              <w:top w:val="nil"/>
              <w:left w:val="nil"/>
              <w:bottom w:val="single" w:sz="8" w:space="0" w:color="auto"/>
              <w:right w:val="single" w:sz="8" w:space="0" w:color="auto"/>
            </w:tcBorders>
            <w:shd w:val="clear" w:color="auto" w:fill="1F4E79" w:themeFill="accent1" w:themeFillShade="80"/>
            <w:noWrap/>
            <w:textDirection w:val="btLr"/>
            <w:vAlign w:val="center"/>
            <w:hideMark/>
          </w:tcPr>
          <w:p w14:paraId="00FE5529" w14:textId="77777777" w:rsidR="00F24239" w:rsidRPr="0074535F" w:rsidRDefault="00F24239" w:rsidP="00A52AEE">
            <w:pPr>
              <w:rPr>
                <w:b/>
                <w:color w:val="FFFFFF" w:themeColor="background1"/>
                <w:lang w:eastAsia="en-GB"/>
              </w:rPr>
            </w:pPr>
            <w:r w:rsidRPr="0074535F">
              <w:rPr>
                <w:b/>
                <w:color w:val="FFFFFF" w:themeColor="background1"/>
                <w:lang w:eastAsia="en-GB"/>
              </w:rPr>
              <w:t>Cohort Number</w:t>
            </w:r>
          </w:p>
        </w:tc>
        <w:tc>
          <w:tcPr>
            <w:tcW w:w="30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3815C5A9" w14:textId="77777777" w:rsidR="00F24239" w:rsidRPr="0074535F" w:rsidRDefault="00F24239" w:rsidP="00A52AEE">
            <w:pPr>
              <w:rPr>
                <w:b/>
                <w:color w:val="FFFFFF" w:themeColor="background1"/>
                <w:lang w:eastAsia="en-GB"/>
              </w:rPr>
            </w:pPr>
            <w:r w:rsidRPr="0074535F">
              <w:rPr>
                <w:b/>
                <w:color w:val="FFFFFF" w:themeColor="background1"/>
                <w:lang w:eastAsia="en-GB"/>
              </w:rPr>
              <w:t>% of Total Cohort</w:t>
            </w:r>
          </w:p>
        </w:tc>
        <w:tc>
          <w:tcPr>
            <w:tcW w:w="455" w:type="pct"/>
            <w:tcBorders>
              <w:top w:val="nil"/>
              <w:left w:val="nil"/>
              <w:bottom w:val="single" w:sz="8" w:space="0" w:color="auto"/>
              <w:right w:val="single" w:sz="8" w:space="0" w:color="auto"/>
            </w:tcBorders>
            <w:shd w:val="clear" w:color="auto" w:fill="1F4E79" w:themeFill="accent1" w:themeFillShade="80"/>
            <w:noWrap/>
            <w:textDirection w:val="btLr"/>
            <w:vAlign w:val="center"/>
            <w:hideMark/>
          </w:tcPr>
          <w:p w14:paraId="364CADFA" w14:textId="77777777" w:rsidR="00F24239" w:rsidRPr="0074535F" w:rsidRDefault="00F24239" w:rsidP="00A52AEE">
            <w:pPr>
              <w:rPr>
                <w:b/>
                <w:color w:val="FFFFFF" w:themeColor="background1"/>
                <w:lang w:eastAsia="en-GB"/>
              </w:rPr>
            </w:pPr>
            <w:r w:rsidRPr="0074535F">
              <w:rPr>
                <w:b/>
                <w:color w:val="FFFFFF" w:themeColor="background1"/>
                <w:lang w:eastAsia="en-GB"/>
              </w:rPr>
              <w:t>Cohort Number</w:t>
            </w:r>
          </w:p>
        </w:tc>
        <w:tc>
          <w:tcPr>
            <w:tcW w:w="30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36BB1CFF" w14:textId="77777777" w:rsidR="00F24239" w:rsidRPr="0074535F" w:rsidRDefault="00F24239" w:rsidP="00A52AEE">
            <w:pPr>
              <w:rPr>
                <w:b/>
                <w:color w:val="FFFFFF" w:themeColor="background1"/>
                <w:lang w:eastAsia="en-GB"/>
              </w:rPr>
            </w:pPr>
            <w:r w:rsidRPr="0074535F">
              <w:rPr>
                <w:b/>
                <w:color w:val="FFFFFF" w:themeColor="background1"/>
                <w:lang w:eastAsia="en-GB"/>
              </w:rPr>
              <w:t>% of Total Cohort</w:t>
            </w:r>
          </w:p>
        </w:tc>
        <w:tc>
          <w:tcPr>
            <w:tcW w:w="456" w:type="pct"/>
            <w:tcBorders>
              <w:top w:val="nil"/>
              <w:left w:val="nil"/>
              <w:bottom w:val="single" w:sz="8" w:space="0" w:color="auto"/>
              <w:right w:val="single" w:sz="8" w:space="0" w:color="auto"/>
            </w:tcBorders>
            <w:shd w:val="clear" w:color="auto" w:fill="1F4E79" w:themeFill="accent1" w:themeFillShade="80"/>
            <w:noWrap/>
            <w:textDirection w:val="btLr"/>
            <w:vAlign w:val="center"/>
            <w:hideMark/>
          </w:tcPr>
          <w:p w14:paraId="43543FEC" w14:textId="77777777" w:rsidR="00F24239" w:rsidRPr="0074535F" w:rsidRDefault="00F24239" w:rsidP="00A52AEE">
            <w:pPr>
              <w:rPr>
                <w:b/>
                <w:color w:val="FFFFFF" w:themeColor="background1"/>
                <w:lang w:eastAsia="en-GB"/>
              </w:rPr>
            </w:pPr>
            <w:r w:rsidRPr="0074535F">
              <w:rPr>
                <w:b/>
                <w:color w:val="FFFFFF" w:themeColor="background1"/>
                <w:lang w:eastAsia="en-GB"/>
              </w:rPr>
              <w:t>Cohort Number</w:t>
            </w:r>
          </w:p>
        </w:tc>
        <w:tc>
          <w:tcPr>
            <w:tcW w:w="304"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1225200C" w14:textId="77777777" w:rsidR="00F24239" w:rsidRPr="0074535F" w:rsidRDefault="00F24239" w:rsidP="00A52AEE">
            <w:pPr>
              <w:rPr>
                <w:b/>
                <w:color w:val="FFFFFF" w:themeColor="background1"/>
                <w:lang w:eastAsia="en-GB"/>
              </w:rPr>
            </w:pPr>
            <w:r w:rsidRPr="0074535F">
              <w:rPr>
                <w:b/>
                <w:color w:val="FFFFFF" w:themeColor="background1"/>
                <w:lang w:eastAsia="en-GB"/>
              </w:rPr>
              <w:t>% of Total Cohort</w:t>
            </w:r>
          </w:p>
        </w:tc>
        <w:tc>
          <w:tcPr>
            <w:tcW w:w="455"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354B21A2" w14:textId="77777777" w:rsidR="00F24239" w:rsidRPr="0074535F" w:rsidRDefault="00F24239" w:rsidP="00A52AEE">
            <w:pPr>
              <w:rPr>
                <w:b/>
                <w:color w:val="FFFFFF" w:themeColor="background1"/>
                <w:lang w:eastAsia="en-GB"/>
              </w:rPr>
            </w:pPr>
          </w:p>
        </w:tc>
      </w:tr>
      <w:tr w:rsidR="0074535F" w:rsidRPr="00A52AEE" w14:paraId="5890B3D0"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69957745" w14:textId="77777777" w:rsidR="00543D45" w:rsidRPr="00A52AEE" w:rsidRDefault="00543D45" w:rsidP="00A52AEE">
            <w:pPr>
              <w:rPr>
                <w:lang w:eastAsia="en-GB"/>
              </w:rPr>
            </w:pPr>
            <w:r w:rsidRPr="00A52AEE">
              <w:rPr>
                <w:lang w:eastAsia="en-GB"/>
              </w:rPr>
              <w:t>Access</w:t>
            </w:r>
          </w:p>
        </w:tc>
        <w:tc>
          <w:tcPr>
            <w:tcW w:w="456" w:type="pct"/>
            <w:tcBorders>
              <w:top w:val="nil"/>
              <w:left w:val="nil"/>
              <w:bottom w:val="single" w:sz="8" w:space="0" w:color="auto"/>
              <w:right w:val="single" w:sz="8" w:space="0" w:color="auto"/>
            </w:tcBorders>
            <w:shd w:val="clear" w:color="auto" w:fill="auto"/>
            <w:noWrap/>
            <w:vAlign w:val="center"/>
            <w:hideMark/>
          </w:tcPr>
          <w:p w14:paraId="260D8FA6" w14:textId="63BF43D1" w:rsidR="00543D45" w:rsidRPr="00A52AEE" w:rsidRDefault="00543D45" w:rsidP="00FE68E8">
            <w:pPr>
              <w:rPr>
                <w:rFonts w:eastAsia="Times New Roman"/>
                <w:lang w:eastAsia="en-GB"/>
              </w:rPr>
            </w:pPr>
            <w:r w:rsidRPr="00A52AEE">
              <w:t>3995</w:t>
            </w:r>
          </w:p>
        </w:tc>
        <w:tc>
          <w:tcPr>
            <w:tcW w:w="306" w:type="pct"/>
            <w:tcBorders>
              <w:top w:val="nil"/>
              <w:left w:val="nil"/>
              <w:bottom w:val="single" w:sz="8" w:space="0" w:color="auto"/>
              <w:right w:val="single" w:sz="8" w:space="0" w:color="auto"/>
            </w:tcBorders>
            <w:shd w:val="clear" w:color="000000" w:fill="FFFFFF"/>
            <w:noWrap/>
            <w:vAlign w:val="center"/>
            <w:hideMark/>
          </w:tcPr>
          <w:p w14:paraId="714C9743" w14:textId="371ED7B0" w:rsidR="00543D45" w:rsidRPr="00A52AEE" w:rsidRDefault="0074535F" w:rsidP="00FE68E8">
            <w:pPr>
              <w:rPr>
                <w:rFonts w:eastAsia="Times New Roman"/>
                <w:lang w:eastAsia="en-GB"/>
              </w:rPr>
            </w:pPr>
            <w:r>
              <w:t>10</w:t>
            </w:r>
          </w:p>
        </w:tc>
        <w:tc>
          <w:tcPr>
            <w:tcW w:w="455" w:type="pct"/>
            <w:tcBorders>
              <w:top w:val="nil"/>
              <w:left w:val="nil"/>
              <w:bottom w:val="single" w:sz="8" w:space="0" w:color="auto"/>
              <w:right w:val="single" w:sz="8" w:space="0" w:color="auto"/>
            </w:tcBorders>
            <w:shd w:val="clear" w:color="auto" w:fill="auto"/>
            <w:noWrap/>
            <w:vAlign w:val="center"/>
            <w:hideMark/>
          </w:tcPr>
          <w:p w14:paraId="2253DBE1" w14:textId="7A95C921" w:rsidR="00543D45" w:rsidRPr="00A52AEE" w:rsidRDefault="00543D45" w:rsidP="00FE68E8">
            <w:pPr>
              <w:rPr>
                <w:rFonts w:eastAsia="Times New Roman"/>
                <w:lang w:eastAsia="en-GB"/>
              </w:rPr>
            </w:pPr>
            <w:r w:rsidRPr="00A52AEE">
              <w:t>4125</w:t>
            </w:r>
          </w:p>
        </w:tc>
        <w:tc>
          <w:tcPr>
            <w:tcW w:w="305" w:type="pct"/>
            <w:tcBorders>
              <w:top w:val="nil"/>
              <w:left w:val="nil"/>
              <w:bottom w:val="single" w:sz="8" w:space="0" w:color="auto"/>
              <w:right w:val="single" w:sz="8" w:space="0" w:color="auto"/>
            </w:tcBorders>
            <w:shd w:val="clear" w:color="000000" w:fill="FFFFFF"/>
            <w:noWrap/>
            <w:vAlign w:val="center"/>
            <w:hideMark/>
          </w:tcPr>
          <w:p w14:paraId="06270801" w14:textId="24719A5C" w:rsidR="00543D45" w:rsidRPr="00A52AEE" w:rsidRDefault="0074535F" w:rsidP="00FE68E8">
            <w:pPr>
              <w:rPr>
                <w:rFonts w:eastAsia="Times New Roman"/>
                <w:lang w:eastAsia="en-GB"/>
              </w:rPr>
            </w:pPr>
            <w:r>
              <w:t>9</w:t>
            </w:r>
          </w:p>
        </w:tc>
        <w:tc>
          <w:tcPr>
            <w:tcW w:w="455" w:type="pct"/>
            <w:tcBorders>
              <w:top w:val="nil"/>
              <w:left w:val="nil"/>
              <w:bottom w:val="single" w:sz="8" w:space="0" w:color="auto"/>
              <w:right w:val="single" w:sz="8" w:space="0" w:color="auto"/>
            </w:tcBorders>
            <w:shd w:val="clear" w:color="auto" w:fill="auto"/>
            <w:noWrap/>
            <w:vAlign w:val="center"/>
            <w:hideMark/>
          </w:tcPr>
          <w:p w14:paraId="226AC9DC" w14:textId="360FA115" w:rsidR="00543D45" w:rsidRPr="00A52AEE" w:rsidRDefault="00543D45" w:rsidP="00FE68E8">
            <w:pPr>
              <w:rPr>
                <w:rFonts w:eastAsia="Times New Roman"/>
                <w:lang w:eastAsia="en-GB"/>
              </w:rPr>
            </w:pPr>
            <w:r w:rsidRPr="00A52AEE">
              <w:t>4845</w:t>
            </w:r>
          </w:p>
        </w:tc>
        <w:tc>
          <w:tcPr>
            <w:tcW w:w="305" w:type="pct"/>
            <w:tcBorders>
              <w:top w:val="nil"/>
              <w:left w:val="nil"/>
              <w:bottom w:val="single" w:sz="8" w:space="0" w:color="auto"/>
              <w:right w:val="single" w:sz="8" w:space="0" w:color="auto"/>
            </w:tcBorders>
            <w:shd w:val="clear" w:color="000000" w:fill="FFFFFF"/>
            <w:noWrap/>
            <w:vAlign w:val="center"/>
            <w:hideMark/>
          </w:tcPr>
          <w:p w14:paraId="75CEB8F0" w14:textId="245E4645" w:rsidR="00543D45" w:rsidRPr="00A52AEE" w:rsidRDefault="0074535F" w:rsidP="00FE68E8">
            <w:pPr>
              <w:rPr>
                <w:rFonts w:eastAsia="Times New Roman"/>
                <w:lang w:eastAsia="en-GB"/>
              </w:rPr>
            </w:pPr>
            <w:r>
              <w:t>11</w:t>
            </w:r>
          </w:p>
        </w:tc>
        <w:tc>
          <w:tcPr>
            <w:tcW w:w="455" w:type="pct"/>
            <w:tcBorders>
              <w:top w:val="nil"/>
              <w:left w:val="nil"/>
              <w:bottom w:val="single" w:sz="8" w:space="0" w:color="auto"/>
              <w:right w:val="single" w:sz="8" w:space="0" w:color="auto"/>
            </w:tcBorders>
            <w:shd w:val="clear" w:color="auto" w:fill="auto"/>
            <w:noWrap/>
            <w:vAlign w:val="center"/>
            <w:hideMark/>
          </w:tcPr>
          <w:p w14:paraId="1699BBFC" w14:textId="2113B396" w:rsidR="00543D45" w:rsidRPr="00A52AEE" w:rsidRDefault="00543D45" w:rsidP="00FE68E8">
            <w:pPr>
              <w:rPr>
                <w:rFonts w:eastAsia="Times New Roman"/>
                <w:lang w:eastAsia="en-GB"/>
              </w:rPr>
            </w:pPr>
            <w:r w:rsidRPr="00A52AEE">
              <w:t>5080</w:t>
            </w:r>
          </w:p>
        </w:tc>
        <w:tc>
          <w:tcPr>
            <w:tcW w:w="305" w:type="pct"/>
            <w:tcBorders>
              <w:top w:val="nil"/>
              <w:left w:val="nil"/>
              <w:bottom w:val="single" w:sz="8" w:space="0" w:color="auto"/>
              <w:right w:val="single" w:sz="8" w:space="0" w:color="auto"/>
            </w:tcBorders>
            <w:shd w:val="clear" w:color="000000" w:fill="FFFFFF"/>
            <w:noWrap/>
            <w:vAlign w:val="center"/>
            <w:hideMark/>
          </w:tcPr>
          <w:p w14:paraId="22CD827F" w14:textId="1E8DF67D" w:rsidR="00543D45" w:rsidRPr="00A52AEE" w:rsidRDefault="0074535F" w:rsidP="00FE68E8">
            <w:pPr>
              <w:rPr>
                <w:rFonts w:eastAsia="Times New Roman"/>
                <w:lang w:eastAsia="en-GB"/>
              </w:rPr>
            </w:pPr>
            <w:r>
              <w:t>11</w:t>
            </w:r>
          </w:p>
        </w:tc>
        <w:tc>
          <w:tcPr>
            <w:tcW w:w="456" w:type="pct"/>
            <w:tcBorders>
              <w:top w:val="nil"/>
              <w:left w:val="nil"/>
              <w:bottom w:val="single" w:sz="8" w:space="0" w:color="auto"/>
              <w:right w:val="single" w:sz="8" w:space="0" w:color="auto"/>
            </w:tcBorders>
            <w:shd w:val="clear" w:color="auto" w:fill="auto"/>
            <w:noWrap/>
            <w:vAlign w:val="center"/>
            <w:hideMark/>
          </w:tcPr>
          <w:p w14:paraId="411414B5" w14:textId="608306EE" w:rsidR="00543D45" w:rsidRPr="00A52AEE" w:rsidRDefault="00543D45" w:rsidP="00FE68E8">
            <w:pPr>
              <w:rPr>
                <w:rFonts w:eastAsia="Times New Roman"/>
                <w:lang w:eastAsia="en-GB"/>
              </w:rPr>
            </w:pPr>
            <w:r w:rsidRPr="00A52AEE">
              <w:t>4935</w:t>
            </w:r>
          </w:p>
        </w:tc>
        <w:tc>
          <w:tcPr>
            <w:tcW w:w="304" w:type="pct"/>
            <w:tcBorders>
              <w:top w:val="nil"/>
              <w:left w:val="nil"/>
              <w:bottom w:val="single" w:sz="8" w:space="0" w:color="auto"/>
              <w:right w:val="single" w:sz="8" w:space="0" w:color="auto"/>
            </w:tcBorders>
            <w:shd w:val="clear" w:color="000000" w:fill="FFFFFF"/>
            <w:noWrap/>
            <w:vAlign w:val="center"/>
            <w:hideMark/>
          </w:tcPr>
          <w:p w14:paraId="3A6B440A" w14:textId="60F6E881" w:rsidR="00543D45" w:rsidRPr="00A52AEE" w:rsidRDefault="0074535F" w:rsidP="00FE68E8">
            <w:pPr>
              <w:rPr>
                <w:rFonts w:eastAsia="Times New Roman"/>
                <w:lang w:eastAsia="en-GB"/>
              </w:rPr>
            </w:pPr>
            <w:r>
              <w:t>12</w:t>
            </w:r>
          </w:p>
        </w:tc>
        <w:tc>
          <w:tcPr>
            <w:tcW w:w="455" w:type="pct"/>
            <w:tcBorders>
              <w:top w:val="nil"/>
              <w:left w:val="nil"/>
              <w:bottom w:val="single" w:sz="8" w:space="0" w:color="auto"/>
              <w:right w:val="single" w:sz="8" w:space="0" w:color="auto"/>
            </w:tcBorders>
            <w:shd w:val="clear" w:color="000000" w:fill="FFFFFF"/>
            <w:vAlign w:val="center"/>
            <w:hideMark/>
          </w:tcPr>
          <w:p w14:paraId="401DF6C5" w14:textId="4CAD3F9A" w:rsidR="00543D45" w:rsidRPr="00A52AEE" w:rsidRDefault="00543D45" w:rsidP="00FE68E8">
            <w:pPr>
              <w:rPr>
                <w:rFonts w:eastAsia="Times New Roman"/>
                <w:lang w:eastAsia="en-GB"/>
              </w:rPr>
            </w:pPr>
            <w:r w:rsidRPr="00A52AEE">
              <w:t>24%</w:t>
            </w:r>
          </w:p>
        </w:tc>
      </w:tr>
      <w:tr w:rsidR="0074535F" w:rsidRPr="00A52AEE" w14:paraId="27E92C97"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424F2102" w14:textId="77777777" w:rsidR="00543D45" w:rsidRPr="00A52AEE" w:rsidRDefault="00543D45" w:rsidP="00A52AEE">
            <w:pPr>
              <w:rPr>
                <w:lang w:eastAsia="en-GB"/>
              </w:rPr>
            </w:pPr>
            <w:r w:rsidRPr="00A52AEE">
              <w:rPr>
                <w:lang w:eastAsia="en-GB"/>
              </w:rPr>
              <w:t xml:space="preserve">BTEC </w:t>
            </w:r>
          </w:p>
        </w:tc>
        <w:tc>
          <w:tcPr>
            <w:tcW w:w="456" w:type="pct"/>
            <w:tcBorders>
              <w:top w:val="nil"/>
              <w:left w:val="nil"/>
              <w:bottom w:val="single" w:sz="8" w:space="0" w:color="auto"/>
              <w:right w:val="single" w:sz="8" w:space="0" w:color="auto"/>
            </w:tcBorders>
            <w:shd w:val="clear" w:color="auto" w:fill="auto"/>
            <w:noWrap/>
            <w:vAlign w:val="center"/>
            <w:hideMark/>
          </w:tcPr>
          <w:p w14:paraId="70B21986" w14:textId="6A093404" w:rsidR="00543D45" w:rsidRPr="00A52AEE" w:rsidRDefault="00543D45" w:rsidP="00FE68E8">
            <w:pPr>
              <w:rPr>
                <w:rFonts w:eastAsia="Times New Roman"/>
                <w:lang w:eastAsia="en-GB"/>
              </w:rPr>
            </w:pPr>
            <w:r w:rsidRPr="00A52AEE">
              <w:t>9650</w:t>
            </w:r>
          </w:p>
        </w:tc>
        <w:tc>
          <w:tcPr>
            <w:tcW w:w="306" w:type="pct"/>
            <w:tcBorders>
              <w:top w:val="nil"/>
              <w:left w:val="nil"/>
              <w:bottom w:val="single" w:sz="8" w:space="0" w:color="auto"/>
              <w:right w:val="single" w:sz="8" w:space="0" w:color="auto"/>
            </w:tcBorders>
            <w:shd w:val="clear" w:color="000000" w:fill="FFFFFF"/>
            <w:noWrap/>
            <w:vAlign w:val="center"/>
            <w:hideMark/>
          </w:tcPr>
          <w:p w14:paraId="7B8A14AD" w14:textId="14138184" w:rsidR="00543D45" w:rsidRPr="00A52AEE" w:rsidRDefault="0074535F" w:rsidP="00FE68E8">
            <w:pPr>
              <w:rPr>
                <w:rFonts w:eastAsia="Times New Roman"/>
                <w:lang w:eastAsia="en-GB"/>
              </w:rPr>
            </w:pPr>
            <w:r>
              <w:t>23</w:t>
            </w:r>
          </w:p>
        </w:tc>
        <w:tc>
          <w:tcPr>
            <w:tcW w:w="455" w:type="pct"/>
            <w:tcBorders>
              <w:top w:val="nil"/>
              <w:left w:val="nil"/>
              <w:bottom w:val="single" w:sz="8" w:space="0" w:color="auto"/>
              <w:right w:val="single" w:sz="8" w:space="0" w:color="auto"/>
            </w:tcBorders>
            <w:shd w:val="clear" w:color="auto" w:fill="auto"/>
            <w:noWrap/>
            <w:vAlign w:val="center"/>
            <w:hideMark/>
          </w:tcPr>
          <w:p w14:paraId="7B48195F" w14:textId="3A2337A9" w:rsidR="00543D45" w:rsidRPr="00A52AEE" w:rsidRDefault="00543D45" w:rsidP="00FE68E8">
            <w:pPr>
              <w:rPr>
                <w:rFonts w:eastAsia="Times New Roman"/>
                <w:lang w:eastAsia="en-GB"/>
              </w:rPr>
            </w:pPr>
            <w:r w:rsidRPr="00A52AEE">
              <w:t>10000</w:t>
            </w:r>
          </w:p>
        </w:tc>
        <w:tc>
          <w:tcPr>
            <w:tcW w:w="305" w:type="pct"/>
            <w:tcBorders>
              <w:top w:val="nil"/>
              <w:left w:val="nil"/>
              <w:bottom w:val="single" w:sz="8" w:space="0" w:color="auto"/>
              <w:right w:val="single" w:sz="8" w:space="0" w:color="auto"/>
            </w:tcBorders>
            <w:shd w:val="clear" w:color="000000" w:fill="FFFFFF"/>
            <w:noWrap/>
            <w:vAlign w:val="center"/>
            <w:hideMark/>
          </w:tcPr>
          <w:p w14:paraId="18023A57" w14:textId="16B77EAB" w:rsidR="00543D45" w:rsidRPr="00A52AEE" w:rsidRDefault="0074535F" w:rsidP="00FE68E8">
            <w:pPr>
              <w:rPr>
                <w:rFonts w:eastAsia="Times New Roman"/>
                <w:lang w:eastAsia="en-GB"/>
              </w:rPr>
            </w:pPr>
            <w:r>
              <w:t>23</w:t>
            </w:r>
          </w:p>
        </w:tc>
        <w:tc>
          <w:tcPr>
            <w:tcW w:w="455" w:type="pct"/>
            <w:tcBorders>
              <w:top w:val="nil"/>
              <w:left w:val="nil"/>
              <w:bottom w:val="single" w:sz="8" w:space="0" w:color="auto"/>
              <w:right w:val="single" w:sz="8" w:space="0" w:color="auto"/>
            </w:tcBorders>
            <w:shd w:val="clear" w:color="auto" w:fill="auto"/>
            <w:noWrap/>
            <w:vAlign w:val="center"/>
            <w:hideMark/>
          </w:tcPr>
          <w:p w14:paraId="2884D394" w14:textId="2C086B3A" w:rsidR="00543D45" w:rsidRPr="00A52AEE" w:rsidRDefault="00543D45" w:rsidP="00FE68E8">
            <w:pPr>
              <w:rPr>
                <w:rFonts w:eastAsia="Times New Roman"/>
                <w:lang w:eastAsia="en-GB"/>
              </w:rPr>
            </w:pPr>
            <w:r w:rsidRPr="00A52AEE">
              <w:t>11615</w:t>
            </w:r>
          </w:p>
        </w:tc>
        <w:tc>
          <w:tcPr>
            <w:tcW w:w="305" w:type="pct"/>
            <w:tcBorders>
              <w:top w:val="nil"/>
              <w:left w:val="nil"/>
              <w:bottom w:val="single" w:sz="8" w:space="0" w:color="auto"/>
              <w:right w:val="single" w:sz="8" w:space="0" w:color="auto"/>
            </w:tcBorders>
            <w:shd w:val="clear" w:color="000000" w:fill="FFFFFF"/>
            <w:noWrap/>
            <w:vAlign w:val="center"/>
            <w:hideMark/>
          </w:tcPr>
          <w:p w14:paraId="0AB5A28B" w14:textId="0F12C77B" w:rsidR="00543D45" w:rsidRPr="00A52AEE" w:rsidRDefault="0074535F" w:rsidP="00FE68E8">
            <w:pPr>
              <w:rPr>
                <w:rFonts w:eastAsia="Times New Roman"/>
                <w:lang w:eastAsia="en-GB"/>
              </w:rPr>
            </w:pPr>
            <w:r>
              <w:t>25</w:t>
            </w:r>
          </w:p>
        </w:tc>
        <w:tc>
          <w:tcPr>
            <w:tcW w:w="455" w:type="pct"/>
            <w:tcBorders>
              <w:top w:val="nil"/>
              <w:left w:val="nil"/>
              <w:bottom w:val="single" w:sz="8" w:space="0" w:color="auto"/>
              <w:right w:val="single" w:sz="8" w:space="0" w:color="auto"/>
            </w:tcBorders>
            <w:shd w:val="clear" w:color="auto" w:fill="auto"/>
            <w:noWrap/>
            <w:vAlign w:val="center"/>
            <w:hideMark/>
          </w:tcPr>
          <w:p w14:paraId="752976CD" w14:textId="1076826D" w:rsidR="00543D45" w:rsidRPr="00A52AEE" w:rsidRDefault="00543D45" w:rsidP="00FE68E8">
            <w:pPr>
              <w:rPr>
                <w:rFonts w:eastAsia="Times New Roman"/>
                <w:lang w:eastAsia="en-GB"/>
              </w:rPr>
            </w:pPr>
            <w:r w:rsidRPr="00A52AEE">
              <w:t>14095</w:t>
            </w:r>
          </w:p>
        </w:tc>
        <w:tc>
          <w:tcPr>
            <w:tcW w:w="305" w:type="pct"/>
            <w:tcBorders>
              <w:top w:val="nil"/>
              <w:left w:val="nil"/>
              <w:bottom w:val="single" w:sz="8" w:space="0" w:color="auto"/>
              <w:right w:val="single" w:sz="8" w:space="0" w:color="auto"/>
            </w:tcBorders>
            <w:shd w:val="clear" w:color="000000" w:fill="FFFFFF"/>
            <w:noWrap/>
            <w:vAlign w:val="center"/>
            <w:hideMark/>
          </w:tcPr>
          <w:p w14:paraId="52BF7B2D" w14:textId="0F08AFBA" w:rsidR="00543D45" w:rsidRPr="00A52AEE" w:rsidRDefault="0074535F" w:rsidP="00FE68E8">
            <w:pPr>
              <w:rPr>
                <w:rFonts w:eastAsia="Times New Roman"/>
                <w:lang w:eastAsia="en-GB"/>
              </w:rPr>
            </w:pPr>
            <w:r>
              <w:t>25</w:t>
            </w:r>
          </w:p>
        </w:tc>
        <w:tc>
          <w:tcPr>
            <w:tcW w:w="456" w:type="pct"/>
            <w:tcBorders>
              <w:top w:val="nil"/>
              <w:left w:val="nil"/>
              <w:bottom w:val="single" w:sz="8" w:space="0" w:color="auto"/>
              <w:right w:val="single" w:sz="8" w:space="0" w:color="auto"/>
            </w:tcBorders>
            <w:shd w:val="clear" w:color="auto" w:fill="auto"/>
            <w:noWrap/>
            <w:vAlign w:val="center"/>
            <w:hideMark/>
          </w:tcPr>
          <w:p w14:paraId="16E54BFC" w14:textId="5BAA2BE4" w:rsidR="00543D45" w:rsidRPr="00A52AEE" w:rsidRDefault="00543D45" w:rsidP="00FE68E8">
            <w:pPr>
              <w:rPr>
                <w:rFonts w:eastAsia="Times New Roman"/>
                <w:lang w:eastAsia="en-GB"/>
              </w:rPr>
            </w:pPr>
            <w:r w:rsidRPr="00A52AEE">
              <w:t>18660</w:t>
            </w:r>
          </w:p>
        </w:tc>
        <w:tc>
          <w:tcPr>
            <w:tcW w:w="304" w:type="pct"/>
            <w:tcBorders>
              <w:top w:val="nil"/>
              <w:left w:val="nil"/>
              <w:bottom w:val="single" w:sz="8" w:space="0" w:color="auto"/>
              <w:right w:val="single" w:sz="8" w:space="0" w:color="auto"/>
            </w:tcBorders>
            <w:shd w:val="clear" w:color="000000" w:fill="FFFFFF"/>
            <w:noWrap/>
            <w:vAlign w:val="center"/>
            <w:hideMark/>
          </w:tcPr>
          <w:p w14:paraId="75A0C5D4" w14:textId="2E0507EB" w:rsidR="00543D45" w:rsidRPr="00A52AEE" w:rsidRDefault="0074535F" w:rsidP="00FE68E8">
            <w:pPr>
              <w:rPr>
                <w:rFonts w:eastAsia="Times New Roman"/>
                <w:lang w:eastAsia="en-GB"/>
              </w:rPr>
            </w:pPr>
            <w:r>
              <w:t>33</w:t>
            </w:r>
          </w:p>
        </w:tc>
        <w:tc>
          <w:tcPr>
            <w:tcW w:w="455" w:type="pct"/>
            <w:tcBorders>
              <w:top w:val="nil"/>
              <w:left w:val="nil"/>
              <w:bottom w:val="single" w:sz="8" w:space="0" w:color="auto"/>
              <w:right w:val="single" w:sz="8" w:space="0" w:color="auto"/>
            </w:tcBorders>
            <w:shd w:val="clear" w:color="000000" w:fill="FFFFFF"/>
            <w:vAlign w:val="center"/>
            <w:hideMark/>
          </w:tcPr>
          <w:p w14:paraId="33D25A91" w14:textId="0E884396" w:rsidR="00543D45" w:rsidRPr="00A52AEE" w:rsidRDefault="00543D45" w:rsidP="00FE68E8">
            <w:pPr>
              <w:rPr>
                <w:rFonts w:eastAsia="Times New Roman"/>
                <w:lang w:eastAsia="en-GB"/>
              </w:rPr>
            </w:pPr>
            <w:r w:rsidRPr="00A52AEE">
              <w:t>93%</w:t>
            </w:r>
          </w:p>
        </w:tc>
      </w:tr>
      <w:tr w:rsidR="0074535F" w:rsidRPr="00A52AEE" w14:paraId="0A74B9BE"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3760745F" w14:textId="77777777" w:rsidR="00543D45" w:rsidRPr="00A52AEE" w:rsidRDefault="00543D45" w:rsidP="00A52AEE">
            <w:pPr>
              <w:rPr>
                <w:lang w:eastAsia="en-GB"/>
              </w:rPr>
            </w:pPr>
            <w:r w:rsidRPr="00A52AEE">
              <w:rPr>
                <w:lang w:eastAsia="en-GB"/>
              </w:rPr>
              <w:t>GCE A2 /IB</w:t>
            </w:r>
          </w:p>
        </w:tc>
        <w:tc>
          <w:tcPr>
            <w:tcW w:w="456" w:type="pct"/>
            <w:tcBorders>
              <w:top w:val="nil"/>
              <w:left w:val="nil"/>
              <w:bottom w:val="single" w:sz="8" w:space="0" w:color="auto"/>
              <w:right w:val="single" w:sz="8" w:space="0" w:color="auto"/>
            </w:tcBorders>
            <w:shd w:val="clear" w:color="auto" w:fill="auto"/>
            <w:noWrap/>
            <w:vAlign w:val="center"/>
            <w:hideMark/>
          </w:tcPr>
          <w:p w14:paraId="0A5D4059" w14:textId="2D8881DF" w:rsidR="00543D45" w:rsidRPr="00A52AEE" w:rsidRDefault="00543D45" w:rsidP="00FE68E8">
            <w:pPr>
              <w:rPr>
                <w:rFonts w:eastAsia="Times New Roman"/>
                <w:lang w:eastAsia="en-GB"/>
              </w:rPr>
            </w:pPr>
            <w:r w:rsidRPr="00A52AEE">
              <w:t>9550</w:t>
            </w:r>
          </w:p>
        </w:tc>
        <w:tc>
          <w:tcPr>
            <w:tcW w:w="306" w:type="pct"/>
            <w:tcBorders>
              <w:top w:val="nil"/>
              <w:left w:val="nil"/>
              <w:bottom w:val="single" w:sz="8" w:space="0" w:color="auto"/>
              <w:right w:val="single" w:sz="8" w:space="0" w:color="auto"/>
            </w:tcBorders>
            <w:shd w:val="clear" w:color="000000" w:fill="FFFFFF"/>
            <w:noWrap/>
            <w:vAlign w:val="center"/>
            <w:hideMark/>
          </w:tcPr>
          <w:p w14:paraId="367A5606" w14:textId="2E9CB7A6" w:rsidR="00543D45" w:rsidRPr="00A52AEE" w:rsidRDefault="0074535F" w:rsidP="00FE68E8">
            <w:pPr>
              <w:rPr>
                <w:rFonts w:eastAsia="Times New Roman"/>
                <w:lang w:eastAsia="en-GB"/>
              </w:rPr>
            </w:pPr>
            <w:r>
              <w:t>23</w:t>
            </w:r>
          </w:p>
        </w:tc>
        <w:tc>
          <w:tcPr>
            <w:tcW w:w="455" w:type="pct"/>
            <w:tcBorders>
              <w:top w:val="nil"/>
              <w:left w:val="nil"/>
              <w:bottom w:val="single" w:sz="8" w:space="0" w:color="auto"/>
              <w:right w:val="single" w:sz="8" w:space="0" w:color="auto"/>
            </w:tcBorders>
            <w:shd w:val="clear" w:color="auto" w:fill="auto"/>
            <w:noWrap/>
            <w:vAlign w:val="center"/>
            <w:hideMark/>
          </w:tcPr>
          <w:p w14:paraId="0E42E6CB" w14:textId="621197B2" w:rsidR="00543D45" w:rsidRPr="00A52AEE" w:rsidRDefault="00543D45" w:rsidP="00FE68E8">
            <w:pPr>
              <w:rPr>
                <w:rFonts w:eastAsia="Times New Roman"/>
                <w:lang w:eastAsia="en-GB"/>
              </w:rPr>
            </w:pPr>
            <w:r w:rsidRPr="00A52AEE">
              <w:t>8950</w:t>
            </w:r>
          </w:p>
        </w:tc>
        <w:tc>
          <w:tcPr>
            <w:tcW w:w="305" w:type="pct"/>
            <w:tcBorders>
              <w:top w:val="nil"/>
              <w:left w:val="nil"/>
              <w:bottom w:val="single" w:sz="8" w:space="0" w:color="auto"/>
              <w:right w:val="single" w:sz="8" w:space="0" w:color="auto"/>
            </w:tcBorders>
            <w:shd w:val="clear" w:color="000000" w:fill="FFFFFF"/>
            <w:noWrap/>
            <w:vAlign w:val="center"/>
            <w:hideMark/>
          </w:tcPr>
          <w:p w14:paraId="379CBF95" w14:textId="296B0619" w:rsidR="00543D45" w:rsidRPr="00A52AEE" w:rsidRDefault="0074535F" w:rsidP="00FE68E8">
            <w:pPr>
              <w:rPr>
                <w:rFonts w:eastAsia="Times New Roman"/>
                <w:lang w:eastAsia="en-GB"/>
              </w:rPr>
            </w:pPr>
            <w:r>
              <w:t>20</w:t>
            </w:r>
          </w:p>
        </w:tc>
        <w:tc>
          <w:tcPr>
            <w:tcW w:w="455" w:type="pct"/>
            <w:tcBorders>
              <w:top w:val="nil"/>
              <w:left w:val="nil"/>
              <w:bottom w:val="single" w:sz="8" w:space="0" w:color="auto"/>
              <w:right w:val="single" w:sz="8" w:space="0" w:color="auto"/>
            </w:tcBorders>
            <w:shd w:val="clear" w:color="auto" w:fill="auto"/>
            <w:noWrap/>
            <w:vAlign w:val="center"/>
            <w:hideMark/>
          </w:tcPr>
          <w:p w14:paraId="136E75B2" w14:textId="7687AF49" w:rsidR="00543D45" w:rsidRPr="00A52AEE" w:rsidRDefault="00543D45" w:rsidP="00FE68E8">
            <w:pPr>
              <w:rPr>
                <w:rFonts w:eastAsia="Times New Roman"/>
                <w:lang w:eastAsia="en-GB"/>
              </w:rPr>
            </w:pPr>
            <w:r w:rsidRPr="00A52AEE">
              <w:t>8850</w:t>
            </w:r>
          </w:p>
        </w:tc>
        <w:tc>
          <w:tcPr>
            <w:tcW w:w="305" w:type="pct"/>
            <w:tcBorders>
              <w:top w:val="nil"/>
              <w:left w:val="nil"/>
              <w:bottom w:val="single" w:sz="8" w:space="0" w:color="auto"/>
              <w:right w:val="single" w:sz="8" w:space="0" w:color="auto"/>
            </w:tcBorders>
            <w:shd w:val="clear" w:color="000000" w:fill="FFFFFF"/>
            <w:noWrap/>
            <w:vAlign w:val="center"/>
            <w:hideMark/>
          </w:tcPr>
          <w:p w14:paraId="0FA5FAD8" w14:textId="7D5D1532" w:rsidR="00543D45" w:rsidRPr="00A52AEE" w:rsidRDefault="0074535F" w:rsidP="00FE68E8">
            <w:pPr>
              <w:rPr>
                <w:rFonts w:eastAsia="Times New Roman"/>
                <w:lang w:eastAsia="en-GB"/>
              </w:rPr>
            </w:pPr>
            <w:r>
              <w:t>19</w:t>
            </w:r>
          </w:p>
        </w:tc>
        <w:tc>
          <w:tcPr>
            <w:tcW w:w="455" w:type="pct"/>
            <w:tcBorders>
              <w:top w:val="nil"/>
              <w:left w:val="nil"/>
              <w:bottom w:val="single" w:sz="8" w:space="0" w:color="auto"/>
              <w:right w:val="single" w:sz="8" w:space="0" w:color="auto"/>
            </w:tcBorders>
            <w:shd w:val="clear" w:color="auto" w:fill="auto"/>
            <w:noWrap/>
            <w:vAlign w:val="center"/>
            <w:hideMark/>
          </w:tcPr>
          <w:p w14:paraId="6D94E764" w14:textId="5CC1C9C3" w:rsidR="00543D45" w:rsidRPr="00A52AEE" w:rsidRDefault="00543D45" w:rsidP="00FE68E8">
            <w:pPr>
              <w:rPr>
                <w:rFonts w:eastAsia="Times New Roman"/>
                <w:lang w:eastAsia="en-GB"/>
              </w:rPr>
            </w:pPr>
            <w:r w:rsidRPr="00A52AEE">
              <w:t>8945</w:t>
            </w:r>
          </w:p>
        </w:tc>
        <w:tc>
          <w:tcPr>
            <w:tcW w:w="305" w:type="pct"/>
            <w:tcBorders>
              <w:top w:val="nil"/>
              <w:left w:val="nil"/>
              <w:bottom w:val="single" w:sz="8" w:space="0" w:color="auto"/>
              <w:right w:val="single" w:sz="8" w:space="0" w:color="auto"/>
            </w:tcBorders>
            <w:shd w:val="clear" w:color="000000" w:fill="FFFFFF"/>
            <w:noWrap/>
            <w:vAlign w:val="center"/>
            <w:hideMark/>
          </w:tcPr>
          <w:p w14:paraId="047DC6A4" w14:textId="52B577CA" w:rsidR="00543D45" w:rsidRPr="00A52AEE" w:rsidRDefault="0074535F" w:rsidP="00FE68E8">
            <w:pPr>
              <w:rPr>
                <w:rFonts w:eastAsia="Times New Roman"/>
                <w:lang w:eastAsia="en-GB"/>
              </w:rPr>
            </w:pPr>
            <w:r>
              <w:t>19</w:t>
            </w:r>
          </w:p>
        </w:tc>
        <w:tc>
          <w:tcPr>
            <w:tcW w:w="456" w:type="pct"/>
            <w:tcBorders>
              <w:top w:val="nil"/>
              <w:left w:val="nil"/>
              <w:bottom w:val="single" w:sz="8" w:space="0" w:color="auto"/>
              <w:right w:val="single" w:sz="8" w:space="0" w:color="auto"/>
            </w:tcBorders>
            <w:shd w:val="clear" w:color="auto" w:fill="auto"/>
            <w:noWrap/>
            <w:vAlign w:val="center"/>
            <w:hideMark/>
          </w:tcPr>
          <w:p w14:paraId="683A36DA" w14:textId="3858CB58" w:rsidR="00543D45" w:rsidRPr="00A52AEE" w:rsidRDefault="00543D45" w:rsidP="00FE68E8">
            <w:pPr>
              <w:rPr>
                <w:rFonts w:eastAsia="Times New Roman"/>
                <w:lang w:eastAsia="en-GB"/>
              </w:rPr>
            </w:pPr>
            <w:r w:rsidRPr="00A52AEE">
              <w:t>8485</w:t>
            </w:r>
          </w:p>
        </w:tc>
        <w:tc>
          <w:tcPr>
            <w:tcW w:w="304" w:type="pct"/>
            <w:tcBorders>
              <w:top w:val="nil"/>
              <w:left w:val="nil"/>
              <w:bottom w:val="single" w:sz="8" w:space="0" w:color="auto"/>
              <w:right w:val="single" w:sz="8" w:space="0" w:color="auto"/>
            </w:tcBorders>
            <w:shd w:val="clear" w:color="000000" w:fill="FFFFFF"/>
            <w:noWrap/>
            <w:vAlign w:val="center"/>
            <w:hideMark/>
          </w:tcPr>
          <w:p w14:paraId="1C5728A8" w14:textId="2EC759DF" w:rsidR="00543D45" w:rsidRPr="00A52AEE" w:rsidRDefault="0074535F" w:rsidP="00FE68E8">
            <w:pPr>
              <w:rPr>
                <w:rFonts w:eastAsia="Times New Roman"/>
                <w:lang w:eastAsia="en-GB"/>
              </w:rPr>
            </w:pPr>
            <w:r>
              <w:t>21</w:t>
            </w:r>
          </w:p>
        </w:tc>
        <w:tc>
          <w:tcPr>
            <w:tcW w:w="455" w:type="pct"/>
            <w:tcBorders>
              <w:top w:val="nil"/>
              <w:left w:val="nil"/>
              <w:bottom w:val="single" w:sz="8" w:space="0" w:color="auto"/>
              <w:right w:val="single" w:sz="8" w:space="0" w:color="auto"/>
            </w:tcBorders>
            <w:shd w:val="clear" w:color="000000" w:fill="FFFFFF"/>
            <w:vAlign w:val="center"/>
            <w:hideMark/>
          </w:tcPr>
          <w:p w14:paraId="56BF783E" w14:textId="24464012" w:rsidR="00543D45" w:rsidRPr="00A52AEE" w:rsidRDefault="00543D45" w:rsidP="00FE68E8">
            <w:pPr>
              <w:rPr>
                <w:rFonts w:eastAsia="Times New Roman"/>
                <w:lang w:eastAsia="en-GB"/>
              </w:rPr>
            </w:pPr>
            <w:r w:rsidRPr="00A52AEE">
              <w:t>-11%</w:t>
            </w:r>
          </w:p>
        </w:tc>
      </w:tr>
      <w:tr w:rsidR="0074535F" w:rsidRPr="00A52AEE" w14:paraId="5453912B"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3B0671FC" w14:textId="77777777" w:rsidR="00543D45" w:rsidRPr="00A52AEE" w:rsidRDefault="00543D45" w:rsidP="00A52AEE">
            <w:pPr>
              <w:rPr>
                <w:lang w:eastAsia="en-GB"/>
              </w:rPr>
            </w:pPr>
            <w:r w:rsidRPr="00A52AEE">
              <w:rPr>
                <w:lang w:eastAsia="en-GB"/>
              </w:rPr>
              <w:t xml:space="preserve">GCE AS </w:t>
            </w:r>
          </w:p>
        </w:tc>
        <w:tc>
          <w:tcPr>
            <w:tcW w:w="456" w:type="pct"/>
            <w:tcBorders>
              <w:top w:val="nil"/>
              <w:left w:val="nil"/>
              <w:bottom w:val="single" w:sz="8" w:space="0" w:color="auto"/>
              <w:right w:val="single" w:sz="8" w:space="0" w:color="auto"/>
            </w:tcBorders>
            <w:shd w:val="clear" w:color="auto" w:fill="auto"/>
            <w:noWrap/>
            <w:vAlign w:val="center"/>
            <w:hideMark/>
          </w:tcPr>
          <w:p w14:paraId="014FA0B9" w14:textId="52540C10" w:rsidR="00543D45" w:rsidRPr="00A52AEE" w:rsidRDefault="00543D45" w:rsidP="00FE68E8">
            <w:pPr>
              <w:rPr>
                <w:rFonts w:eastAsia="Times New Roman"/>
                <w:lang w:eastAsia="en-GB"/>
              </w:rPr>
            </w:pPr>
            <w:r w:rsidRPr="00A52AEE">
              <w:t>1170</w:t>
            </w:r>
          </w:p>
        </w:tc>
        <w:tc>
          <w:tcPr>
            <w:tcW w:w="306" w:type="pct"/>
            <w:tcBorders>
              <w:top w:val="nil"/>
              <w:left w:val="nil"/>
              <w:bottom w:val="single" w:sz="8" w:space="0" w:color="auto"/>
              <w:right w:val="single" w:sz="8" w:space="0" w:color="auto"/>
            </w:tcBorders>
            <w:shd w:val="clear" w:color="000000" w:fill="FFFFFF"/>
            <w:noWrap/>
            <w:vAlign w:val="center"/>
            <w:hideMark/>
          </w:tcPr>
          <w:p w14:paraId="66D59A51" w14:textId="27B3E871" w:rsidR="00543D45" w:rsidRPr="00A52AEE" w:rsidRDefault="0074535F" w:rsidP="00FE68E8">
            <w:pPr>
              <w:rPr>
                <w:rFonts w:eastAsia="Times New Roman"/>
                <w:lang w:eastAsia="en-GB"/>
              </w:rPr>
            </w:pPr>
            <w:r>
              <w:t>3</w:t>
            </w:r>
          </w:p>
        </w:tc>
        <w:tc>
          <w:tcPr>
            <w:tcW w:w="455" w:type="pct"/>
            <w:tcBorders>
              <w:top w:val="nil"/>
              <w:left w:val="nil"/>
              <w:bottom w:val="single" w:sz="8" w:space="0" w:color="auto"/>
              <w:right w:val="single" w:sz="8" w:space="0" w:color="auto"/>
            </w:tcBorders>
            <w:shd w:val="clear" w:color="auto" w:fill="auto"/>
            <w:noWrap/>
            <w:vAlign w:val="center"/>
            <w:hideMark/>
          </w:tcPr>
          <w:p w14:paraId="2B8E0FB6" w14:textId="0377DC22" w:rsidR="00543D45" w:rsidRPr="00A52AEE" w:rsidRDefault="00543D45" w:rsidP="00FE68E8">
            <w:pPr>
              <w:rPr>
                <w:rFonts w:eastAsia="Times New Roman"/>
                <w:lang w:eastAsia="en-GB"/>
              </w:rPr>
            </w:pPr>
            <w:r w:rsidRPr="00A52AEE">
              <w:t>930</w:t>
            </w:r>
          </w:p>
        </w:tc>
        <w:tc>
          <w:tcPr>
            <w:tcW w:w="305" w:type="pct"/>
            <w:tcBorders>
              <w:top w:val="nil"/>
              <w:left w:val="nil"/>
              <w:bottom w:val="single" w:sz="8" w:space="0" w:color="auto"/>
              <w:right w:val="single" w:sz="8" w:space="0" w:color="auto"/>
            </w:tcBorders>
            <w:shd w:val="clear" w:color="000000" w:fill="FFFFFF"/>
            <w:noWrap/>
            <w:vAlign w:val="center"/>
            <w:hideMark/>
          </w:tcPr>
          <w:p w14:paraId="03FD88D8" w14:textId="2A747068" w:rsidR="00543D45" w:rsidRPr="00A52AEE" w:rsidRDefault="0074535F" w:rsidP="00FE68E8">
            <w:pPr>
              <w:rPr>
                <w:rFonts w:eastAsia="Times New Roman"/>
                <w:lang w:eastAsia="en-GB"/>
              </w:rPr>
            </w:pPr>
            <w:r>
              <w:t>2</w:t>
            </w:r>
          </w:p>
        </w:tc>
        <w:tc>
          <w:tcPr>
            <w:tcW w:w="455" w:type="pct"/>
            <w:tcBorders>
              <w:top w:val="nil"/>
              <w:left w:val="nil"/>
              <w:bottom w:val="single" w:sz="8" w:space="0" w:color="auto"/>
              <w:right w:val="single" w:sz="8" w:space="0" w:color="auto"/>
            </w:tcBorders>
            <w:shd w:val="clear" w:color="auto" w:fill="auto"/>
            <w:noWrap/>
            <w:vAlign w:val="center"/>
            <w:hideMark/>
          </w:tcPr>
          <w:p w14:paraId="30778423" w14:textId="500FB3A0" w:rsidR="00543D45" w:rsidRPr="00A52AEE" w:rsidRDefault="00543D45" w:rsidP="00FE68E8">
            <w:pPr>
              <w:rPr>
                <w:rFonts w:eastAsia="Times New Roman"/>
                <w:lang w:eastAsia="en-GB"/>
              </w:rPr>
            </w:pPr>
            <w:r w:rsidRPr="00A52AEE">
              <w:t>815</w:t>
            </w:r>
          </w:p>
        </w:tc>
        <w:tc>
          <w:tcPr>
            <w:tcW w:w="305" w:type="pct"/>
            <w:tcBorders>
              <w:top w:val="nil"/>
              <w:left w:val="nil"/>
              <w:bottom w:val="single" w:sz="8" w:space="0" w:color="auto"/>
              <w:right w:val="single" w:sz="8" w:space="0" w:color="auto"/>
            </w:tcBorders>
            <w:shd w:val="clear" w:color="000000" w:fill="FFFFFF"/>
            <w:noWrap/>
            <w:vAlign w:val="center"/>
            <w:hideMark/>
          </w:tcPr>
          <w:p w14:paraId="7414F8FF" w14:textId="7CC5B5CF" w:rsidR="00543D45" w:rsidRPr="00A52AEE" w:rsidRDefault="0074535F" w:rsidP="00FE68E8">
            <w:pPr>
              <w:rPr>
                <w:rFonts w:eastAsia="Times New Roman"/>
                <w:lang w:eastAsia="en-GB"/>
              </w:rPr>
            </w:pPr>
            <w:r>
              <w:t>2</w:t>
            </w:r>
          </w:p>
        </w:tc>
        <w:tc>
          <w:tcPr>
            <w:tcW w:w="455" w:type="pct"/>
            <w:tcBorders>
              <w:top w:val="nil"/>
              <w:left w:val="nil"/>
              <w:bottom w:val="single" w:sz="8" w:space="0" w:color="auto"/>
              <w:right w:val="single" w:sz="8" w:space="0" w:color="auto"/>
            </w:tcBorders>
            <w:shd w:val="clear" w:color="auto" w:fill="auto"/>
            <w:noWrap/>
            <w:vAlign w:val="center"/>
            <w:hideMark/>
          </w:tcPr>
          <w:p w14:paraId="63A13703" w14:textId="6D2D3901" w:rsidR="00543D45" w:rsidRPr="00A52AEE" w:rsidRDefault="00543D45" w:rsidP="00FE68E8">
            <w:pPr>
              <w:rPr>
                <w:rFonts w:eastAsia="Times New Roman"/>
                <w:lang w:eastAsia="en-GB"/>
              </w:rPr>
            </w:pPr>
            <w:r w:rsidRPr="00A52AEE">
              <w:t>1005</w:t>
            </w:r>
          </w:p>
        </w:tc>
        <w:tc>
          <w:tcPr>
            <w:tcW w:w="305" w:type="pct"/>
            <w:tcBorders>
              <w:top w:val="nil"/>
              <w:left w:val="nil"/>
              <w:bottom w:val="single" w:sz="8" w:space="0" w:color="auto"/>
              <w:right w:val="single" w:sz="8" w:space="0" w:color="auto"/>
            </w:tcBorders>
            <w:shd w:val="clear" w:color="000000" w:fill="FFFFFF"/>
            <w:noWrap/>
            <w:vAlign w:val="center"/>
            <w:hideMark/>
          </w:tcPr>
          <w:p w14:paraId="3AC848FA" w14:textId="124FE23D" w:rsidR="00543D45" w:rsidRPr="00A52AEE" w:rsidRDefault="0074535F" w:rsidP="00FE68E8">
            <w:pPr>
              <w:rPr>
                <w:rFonts w:eastAsia="Times New Roman"/>
                <w:lang w:eastAsia="en-GB"/>
              </w:rPr>
            </w:pPr>
            <w:r>
              <w:t>2</w:t>
            </w:r>
          </w:p>
        </w:tc>
        <w:tc>
          <w:tcPr>
            <w:tcW w:w="456" w:type="pct"/>
            <w:tcBorders>
              <w:top w:val="nil"/>
              <w:left w:val="nil"/>
              <w:bottom w:val="single" w:sz="8" w:space="0" w:color="auto"/>
              <w:right w:val="single" w:sz="8" w:space="0" w:color="auto"/>
            </w:tcBorders>
            <w:shd w:val="clear" w:color="auto" w:fill="auto"/>
            <w:noWrap/>
            <w:vAlign w:val="center"/>
            <w:hideMark/>
          </w:tcPr>
          <w:p w14:paraId="30A48553" w14:textId="5E9D6E72" w:rsidR="00543D45" w:rsidRPr="00A52AEE" w:rsidRDefault="00543D45" w:rsidP="00FE68E8">
            <w:pPr>
              <w:rPr>
                <w:rFonts w:eastAsia="Times New Roman"/>
                <w:lang w:eastAsia="en-GB"/>
              </w:rPr>
            </w:pPr>
            <w:r w:rsidRPr="00A52AEE">
              <w:t>905</w:t>
            </w:r>
          </w:p>
        </w:tc>
        <w:tc>
          <w:tcPr>
            <w:tcW w:w="304" w:type="pct"/>
            <w:tcBorders>
              <w:top w:val="nil"/>
              <w:left w:val="nil"/>
              <w:bottom w:val="single" w:sz="8" w:space="0" w:color="auto"/>
              <w:right w:val="single" w:sz="8" w:space="0" w:color="auto"/>
            </w:tcBorders>
            <w:shd w:val="clear" w:color="000000" w:fill="FFFFFF"/>
            <w:noWrap/>
            <w:vAlign w:val="center"/>
            <w:hideMark/>
          </w:tcPr>
          <w:p w14:paraId="329B8736" w14:textId="0BA0B561" w:rsidR="00543D45" w:rsidRPr="00A52AEE" w:rsidRDefault="0074535F" w:rsidP="00FE68E8">
            <w:pPr>
              <w:rPr>
                <w:rFonts w:eastAsia="Times New Roman"/>
                <w:lang w:eastAsia="en-GB"/>
              </w:rPr>
            </w:pPr>
            <w:r>
              <w:t>2</w:t>
            </w:r>
          </w:p>
        </w:tc>
        <w:tc>
          <w:tcPr>
            <w:tcW w:w="455" w:type="pct"/>
            <w:tcBorders>
              <w:top w:val="nil"/>
              <w:left w:val="nil"/>
              <w:bottom w:val="single" w:sz="8" w:space="0" w:color="auto"/>
              <w:right w:val="single" w:sz="8" w:space="0" w:color="auto"/>
            </w:tcBorders>
            <w:shd w:val="clear" w:color="000000" w:fill="FFFFFF"/>
            <w:vAlign w:val="center"/>
            <w:hideMark/>
          </w:tcPr>
          <w:p w14:paraId="139EF617" w14:textId="33B7EA85" w:rsidR="00543D45" w:rsidRPr="00A52AEE" w:rsidRDefault="00543D45" w:rsidP="00FE68E8">
            <w:pPr>
              <w:rPr>
                <w:rFonts w:eastAsia="Times New Roman"/>
                <w:lang w:eastAsia="en-GB"/>
              </w:rPr>
            </w:pPr>
            <w:r w:rsidRPr="00A52AEE">
              <w:t>-23%</w:t>
            </w:r>
          </w:p>
        </w:tc>
      </w:tr>
      <w:tr w:rsidR="0074535F" w:rsidRPr="00A52AEE" w14:paraId="50D9FB62"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24F4FD08" w14:textId="77777777" w:rsidR="00543D45" w:rsidRPr="00A52AEE" w:rsidRDefault="00543D45" w:rsidP="00A52AEE">
            <w:pPr>
              <w:rPr>
                <w:lang w:eastAsia="en-GB"/>
              </w:rPr>
            </w:pPr>
            <w:r w:rsidRPr="00A52AEE">
              <w:rPr>
                <w:lang w:eastAsia="en-GB"/>
              </w:rPr>
              <w:t>NVQ</w:t>
            </w:r>
          </w:p>
        </w:tc>
        <w:tc>
          <w:tcPr>
            <w:tcW w:w="456" w:type="pct"/>
            <w:tcBorders>
              <w:top w:val="nil"/>
              <w:left w:val="nil"/>
              <w:bottom w:val="single" w:sz="8" w:space="0" w:color="auto"/>
              <w:right w:val="single" w:sz="8" w:space="0" w:color="auto"/>
            </w:tcBorders>
            <w:shd w:val="clear" w:color="auto" w:fill="auto"/>
            <w:noWrap/>
            <w:vAlign w:val="center"/>
            <w:hideMark/>
          </w:tcPr>
          <w:p w14:paraId="659BF0A6" w14:textId="486A8507" w:rsidR="00543D45" w:rsidRPr="00A52AEE" w:rsidRDefault="00543D45" w:rsidP="00FE68E8">
            <w:pPr>
              <w:rPr>
                <w:rFonts w:eastAsia="Times New Roman"/>
                <w:lang w:eastAsia="en-GB"/>
              </w:rPr>
            </w:pPr>
            <w:r w:rsidRPr="00A52AEE">
              <w:t>4965</w:t>
            </w:r>
          </w:p>
        </w:tc>
        <w:tc>
          <w:tcPr>
            <w:tcW w:w="306" w:type="pct"/>
            <w:tcBorders>
              <w:top w:val="nil"/>
              <w:left w:val="nil"/>
              <w:bottom w:val="single" w:sz="8" w:space="0" w:color="auto"/>
              <w:right w:val="single" w:sz="8" w:space="0" w:color="auto"/>
            </w:tcBorders>
            <w:shd w:val="clear" w:color="000000" w:fill="FFFFFF"/>
            <w:noWrap/>
            <w:vAlign w:val="center"/>
            <w:hideMark/>
          </w:tcPr>
          <w:p w14:paraId="2A6BFADB" w14:textId="2EA26183" w:rsidR="00543D45" w:rsidRPr="00A52AEE" w:rsidRDefault="0074535F" w:rsidP="00FE68E8">
            <w:pPr>
              <w:rPr>
                <w:rFonts w:eastAsia="Times New Roman"/>
                <w:lang w:eastAsia="en-GB"/>
              </w:rPr>
            </w:pPr>
            <w:r>
              <w:t>12</w:t>
            </w:r>
          </w:p>
        </w:tc>
        <w:tc>
          <w:tcPr>
            <w:tcW w:w="455" w:type="pct"/>
            <w:tcBorders>
              <w:top w:val="nil"/>
              <w:left w:val="nil"/>
              <w:bottom w:val="single" w:sz="8" w:space="0" w:color="auto"/>
              <w:right w:val="single" w:sz="8" w:space="0" w:color="auto"/>
            </w:tcBorders>
            <w:shd w:val="clear" w:color="auto" w:fill="auto"/>
            <w:noWrap/>
            <w:vAlign w:val="center"/>
            <w:hideMark/>
          </w:tcPr>
          <w:p w14:paraId="0B836247" w14:textId="28FBC5CE" w:rsidR="00543D45" w:rsidRPr="00A52AEE" w:rsidRDefault="00543D45" w:rsidP="00FE68E8">
            <w:pPr>
              <w:rPr>
                <w:rFonts w:eastAsia="Times New Roman"/>
                <w:lang w:eastAsia="en-GB"/>
              </w:rPr>
            </w:pPr>
            <w:r w:rsidRPr="00A52AEE">
              <w:t>8980</w:t>
            </w:r>
          </w:p>
        </w:tc>
        <w:tc>
          <w:tcPr>
            <w:tcW w:w="305" w:type="pct"/>
            <w:tcBorders>
              <w:top w:val="nil"/>
              <w:left w:val="nil"/>
              <w:bottom w:val="single" w:sz="8" w:space="0" w:color="auto"/>
              <w:right w:val="single" w:sz="8" w:space="0" w:color="auto"/>
            </w:tcBorders>
            <w:shd w:val="clear" w:color="000000" w:fill="FFFFFF"/>
            <w:noWrap/>
            <w:vAlign w:val="center"/>
            <w:hideMark/>
          </w:tcPr>
          <w:p w14:paraId="4A5DF28B" w14:textId="48DC0712" w:rsidR="00543D45" w:rsidRPr="00A52AEE" w:rsidRDefault="0074535F" w:rsidP="00FE68E8">
            <w:pPr>
              <w:rPr>
                <w:rFonts w:eastAsia="Times New Roman"/>
                <w:lang w:eastAsia="en-GB"/>
              </w:rPr>
            </w:pPr>
            <w:r>
              <w:t>20</w:t>
            </w:r>
          </w:p>
        </w:tc>
        <w:tc>
          <w:tcPr>
            <w:tcW w:w="455" w:type="pct"/>
            <w:tcBorders>
              <w:top w:val="nil"/>
              <w:left w:val="nil"/>
              <w:bottom w:val="single" w:sz="8" w:space="0" w:color="auto"/>
              <w:right w:val="single" w:sz="8" w:space="0" w:color="auto"/>
            </w:tcBorders>
            <w:shd w:val="clear" w:color="auto" w:fill="auto"/>
            <w:noWrap/>
            <w:vAlign w:val="center"/>
            <w:hideMark/>
          </w:tcPr>
          <w:p w14:paraId="112E938B" w14:textId="30CFE360" w:rsidR="00543D45" w:rsidRPr="00A52AEE" w:rsidRDefault="00543D45" w:rsidP="00FE68E8">
            <w:pPr>
              <w:rPr>
                <w:rFonts w:eastAsia="Times New Roman"/>
                <w:lang w:eastAsia="en-GB"/>
              </w:rPr>
            </w:pPr>
            <w:r w:rsidRPr="00A52AEE">
              <w:t>9725</w:t>
            </w:r>
          </w:p>
        </w:tc>
        <w:tc>
          <w:tcPr>
            <w:tcW w:w="305" w:type="pct"/>
            <w:tcBorders>
              <w:top w:val="nil"/>
              <w:left w:val="nil"/>
              <w:bottom w:val="single" w:sz="8" w:space="0" w:color="auto"/>
              <w:right w:val="single" w:sz="8" w:space="0" w:color="auto"/>
            </w:tcBorders>
            <w:shd w:val="clear" w:color="000000" w:fill="FFFFFF"/>
            <w:noWrap/>
            <w:vAlign w:val="center"/>
            <w:hideMark/>
          </w:tcPr>
          <w:p w14:paraId="42DEF531" w14:textId="760E9DD5" w:rsidR="00543D45" w:rsidRPr="00A52AEE" w:rsidRDefault="0074535F" w:rsidP="00FE68E8">
            <w:pPr>
              <w:rPr>
                <w:rFonts w:eastAsia="Times New Roman"/>
                <w:lang w:eastAsia="en-GB"/>
              </w:rPr>
            </w:pPr>
            <w:r>
              <w:t>21</w:t>
            </w:r>
          </w:p>
        </w:tc>
        <w:tc>
          <w:tcPr>
            <w:tcW w:w="455" w:type="pct"/>
            <w:tcBorders>
              <w:top w:val="nil"/>
              <w:left w:val="nil"/>
              <w:bottom w:val="single" w:sz="8" w:space="0" w:color="auto"/>
              <w:right w:val="single" w:sz="8" w:space="0" w:color="auto"/>
            </w:tcBorders>
            <w:shd w:val="clear" w:color="auto" w:fill="auto"/>
            <w:noWrap/>
            <w:vAlign w:val="center"/>
            <w:hideMark/>
          </w:tcPr>
          <w:p w14:paraId="7E712D64" w14:textId="28A5ABF4" w:rsidR="00543D45" w:rsidRPr="00A52AEE" w:rsidRDefault="00543D45" w:rsidP="00FE68E8">
            <w:pPr>
              <w:rPr>
                <w:rFonts w:eastAsia="Times New Roman"/>
                <w:lang w:eastAsia="en-GB"/>
              </w:rPr>
            </w:pPr>
            <w:r w:rsidRPr="00A52AEE">
              <w:t>6715</w:t>
            </w:r>
          </w:p>
        </w:tc>
        <w:tc>
          <w:tcPr>
            <w:tcW w:w="305" w:type="pct"/>
            <w:tcBorders>
              <w:top w:val="nil"/>
              <w:left w:val="nil"/>
              <w:bottom w:val="single" w:sz="8" w:space="0" w:color="auto"/>
              <w:right w:val="single" w:sz="8" w:space="0" w:color="auto"/>
            </w:tcBorders>
            <w:shd w:val="clear" w:color="000000" w:fill="FFFFFF"/>
            <w:noWrap/>
            <w:vAlign w:val="center"/>
            <w:hideMark/>
          </w:tcPr>
          <w:p w14:paraId="56E7584D" w14:textId="02F4F1DA" w:rsidR="00543D45" w:rsidRPr="00A52AEE" w:rsidRDefault="0074535F" w:rsidP="00FE68E8">
            <w:pPr>
              <w:rPr>
                <w:rFonts w:eastAsia="Times New Roman"/>
                <w:lang w:eastAsia="en-GB"/>
              </w:rPr>
            </w:pPr>
            <w:r>
              <w:t>21</w:t>
            </w:r>
          </w:p>
        </w:tc>
        <w:tc>
          <w:tcPr>
            <w:tcW w:w="456" w:type="pct"/>
            <w:tcBorders>
              <w:top w:val="nil"/>
              <w:left w:val="nil"/>
              <w:bottom w:val="single" w:sz="8" w:space="0" w:color="auto"/>
              <w:right w:val="single" w:sz="8" w:space="0" w:color="auto"/>
            </w:tcBorders>
            <w:shd w:val="clear" w:color="auto" w:fill="auto"/>
            <w:noWrap/>
            <w:vAlign w:val="center"/>
            <w:hideMark/>
          </w:tcPr>
          <w:p w14:paraId="04336F4C" w14:textId="47030412" w:rsidR="00543D45" w:rsidRPr="00A52AEE" w:rsidRDefault="00543D45" w:rsidP="00FE68E8">
            <w:pPr>
              <w:rPr>
                <w:rFonts w:eastAsia="Times New Roman"/>
                <w:lang w:eastAsia="en-GB"/>
              </w:rPr>
            </w:pPr>
            <w:r w:rsidRPr="00A52AEE">
              <w:t>2775</w:t>
            </w:r>
          </w:p>
        </w:tc>
        <w:tc>
          <w:tcPr>
            <w:tcW w:w="304" w:type="pct"/>
            <w:tcBorders>
              <w:top w:val="nil"/>
              <w:left w:val="nil"/>
              <w:bottom w:val="single" w:sz="8" w:space="0" w:color="auto"/>
              <w:right w:val="single" w:sz="8" w:space="0" w:color="auto"/>
            </w:tcBorders>
            <w:shd w:val="clear" w:color="000000" w:fill="FFFFFF"/>
            <w:noWrap/>
            <w:vAlign w:val="center"/>
            <w:hideMark/>
          </w:tcPr>
          <w:p w14:paraId="44416A9C" w14:textId="13047110" w:rsidR="00543D45" w:rsidRPr="00A52AEE" w:rsidRDefault="0074535F" w:rsidP="00FE68E8">
            <w:pPr>
              <w:rPr>
                <w:rFonts w:eastAsia="Times New Roman"/>
                <w:lang w:eastAsia="en-GB"/>
              </w:rPr>
            </w:pPr>
            <w:r>
              <w:t>16</w:t>
            </w:r>
          </w:p>
        </w:tc>
        <w:tc>
          <w:tcPr>
            <w:tcW w:w="455" w:type="pct"/>
            <w:tcBorders>
              <w:top w:val="nil"/>
              <w:left w:val="nil"/>
              <w:bottom w:val="single" w:sz="8" w:space="0" w:color="auto"/>
              <w:right w:val="single" w:sz="8" w:space="0" w:color="auto"/>
            </w:tcBorders>
            <w:shd w:val="clear" w:color="000000" w:fill="FFFFFF"/>
            <w:vAlign w:val="center"/>
            <w:hideMark/>
          </w:tcPr>
          <w:p w14:paraId="1CA3BEC3" w14:textId="71C05D03" w:rsidR="00543D45" w:rsidRPr="00A52AEE" w:rsidRDefault="00543D45" w:rsidP="00FE68E8">
            <w:pPr>
              <w:rPr>
                <w:rFonts w:eastAsia="Times New Roman"/>
                <w:lang w:eastAsia="en-GB"/>
              </w:rPr>
            </w:pPr>
            <w:r w:rsidRPr="00A52AEE">
              <w:t>-44%</w:t>
            </w:r>
          </w:p>
        </w:tc>
      </w:tr>
      <w:tr w:rsidR="0074535F" w:rsidRPr="00A52AEE" w14:paraId="65F4E285"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558DAF73" w14:textId="188F9C85" w:rsidR="00543D45" w:rsidRPr="00A52AEE" w:rsidRDefault="0036229E" w:rsidP="00A52AEE">
            <w:pPr>
              <w:rPr>
                <w:lang w:eastAsia="en-GB"/>
              </w:rPr>
            </w:pPr>
            <w:r w:rsidRPr="00A52AEE">
              <w:rPr>
                <w:lang w:eastAsia="en-GB"/>
              </w:rPr>
              <w:t>Other Vocational</w:t>
            </w:r>
          </w:p>
        </w:tc>
        <w:tc>
          <w:tcPr>
            <w:tcW w:w="456" w:type="pct"/>
            <w:tcBorders>
              <w:top w:val="nil"/>
              <w:left w:val="nil"/>
              <w:bottom w:val="single" w:sz="8" w:space="0" w:color="auto"/>
              <w:right w:val="single" w:sz="8" w:space="0" w:color="auto"/>
            </w:tcBorders>
            <w:shd w:val="clear" w:color="auto" w:fill="auto"/>
            <w:noWrap/>
            <w:vAlign w:val="center"/>
            <w:hideMark/>
          </w:tcPr>
          <w:p w14:paraId="3790A83E" w14:textId="25A7DC08" w:rsidR="00543D45" w:rsidRPr="00A52AEE" w:rsidRDefault="00543D45" w:rsidP="00FE68E8">
            <w:pPr>
              <w:rPr>
                <w:rFonts w:eastAsia="Times New Roman"/>
                <w:lang w:eastAsia="en-GB"/>
              </w:rPr>
            </w:pPr>
            <w:r w:rsidRPr="00A52AEE">
              <w:t>12730</w:t>
            </w:r>
          </w:p>
        </w:tc>
        <w:tc>
          <w:tcPr>
            <w:tcW w:w="306" w:type="pct"/>
            <w:tcBorders>
              <w:top w:val="nil"/>
              <w:left w:val="nil"/>
              <w:bottom w:val="single" w:sz="8" w:space="0" w:color="auto"/>
              <w:right w:val="single" w:sz="8" w:space="0" w:color="auto"/>
            </w:tcBorders>
            <w:shd w:val="clear" w:color="000000" w:fill="FFFFFF"/>
            <w:noWrap/>
            <w:vAlign w:val="center"/>
            <w:hideMark/>
          </w:tcPr>
          <w:p w14:paraId="439327B8" w14:textId="45EE27C2" w:rsidR="00543D45" w:rsidRPr="00A52AEE" w:rsidRDefault="0074535F" w:rsidP="00FE68E8">
            <w:pPr>
              <w:rPr>
                <w:rFonts w:eastAsia="Times New Roman"/>
                <w:lang w:eastAsia="en-GB"/>
              </w:rPr>
            </w:pPr>
            <w:r>
              <w:t>30</w:t>
            </w:r>
          </w:p>
        </w:tc>
        <w:tc>
          <w:tcPr>
            <w:tcW w:w="455" w:type="pct"/>
            <w:tcBorders>
              <w:top w:val="nil"/>
              <w:left w:val="nil"/>
              <w:bottom w:val="single" w:sz="8" w:space="0" w:color="auto"/>
              <w:right w:val="single" w:sz="8" w:space="0" w:color="auto"/>
            </w:tcBorders>
            <w:shd w:val="clear" w:color="auto" w:fill="auto"/>
            <w:noWrap/>
            <w:vAlign w:val="center"/>
            <w:hideMark/>
          </w:tcPr>
          <w:p w14:paraId="7F678579" w14:textId="3088EAC2" w:rsidR="00543D45" w:rsidRPr="00A52AEE" w:rsidRDefault="00543D45" w:rsidP="00FE68E8">
            <w:pPr>
              <w:rPr>
                <w:rFonts w:eastAsia="Times New Roman"/>
                <w:lang w:eastAsia="en-GB"/>
              </w:rPr>
            </w:pPr>
            <w:r w:rsidRPr="00A52AEE">
              <w:t>11160</w:t>
            </w:r>
          </w:p>
        </w:tc>
        <w:tc>
          <w:tcPr>
            <w:tcW w:w="305" w:type="pct"/>
            <w:tcBorders>
              <w:top w:val="nil"/>
              <w:left w:val="nil"/>
              <w:bottom w:val="single" w:sz="8" w:space="0" w:color="auto"/>
              <w:right w:val="single" w:sz="8" w:space="0" w:color="auto"/>
            </w:tcBorders>
            <w:shd w:val="clear" w:color="000000" w:fill="FFFFFF"/>
            <w:noWrap/>
            <w:vAlign w:val="center"/>
            <w:hideMark/>
          </w:tcPr>
          <w:p w14:paraId="417865AC" w14:textId="5BD88583" w:rsidR="00543D45" w:rsidRPr="00A52AEE" w:rsidRDefault="0074535F" w:rsidP="00FE68E8">
            <w:pPr>
              <w:rPr>
                <w:rFonts w:eastAsia="Times New Roman"/>
                <w:lang w:eastAsia="en-GB"/>
              </w:rPr>
            </w:pPr>
            <w:r>
              <w:t>25</w:t>
            </w:r>
          </w:p>
        </w:tc>
        <w:tc>
          <w:tcPr>
            <w:tcW w:w="455" w:type="pct"/>
            <w:tcBorders>
              <w:top w:val="nil"/>
              <w:left w:val="nil"/>
              <w:bottom w:val="single" w:sz="8" w:space="0" w:color="auto"/>
              <w:right w:val="single" w:sz="8" w:space="0" w:color="auto"/>
            </w:tcBorders>
            <w:shd w:val="clear" w:color="auto" w:fill="auto"/>
            <w:noWrap/>
            <w:vAlign w:val="center"/>
            <w:hideMark/>
          </w:tcPr>
          <w:p w14:paraId="42E154EC" w14:textId="3C587C4A" w:rsidR="00543D45" w:rsidRPr="00A52AEE" w:rsidRDefault="00543D45" w:rsidP="00FE68E8">
            <w:pPr>
              <w:rPr>
                <w:rFonts w:eastAsia="Times New Roman"/>
                <w:lang w:eastAsia="en-GB"/>
              </w:rPr>
            </w:pPr>
            <w:r w:rsidRPr="00A52AEE">
              <w:t>10235</w:t>
            </w:r>
          </w:p>
        </w:tc>
        <w:tc>
          <w:tcPr>
            <w:tcW w:w="305" w:type="pct"/>
            <w:tcBorders>
              <w:top w:val="nil"/>
              <w:left w:val="nil"/>
              <w:bottom w:val="single" w:sz="8" w:space="0" w:color="auto"/>
              <w:right w:val="single" w:sz="8" w:space="0" w:color="auto"/>
            </w:tcBorders>
            <w:shd w:val="clear" w:color="000000" w:fill="FFFFFF"/>
            <w:noWrap/>
            <w:vAlign w:val="center"/>
            <w:hideMark/>
          </w:tcPr>
          <w:p w14:paraId="5983A89E" w14:textId="592DB6EF" w:rsidR="00543D45" w:rsidRPr="00A52AEE" w:rsidRDefault="0074535F" w:rsidP="00FE68E8">
            <w:pPr>
              <w:rPr>
                <w:rFonts w:eastAsia="Times New Roman"/>
                <w:lang w:eastAsia="en-GB"/>
              </w:rPr>
            </w:pPr>
            <w:r>
              <w:t>22</w:t>
            </w:r>
          </w:p>
        </w:tc>
        <w:tc>
          <w:tcPr>
            <w:tcW w:w="455" w:type="pct"/>
            <w:tcBorders>
              <w:top w:val="nil"/>
              <w:left w:val="nil"/>
              <w:bottom w:val="single" w:sz="8" w:space="0" w:color="auto"/>
              <w:right w:val="single" w:sz="8" w:space="0" w:color="auto"/>
            </w:tcBorders>
            <w:shd w:val="clear" w:color="auto" w:fill="auto"/>
            <w:noWrap/>
            <w:vAlign w:val="center"/>
            <w:hideMark/>
          </w:tcPr>
          <w:p w14:paraId="2AE888CC" w14:textId="366A9E2A" w:rsidR="00543D45" w:rsidRPr="00A52AEE" w:rsidRDefault="00543D45" w:rsidP="00FE68E8">
            <w:pPr>
              <w:rPr>
                <w:rFonts w:eastAsia="Times New Roman"/>
                <w:lang w:eastAsia="en-GB"/>
              </w:rPr>
            </w:pPr>
            <w:r w:rsidRPr="00A52AEE">
              <w:t>6995</w:t>
            </w:r>
          </w:p>
        </w:tc>
        <w:tc>
          <w:tcPr>
            <w:tcW w:w="305" w:type="pct"/>
            <w:tcBorders>
              <w:top w:val="nil"/>
              <w:left w:val="nil"/>
              <w:bottom w:val="single" w:sz="8" w:space="0" w:color="auto"/>
              <w:right w:val="single" w:sz="8" w:space="0" w:color="auto"/>
            </w:tcBorders>
            <w:shd w:val="clear" w:color="000000" w:fill="FFFFFF"/>
            <w:noWrap/>
            <w:vAlign w:val="center"/>
            <w:hideMark/>
          </w:tcPr>
          <w:p w14:paraId="35D4B3F4" w14:textId="5F254FDE" w:rsidR="00543D45" w:rsidRPr="00A52AEE" w:rsidRDefault="0074535F" w:rsidP="00FE68E8">
            <w:pPr>
              <w:rPr>
                <w:rFonts w:eastAsia="Times New Roman"/>
                <w:lang w:eastAsia="en-GB"/>
              </w:rPr>
            </w:pPr>
            <w:r>
              <w:t>22</w:t>
            </w:r>
          </w:p>
        </w:tc>
        <w:tc>
          <w:tcPr>
            <w:tcW w:w="456" w:type="pct"/>
            <w:tcBorders>
              <w:top w:val="nil"/>
              <w:left w:val="nil"/>
              <w:bottom w:val="single" w:sz="8" w:space="0" w:color="auto"/>
              <w:right w:val="single" w:sz="8" w:space="0" w:color="auto"/>
            </w:tcBorders>
            <w:shd w:val="clear" w:color="auto" w:fill="auto"/>
            <w:noWrap/>
            <w:vAlign w:val="center"/>
            <w:hideMark/>
          </w:tcPr>
          <w:p w14:paraId="3C087A2C" w14:textId="0144796F" w:rsidR="00543D45" w:rsidRPr="00A52AEE" w:rsidRDefault="00543D45" w:rsidP="00FE68E8">
            <w:pPr>
              <w:rPr>
                <w:rFonts w:eastAsia="Times New Roman"/>
                <w:lang w:eastAsia="en-GB"/>
              </w:rPr>
            </w:pPr>
            <w:r w:rsidRPr="00A52AEE">
              <w:t>10625</w:t>
            </w:r>
          </w:p>
        </w:tc>
        <w:tc>
          <w:tcPr>
            <w:tcW w:w="304" w:type="pct"/>
            <w:tcBorders>
              <w:top w:val="nil"/>
              <w:left w:val="nil"/>
              <w:bottom w:val="single" w:sz="8" w:space="0" w:color="auto"/>
              <w:right w:val="single" w:sz="8" w:space="0" w:color="auto"/>
            </w:tcBorders>
            <w:shd w:val="clear" w:color="000000" w:fill="FFFFFF"/>
            <w:noWrap/>
            <w:vAlign w:val="center"/>
            <w:hideMark/>
          </w:tcPr>
          <w:p w14:paraId="2C43BE5B" w14:textId="14D01598" w:rsidR="00543D45" w:rsidRPr="00A52AEE" w:rsidRDefault="0074535F" w:rsidP="00FE68E8">
            <w:pPr>
              <w:rPr>
                <w:rFonts w:eastAsia="Times New Roman"/>
                <w:lang w:eastAsia="en-GB"/>
              </w:rPr>
            </w:pPr>
            <w:r>
              <w:t>16</w:t>
            </w:r>
          </w:p>
        </w:tc>
        <w:tc>
          <w:tcPr>
            <w:tcW w:w="455" w:type="pct"/>
            <w:tcBorders>
              <w:top w:val="nil"/>
              <w:left w:val="nil"/>
              <w:bottom w:val="single" w:sz="8" w:space="0" w:color="auto"/>
              <w:right w:val="single" w:sz="8" w:space="0" w:color="auto"/>
            </w:tcBorders>
            <w:shd w:val="clear" w:color="000000" w:fill="FFFFFF"/>
            <w:vAlign w:val="center"/>
            <w:hideMark/>
          </w:tcPr>
          <w:p w14:paraId="3DEA70C4" w14:textId="00F898D8" w:rsidR="00543D45" w:rsidRPr="00A52AEE" w:rsidRDefault="00543D45" w:rsidP="00FE68E8">
            <w:pPr>
              <w:rPr>
                <w:rFonts w:eastAsia="Times New Roman"/>
                <w:lang w:eastAsia="en-GB"/>
              </w:rPr>
            </w:pPr>
            <w:r w:rsidRPr="00A52AEE">
              <w:t>-17%</w:t>
            </w:r>
          </w:p>
        </w:tc>
      </w:tr>
      <w:tr w:rsidR="0074535F" w:rsidRPr="00A52AEE" w14:paraId="4DF7CC6C" w14:textId="77777777" w:rsidTr="0074535F">
        <w:trPr>
          <w:trHeight w:val="330"/>
        </w:trPr>
        <w:tc>
          <w:tcPr>
            <w:tcW w:w="743" w:type="pct"/>
            <w:tcBorders>
              <w:top w:val="nil"/>
              <w:left w:val="single" w:sz="8" w:space="0" w:color="auto"/>
              <w:bottom w:val="single" w:sz="8" w:space="0" w:color="auto"/>
              <w:right w:val="single" w:sz="8" w:space="0" w:color="auto"/>
            </w:tcBorders>
            <w:shd w:val="clear" w:color="000000" w:fill="FFFFFF"/>
            <w:noWrap/>
            <w:vAlign w:val="center"/>
            <w:hideMark/>
          </w:tcPr>
          <w:p w14:paraId="7EA307EA" w14:textId="77777777" w:rsidR="00543D45" w:rsidRPr="00A52AEE" w:rsidRDefault="00543D45" w:rsidP="00A52AEE">
            <w:pPr>
              <w:rPr>
                <w:lang w:eastAsia="en-GB"/>
              </w:rPr>
            </w:pPr>
            <w:r w:rsidRPr="00A52AEE">
              <w:rPr>
                <w:lang w:eastAsia="en-GB"/>
              </w:rPr>
              <w:t>Total</w:t>
            </w:r>
          </w:p>
        </w:tc>
        <w:tc>
          <w:tcPr>
            <w:tcW w:w="456" w:type="pct"/>
            <w:tcBorders>
              <w:top w:val="nil"/>
              <w:left w:val="nil"/>
              <w:bottom w:val="single" w:sz="8" w:space="0" w:color="auto"/>
              <w:right w:val="single" w:sz="8" w:space="0" w:color="auto"/>
            </w:tcBorders>
            <w:shd w:val="clear" w:color="auto" w:fill="auto"/>
            <w:noWrap/>
            <w:vAlign w:val="center"/>
            <w:hideMark/>
          </w:tcPr>
          <w:p w14:paraId="4F73A906" w14:textId="5EEAD5AC" w:rsidR="00543D45" w:rsidRPr="00A52AEE" w:rsidRDefault="00543D45" w:rsidP="00FE68E8">
            <w:pPr>
              <w:rPr>
                <w:rFonts w:eastAsia="Times New Roman"/>
                <w:lang w:eastAsia="en-GB"/>
              </w:rPr>
            </w:pPr>
            <w:r w:rsidRPr="00A52AEE">
              <w:t>42060</w:t>
            </w:r>
          </w:p>
        </w:tc>
        <w:tc>
          <w:tcPr>
            <w:tcW w:w="306" w:type="pct"/>
            <w:tcBorders>
              <w:top w:val="nil"/>
              <w:left w:val="nil"/>
              <w:bottom w:val="single" w:sz="8" w:space="0" w:color="auto"/>
              <w:right w:val="single" w:sz="8" w:space="0" w:color="auto"/>
            </w:tcBorders>
            <w:shd w:val="clear" w:color="000000" w:fill="FFFFFF"/>
            <w:noWrap/>
            <w:vAlign w:val="center"/>
          </w:tcPr>
          <w:p w14:paraId="23281F54" w14:textId="1BED5972" w:rsidR="00543D45" w:rsidRPr="00A52AEE" w:rsidRDefault="00C51CA7" w:rsidP="00C51CA7">
            <w:pPr>
              <w:rPr>
                <w:rFonts w:eastAsia="Times New Roman"/>
                <w:lang w:eastAsia="en-GB"/>
              </w:rPr>
            </w:pPr>
            <w:r>
              <w:rPr>
                <w:rFonts w:eastAsia="Times New Roman"/>
                <w:lang w:eastAsia="en-GB"/>
              </w:rPr>
              <w:t>*</w:t>
            </w:r>
          </w:p>
        </w:tc>
        <w:tc>
          <w:tcPr>
            <w:tcW w:w="455" w:type="pct"/>
            <w:tcBorders>
              <w:top w:val="nil"/>
              <w:left w:val="nil"/>
              <w:bottom w:val="single" w:sz="8" w:space="0" w:color="auto"/>
              <w:right w:val="single" w:sz="8" w:space="0" w:color="auto"/>
            </w:tcBorders>
            <w:shd w:val="clear" w:color="auto" w:fill="auto"/>
            <w:noWrap/>
            <w:vAlign w:val="center"/>
            <w:hideMark/>
          </w:tcPr>
          <w:p w14:paraId="55468C51" w14:textId="0F2B4A50" w:rsidR="00543D45" w:rsidRPr="00A52AEE" w:rsidRDefault="00C51CA7" w:rsidP="00C51CA7">
            <w:pPr>
              <w:rPr>
                <w:rFonts w:eastAsia="Times New Roman"/>
                <w:lang w:eastAsia="en-GB"/>
              </w:rPr>
            </w:pPr>
            <w:r>
              <w:fldChar w:fldCharType="begin"/>
            </w:r>
            <w:r>
              <w:instrText xml:space="preserve"> =SUM(ABOVE) </w:instrText>
            </w:r>
            <w:r>
              <w:fldChar w:fldCharType="separate"/>
            </w:r>
            <w:r>
              <w:rPr>
                <w:noProof/>
              </w:rPr>
              <w:t>44145</w:t>
            </w:r>
            <w:r>
              <w:fldChar w:fldCharType="end"/>
            </w:r>
          </w:p>
        </w:tc>
        <w:tc>
          <w:tcPr>
            <w:tcW w:w="305" w:type="pct"/>
            <w:tcBorders>
              <w:top w:val="nil"/>
              <w:left w:val="nil"/>
              <w:bottom w:val="single" w:sz="8" w:space="0" w:color="auto"/>
              <w:right w:val="single" w:sz="8" w:space="0" w:color="auto"/>
            </w:tcBorders>
            <w:shd w:val="clear" w:color="000000" w:fill="FFFFFF"/>
            <w:noWrap/>
            <w:vAlign w:val="center"/>
            <w:hideMark/>
          </w:tcPr>
          <w:p w14:paraId="0E81DF1D" w14:textId="5A5DD3B1" w:rsidR="00543D45" w:rsidRPr="00A52AEE" w:rsidRDefault="00543D45" w:rsidP="00C51CA7">
            <w:pPr>
              <w:rPr>
                <w:rFonts w:eastAsia="Times New Roman"/>
                <w:lang w:eastAsia="en-GB"/>
              </w:rPr>
            </w:pPr>
          </w:p>
        </w:tc>
        <w:tc>
          <w:tcPr>
            <w:tcW w:w="455" w:type="pct"/>
            <w:tcBorders>
              <w:top w:val="nil"/>
              <w:left w:val="nil"/>
              <w:bottom w:val="single" w:sz="8" w:space="0" w:color="auto"/>
              <w:right w:val="single" w:sz="8" w:space="0" w:color="auto"/>
            </w:tcBorders>
            <w:shd w:val="clear" w:color="auto" w:fill="auto"/>
            <w:noWrap/>
            <w:vAlign w:val="center"/>
            <w:hideMark/>
          </w:tcPr>
          <w:p w14:paraId="27590D4A" w14:textId="18F9A145" w:rsidR="00543D45" w:rsidRPr="00A52AEE" w:rsidRDefault="00543D45" w:rsidP="00FE68E8">
            <w:pPr>
              <w:rPr>
                <w:rFonts w:eastAsia="Times New Roman"/>
                <w:lang w:eastAsia="en-GB"/>
              </w:rPr>
            </w:pPr>
            <w:r w:rsidRPr="00A52AEE">
              <w:t>46085</w:t>
            </w:r>
          </w:p>
        </w:tc>
        <w:tc>
          <w:tcPr>
            <w:tcW w:w="305" w:type="pct"/>
            <w:tcBorders>
              <w:top w:val="nil"/>
              <w:left w:val="nil"/>
              <w:bottom w:val="single" w:sz="8" w:space="0" w:color="auto"/>
              <w:right w:val="single" w:sz="8" w:space="0" w:color="auto"/>
            </w:tcBorders>
            <w:shd w:val="clear" w:color="000000" w:fill="FFFFFF"/>
            <w:noWrap/>
            <w:vAlign w:val="center"/>
            <w:hideMark/>
          </w:tcPr>
          <w:p w14:paraId="1E5F9ABD" w14:textId="714BF744" w:rsidR="00543D45" w:rsidRPr="00A52AEE" w:rsidRDefault="00543D45" w:rsidP="00C51CA7">
            <w:pPr>
              <w:rPr>
                <w:rFonts w:eastAsia="Times New Roman"/>
                <w:lang w:eastAsia="en-GB"/>
              </w:rPr>
            </w:pPr>
          </w:p>
        </w:tc>
        <w:tc>
          <w:tcPr>
            <w:tcW w:w="455" w:type="pct"/>
            <w:tcBorders>
              <w:top w:val="nil"/>
              <w:left w:val="nil"/>
              <w:bottom w:val="single" w:sz="8" w:space="0" w:color="auto"/>
              <w:right w:val="single" w:sz="8" w:space="0" w:color="auto"/>
            </w:tcBorders>
            <w:shd w:val="clear" w:color="auto" w:fill="auto"/>
            <w:noWrap/>
            <w:vAlign w:val="center"/>
            <w:hideMark/>
          </w:tcPr>
          <w:p w14:paraId="54C009BE" w14:textId="67B26F95" w:rsidR="00543D45" w:rsidRPr="00A52AEE" w:rsidRDefault="00543D45" w:rsidP="00FE68E8">
            <w:pPr>
              <w:rPr>
                <w:rFonts w:eastAsia="Times New Roman"/>
                <w:lang w:eastAsia="en-GB"/>
              </w:rPr>
            </w:pPr>
            <w:r w:rsidRPr="00A52AEE">
              <w:t>42835</w:t>
            </w:r>
          </w:p>
        </w:tc>
        <w:tc>
          <w:tcPr>
            <w:tcW w:w="305" w:type="pct"/>
            <w:tcBorders>
              <w:top w:val="nil"/>
              <w:left w:val="nil"/>
              <w:bottom w:val="single" w:sz="8" w:space="0" w:color="auto"/>
              <w:right w:val="single" w:sz="8" w:space="0" w:color="auto"/>
            </w:tcBorders>
            <w:shd w:val="clear" w:color="000000" w:fill="FFFFFF"/>
            <w:noWrap/>
            <w:vAlign w:val="center"/>
            <w:hideMark/>
          </w:tcPr>
          <w:p w14:paraId="6642A9FE" w14:textId="370DB1CE" w:rsidR="00543D45" w:rsidRPr="00A52AEE" w:rsidRDefault="00543D45" w:rsidP="00C51CA7">
            <w:pPr>
              <w:rPr>
                <w:rFonts w:eastAsia="Times New Roman"/>
                <w:lang w:eastAsia="en-GB"/>
              </w:rPr>
            </w:pPr>
          </w:p>
        </w:tc>
        <w:tc>
          <w:tcPr>
            <w:tcW w:w="456" w:type="pct"/>
            <w:tcBorders>
              <w:top w:val="nil"/>
              <w:left w:val="nil"/>
              <w:bottom w:val="single" w:sz="8" w:space="0" w:color="auto"/>
              <w:right w:val="single" w:sz="8" w:space="0" w:color="auto"/>
            </w:tcBorders>
            <w:shd w:val="clear" w:color="auto" w:fill="auto"/>
            <w:noWrap/>
            <w:vAlign w:val="center"/>
            <w:hideMark/>
          </w:tcPr>
          <w:p w14:paraId="26806BA9" w14:textId="673693FF" w:rsidR="00543D45" w:rsidRPr="00A52AEE" w:rsidRDefault="00C51CA7" w:rsidP="00C51CA7">
            <w:pPr>
              <w:rPr>
                <w:rFonts w:eastAsia="Times New Roman"/>
                <w:lang w:eastAsia="en-GB"/>
              </w:rPr>
            </w:pPr>
            <w:r>
              <w:fldChar w:fldCharType="begin"/>
            </w:r>
            <w:r>
              <w:instrText xml:space="preserve"> =SUM(ABOVE) </w:instrText>
            </w:r>
            <w:r>
              <w:fldChar w:fldCharType="separate"/>
            </w:r>
            <w:r>
              <w:rPr>
                <w:noProof/>
              </w:rPr>
              <w:t>46385</w:t>
            </w:r>
            <w:r>
              <w:fldChar w:fldCharType="end"/>
            </w:r>
          </w:p>
        </w:tc>
        <w:tc>
          <w:tcPr>
            <w:tcW w:w="304" w:type="pct"/>
            <w:tcBorders>
              <w:top w:val="nil"/>
              <w:left w:val="nil"/>
              <w:bottom w:val="single" w:sz="8" w:space="0" w:color="auto"/>
              <w:right w:val="single" w:sz="8" w:space="0" w:color="auto"/>
            </w:tcBorders>
            <w:shd w:val="clear" w:color="000000" w:fill="FFFFFF"/>
            <w:noWrap/>
            <w:vAlign w:val="center"/>
            <w:hideMark/>
          </w:tcPr>
          <w:p w14:paraId="27AF0BF0" w14:textId="720278A8" w:rsidR="00543D45" w:rsidRPr="00A52AEE" w:rsidRDefault="00543D45" w:rsidP="00C51CA7">
            <w:pPr>
              <w:rPr>
                <w:rFonts w:eastAsia="Times New Roman"/>
                <w:lang w:eastAsia="en-GB"/>
              </w:rPr>
            </w:pPr>
          </w:p>
        </w:tc>
        <w:tc>
          <w:tcPr>
            <w:tcW w:w="455" w:type="pct"/>
            <w:tcBorders>
              <w:top w:val="nil"/>
              <w:left w:val="nil"/>
              <w:bottom w:val="single" w:sz="8" w:space="0" w:color="auto"/>
              <w:right w:val="single" w:sz="8" w:space="0" w:color="auto"/>
            </w:tcBorders>
            <w:shd w:val="clear" w:color="000000" w:fill="FFFFFF"/>
            <w:vAlign w:val="center"/>
            <w:hideMark/>
          </w:tcPr>
          <w:p w14:paraId="0169ABFD" w14:textId="4A65160C" w:rsidR="00543D45" w:rsidRPr="00A52AEE" w:rsidRDefault="00543D45" w:rsidP="00FE68E8">
            <w:pPr>
              <w:rPr>
                <w:rFonts w:eastAsia="Times New Roman"/>
                <w:lang w:eastAsia="en-GB"/>
              </w:rPr>
            </w:pPr>
            <w:r w:rsidRPr="00A52AEE">
              <w:t>10%</w:t>
            </w:r>
          </w:p>
        </w:tc>
      </w:tr>
    </w:tbl>
    <w:p w14:paraId="3FD47EE7" w14:textId="6A48257B" w:rsidR="00543D45" w:rsidRDefault="00C51CA7" w:rsidP="00A52AEE">
      <w:r>
        <w:t xml:space="preserve">* Percentages have been rounded </w:t>
      </w:r>
    </w:p>
    <w:p w14:paraId="7C4F52EE" w14:textId="77777777" w:rsidR="00C51CA7" w:rsidRPr="00A52AEE" w:rsidRDefault="00C51CA7" w:rsidP="00A52AEE"/>
    <w:p w14:paraId="561534EA" w14:textId="2985756C" w:rsidR="00543D45" w:rsidRPr="00A52AEE" w:rsidRDefault="00771DD0" w:rsidP="008D527A">
      <w:pPr>
        <w:pStyle w:val="Heading2"/>
      </w:pPr>
      <w:bookmarkStart w:id="73" w:name="_Toc411437013"/>
      <w:bookmarkStart w:id="74" w:name="_Toc429151307"/>
      <w:r>
        <w:t>4</w:t>
      </w:r>
      <w:r w:rsidR="007F7A33">
        <w:t>.3</w:t>
      </w:r>
      <w:r w:rsidR="0036229E" w:rsidRPr="00A52AEE">
        <w:tab/>
      </w:r>
      <w:r w:rsidR="00543D45" w:rsidRPr="00A52AEE">
        <w:t xml:space="preserve">Age and </w:t>
      </w:r>
      <w:r w:rsidR="0021637B" w:rsidRPr="00A52AEE">
        <w:t>Level</w:t>
      </w:r>
      <w:r w:rsidR="00543D45" w:rsidRPr="00A52AEE">
        <w:t xml:space="preserve"> 3 qualification type</w:t>
      </w:r>
      <w:bookmarkEnd w:id="73"/>
      <w:bookmarkEnd w:id="74"/>
    </w:p>
    <w:p w14:paraId="069BDC6A" w14:textId="07E65377" w:rsidR="00543D45" w:rsidRPr="00A52AEE" w:rsidRDefault="00543D45" w:rsidP="00A52AEE">
      <w:r w:rsidRPr="00A52AEE">
        <w:t xml:space="preserve">Across the five </w:t>
      </w:r>
      <w:r w:rsidR="00E0060E" w:rsidRPr="00A52AEE">
        <w:t>cohorts</w:t>
      </w:r>
      <w:r w:rsidRPr="00A52AEE">
        <w:t xml:space="preserve">, the majority of </w:t>
      </w:r>
      <w:r w:rsidR="0021637B" w:rsidRPr="00A52AEE">
        <w:t>Level</w:t>
      </w:r>
      <w:r w:rsidRPr="00A52AEE">
        <w:t xml:space="preserve"> 3 students on GCE A </w:t>
      </w:r>
      <w:r w:rsidR="0021637B" w:rsidRPr="00A52AEE">
        <w:t>Level</w:t>
      </w:r>
      <w:r w:rsidRPr="00A52AEE">
        <w:t xml:space="preserve"> and BTEC programmes were aged </w:t>
      </w:r>
      <w:r w:rsidR="005175E4" w:rsidRPr="00A52AEE">
        <w:t>17-19</w:t>
      </w:r>
      <w:r w:rsidRPr="00A52AEE">
        <w:t xml:space="preserve"> whereas the majority of Other Vocational students were over 25 as illustrated in Table 3. However, this group of students has changed in terms of age, with the proportion in the young age bracket, </w:t>
      </w:r>
      <w:r w:rsidR="005175E4" w:rsidRPr="00A52AEE">
        <w:t>17-19</w:t>
      </w:r>
      <w:r w:rsidRPr="00A52AEE">
        <w:t>, growing from 1</w:t>
      </w:r>
      <w:r w:rsidR="00E0060E" w:rsidRPr="00A52AEE">
        <w:t>7</w:t>
      </w:r>
      <w:r w:rsidRPr="00A52AEE">
        <w:t>% (2007-08 cohort) to 3</w:t>
      </w:r>
      <w:r w:rsidR="00E0060E" w:rsidRPr="00A52AEE">
        <w:t>2</w:t>
      </w:r>
      <w:r w:rsidRPr="00A52AEE">
        <w:t xml:space="preserve">% (2011-12 cohort). </w:t>
      </w:r>
      <w:r w:rsidR="00E0060E" w:rsidRPr="00A52AEE">
        <w:t xml:space="preserve"> A similar picture was found nationally.</w:t>
      </w:r>
    </w:p>
    <w:p w14:paraId="34C2969D" w14:textId="77777777" w:rsidR="00F60ABC" w:rsidRPr="00A52AEE" w:rsidRDefault="00F60ABC" w:rsidP="00A52AEE">
      <w:pPr>
        <w:rPr>
          <w:lang w:eastAsia="en-GB"/>
        </w:rPr>
      </w:pPr>
      <w:r w:rsidRPr="00A52AEE">
        <w:rPr>
          <w:lang w:eastAsia="en-GB"/>
        </w:rPr>
        <w:br w:type="page"/>
      </w:r>
    </w:p>
    <w:p w14:paraId="639806C9" w14:textId="0934D2FD" w:rsidR="00E0060E" w:rsidRPr="00305EFC" w:rsidRDefault="00305EFC" w:rsidP="00A52AEE">
      <w:pPr>
        <w:rPr>
          <w:b/>
          <w:lang w:eastAsia="en-GB"/>
        </w:rPr>
      </w:pPr>
      <w:r>
        <w:rPr>
          <w:b/>
          <w:lang w:eastAsia="en-GB"/>
        </w:rPr>
        <w:lastRenderedPageBreak/>
        <w:t>Table 3:</w:t>
      </w:r>
      <w:r w:rsidR="00E0060E" w:rsidRPr="00305EFC">
        <w:rPr>
          <w:b/>
          <w:lang w:eastAsia="en-GB"/>
        </w:rPr>
        <w:t xml:space="preserve"> Age and </w:t>
      </w:r>
      <w:r w:rsidR="0021637B" w:rsidRPr="00305EFC">
        <w:rPr>
          <w:b/>
          <w:lang w:eastAsia="en-GB"/>
        </w:rPr>
        <w:t>Level</w:t>
      </w:r>
      <w:r w:rsidR="00E0060E" w:rsidRPr="00305EFC">
        <w:rPr>
          <w:b/>
          <w:lang w:eastAsia="en-GB"/>
        </w:rPr>
        <w:t xml:space="preserve"> 3 qualification type</w:t>
      </w:r>
    </w:p>
    <w:p w14:paraId="22CE3978" w14:textId="77777777" w:rsidR="00F24239" w:rsidRPr="00A52AEE" w:rsidRDefault="00F24239" w:rsidP="00A52AEE"/>
    <w:tbl>
      <w:tblPr>
        <w:tblW w:w="9346" w:type="dxa"/>
        <w:tblInd w:w="118" w:type="dxa"/>
        <w:tblLook w:val="04A0" w:firstRow="1" w:lastRow="0" w:firstColumn="1" w:lastColumn="0" w:noHBand="0" w:noVBand="1"/>
      </w:tblPr>
      <w:tblGrid>
        <w:gridCol w:w="2480"/>
        <w:gridCol w:w="1196"/>
        <w:gridCol w:w="1104"/>
        <w:gridCol w:w="1164"/>
        <w:gridCol w:w="1134"/>
        <w:gridCol w:w="1134"/>
        <w:gridCol w:w="1134"/>
      </w:tblGrid>
      <w:tr w:rsidR="0036229E" w:rsidRPr="0074535F" w14:paraId="5DCAC977" w14:textId="77777777" w:rsidTr="0036229E">
        <w:trPr>
          <w:trHeight w:val="330"/>
        </w:trPr>
        <w:tc>
          <w:tcPr>
            <w:tcW w:w="2480" w:type="dxa"/>
            <w:tcBorders>
              <w:top w:val="single" w:sz="8" w:space="0" w:color="auto"/>
              <w:left w:val="single" w:sz="8" w:space="0" w:color="auto"/>
              <w:bottom w:val="single" w:sz="8" w:space="0" w:color="auto"/>
              <w:right w:val="single" w:sz="8" w:space="0" w:color="auto"/>
            </w:tcBorders>
            <w:shd w:val="clear" w:color="auto" w:fill="1F4E79" w:themeFill="accent1" w:themeFillShade="80"/>
            <w:noWrap/>
            <w:vAlign w:val="center"/>
            <w:hideMark/>
          </w:tcPr>
          <w:p w14:paraId="2237D528" w14:textId="77777777" w:rsidR="00E0060E" w:rsidRPr="0074535F" w:rsidRDefault="00E0060E" w:rsidP="00A52AEE">
            <w:pPr>
              <w:rPr>
                <w:b/>
                <w:color w:val="FFFFFF" w:themeColor="background1"/>
                <w:lang w:eastAsia="en-GB"/>
              </w:rPr>
            </w:pPr>
            <w:r w:rsidRPr="0074535F">
              <w:rPr>
                <w:b/>
                <w:color w:val="FFFFFF" w:themeColor="background1"/>
                <w:lang w:eastAsia="en-GB"/>
              </w:rPr>
              <w:t>Level 3 Qualification</w:t>
            </w:r>
          </w:p>
        </w:tc>
        <w:tc>
          <w:tcPr>
            <w:tcW w:w="1196"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52F915EE" w14:textId="77777777" w:rsidR="00E0060E" w:rsidRPr="0074535F" w:rsidRDefault="00E0060E" w:rsidP="00A52AEE">
            <w:pPr>
              <w:rPr>
                <w:b/>
                <w:color w:val="FFFFFF" w:themeColor="background1"/>
                <w:lang w:eastAsia="en-GB"/>
              </w:rPr>
            </w:pPr>
            <w:r w:rsidRPr="0074535F">
              <w:rPr>
                <w:b/>
                <w:color w:val="FFFFFF" w:themeColor="background1"/>
                <w:lang w:eastAsia="en-GB"/>
              </w:rPr>
              <w:t>Age group</w:t>
            </w:r>
          </w:p>
        </w:tc>
        <w:tc>
          <w:tcPr>
            <w:tcW w:w="1104"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38CB205B" w14:textId="77777777" w:rsidR="00E0060E" w:rsidRPr="0074535F" w:rsidRDefault="00E0060E" w:rsidP="00A52AEE">
            <w:pPr>
              <w:rPr>
                <w:b/>
                <w:color w:val="FFFFFF" w:themeColor="background1"/>
                <w:lang w:eastAsia="en-GB"/>
              </w:rPr>
            </w:pPr>
            <w:r w:rsidRPr="0074535F">
              <w:rPr>
                <w:b/>
                <w:color w:val="FFFFFF" w:themeColor="background1"/>
                <w:lang w:eastAsia="en-GB"/>
              </w:rPr>
              <w:t>2007-08</w:t>
            </w:r>
          </w:p>
        </w:tc>
        <w:tc>
          <w:tcPr>
            <w:tcW w:w="1164"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63A5152E" w14:textId="77777777" w:rsidR="00E0060E" w:rsidRPr="0074535F" w:rsidRDefault="00E0060E" w:rsidP="00A52AEE">
            <w:pPr>
              <w:rPr>
                <w:b/>
                <w:color w:val="FFFFFF" w:themeColor="background1"/>
                <w:lang w:eastAsia="en-GB"/>
              </w:rPr>
            </w:pPr>
            <w:r w:rsidRPr="0074535F">
              <w:rPr>
                <w:b/>
                <w:color w:val="FFFFFF" w:themeColor="background1"/>
                <w:lang w:eastAsia="en-GB"/>
              </w:rPr>
              <w:t>2008-09</w:t>
            </w:r>
          </w:p>
        </w:tc>
        <w:tc>
          <w:tcPr>
            <w:tcW w:w="1134"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4F2A628C" w14:textId="77777777" w:rsidR="00E0060E" w:rsidRPr="0074535F" w:rsidRDefault="00E0060E" w:rsidP="00A52AEE">
            <w:pPr>
              <w:rPr>
                <w:b/>
                <w:color w:val="FFFFFF" w:themeColor="background1"/>
                <w:lang w:eastAsia="en-GB"/>
              </w:rPr>
            </w:pPr>
            <w:r w:rsidRPr="0074535F">
              <w:rPr>
                <w:b/>
                <w:color w:val="FFFFFF" w:themeColor="background1"/>
                <w:lang w:eastAsia="en-GB"/>
              </w:rPr>
              <w:t>2009-10</w:t>
            </w:r>
          </w:p>
        </w:tc>
        <w:tc>
          <w:tcPr>
            <w:tcW w:w="1134"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281370B9" w14:textId="77777777" w:rsidR="00E0060E" w:rsidRPr="0074535F" w:rsidRDefault="00E0060E" w:rsidP="00A52AEE">
            <w:pPr>
              <w:rPr>
                <w:b/>
                <w:color w:val="FFFFFF" w:themeColor="background1"/>
                <w:lang w:eastAsia="en-GB"/>
              </w:rPr>
            </w:pPr>
            <w:r w:rsidRPr="0074535F">
              <w:rPr>
                <w:b/>
                <w:color w:val="FFFFFF" w:themeColor="background1"/>
                <w:lang w:eastAsia="en-GB"/>
              </w:rPr>
              <w:t>2010-11</w:t>
            </w:r>
          </w:p>
        </w:tc>
        <w:tc>
          <w:tcPr>
            <w:tcW w:w="1134"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0CD83736" w14:textId="77777777" w:rsidR="00E0060E" w:rsidRPr="0074535F" w:rsidRDefault="00E0060E" w:rsidP="00A52AEE">
            <w:pPr>
              <w:rPr>
                <w:b/>
                <w:color w:val="FFFFFF" w:themeColor="background1"/>
                <w:lang w:eastAsia="en-GB"/>
              </w:rPr>
            </w:pPr>
            <w:r w:rsidRPr="0074535F">
              <w:rPr>
                <w:b/>
                <w:color w:val="FFFFFF" w:themeColor="background1"/>
                <w:lang w:eastAsia="en-GB"/>
              </w:rPr>
              <w:t>2011-12</w:t>
            </w:r>
          </w:p>
        </w:tc>
      </w:tr>
      <w:tr w:rsidR="00E0060E" w:rsidRPr="00A52AEE" w14:paraId="13D476B8" w14:textId="77777777" w:rsidTr="0036229E">
        <w:trPr>
          <w:trHeight w:val="315"/>
        </w:trPr>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9FB292" w14:textId="77777777" w:rsidR="00E0060E" w:rsidRPr="00C51CA7" w:rsidRDefault="00E0060E" w:rsidP="00A52AEE">
            <w:pPr>
              <w:rPr>
                <w:b/>
                <w:lang w:eastAsia="en-GB"/>
              </w:rPr>
            </w:pPr>
            <w:r w:rsidRPr="00C51CA7">
              <w:rPr>
                <w:b/>
                <w:lang w:eastAsia="en-GB"/>
              </w:rPr>
              <w:t>Access to HE</w:t>
            </w:r>
          </w:p>
        </w:tc>
        <w:tc>
          <w:tcPr>
            <w:tcW w:w="1196" w:type="dxa"/>
            <w:tcBorders>
              <w:top w:val="nil"/>
              <w:left w:val="nil"/>
              <w:bottom w:val="single" w:sz="8" w:space="0" w:color="auto"/>
              <w:right w:val="single" w:sz="8" w:space="0" w:color="auto"/>
            </w:tcBorders>
            <w:shd w:val="clear" w:color="auto" w:fill="auto"/>
            <w:noWrap/>
            <w:vAlign w:val="center"/>
            <w:hideMark/>
          </w:tcPr>
          <w:p w14:paraId="54926ACC" w14:textId="77777777" w:rsidR="00E0060E" w:rsidRPr="00A52AEE" w:rsidRDefault="00E0060E" w:rsidP="00A52AEE">
            <w:pPr>
              <w:rPr>
                <w:lang w:eastAsia="en-GB"/>
              </w:rPr>
            </w:pPr>
            <w:r w:rsidRPr="00A52AEE">
              <w:rPr>
                <w:lang w:eastAsia="en-GB"/>
              </w:rPr>
              <w:t>Less 20</w:t>
            </w:r>
          </w:p>
        </w:tc>
        <w:tc>
          <w:tcPr>
            <w:tcW w:w="1104" w:type="dxa"/>
            <w:tcBorders>
              <w:top w:val="nil"/>
              <w:left w:val="nil"/>
              <w:bottom w:val="single" w:sz="8" w:space="0" w:color="auto"/>
              <w:right w:val="single" w:sz="8" w:space="0" w:color="auto"/>
            </w:tcBorders>
            <w:shd w:val="clear" w:color="auto" w:fill="auto"/>
            <w:noWrap/>
            <w:vAlign w:val="center"/>
            <w:hideMark/>
          </w:tcPr>
          <w:p w14:paraId="1017F332" w14:textId="77777777" w:rsidR="00E0060E" w:rsidRPr="00A52AEE" w:rsidRDefault="00E0060E" w:rsidP="00FE68E8">
            <w:pPr>
              <w:jc w:val="right"/>
              <w:rPr>
                <w:lang w:eastAsia="en-GB"/>
              </w:rPr>
            </w:pPr>
            <w:r w:rsidRPr="00A52AEE">
              <w:rPr>
                <w:lang w:eastAsia="en-GB"/>
              </w:rPr>
              <w:t>18%</w:t>
            </w:r>
          </w:p>
        </w:tc>
        <w:tc>
          <w:tcPr>
            <w:tcW w:w="1164" w:type="dxa"/>
            <w:tcBorders>
              <w:top w:val="nil"/>
              <w:left w:val="nil"/>
              <w:bottom w:val="single" w:sz="8" w:space="0" w:color="auto"/>
              <w:right w:val="single" w:sz="8" w:space="0" w:color="auto"/>
            </w:tcBorders>
            <w:shd w:val="clear" w:color="auto" w:fill="auto"/>
            <w:noWrap/>
            <w:vAlign w:val="center"/>
            <w:hideMark/>
          </w:tcPr>
          <w:p w14:paraId="01D98BE7" w14:textId="77777777" w:rsidR="00E0060E" w:rsidRPr="00A52AEE" w:rsidRDefault="00E0060E" w:rsidP="00FE68E8">
            <w:pPr>
              <w:jc w:val="right"/>
              <w:rPr>
                <w:lang w:eastAsia="en-GB"/>
              </w:rPr>
            </w:pPr>
            <w:r w:rsidRPr="00A52AEE">
              <w:rPr>
                <w:lang w:eastAsia="en-GB"/>
              </w:rPr>
              <w:t>19%</w:t>
            </w:r>
          </w:p>
        </w:tc>
        <w:tc>
          <w:tcPr>
            <w:tcW w:w="1134" w:type="dxa"/>
            <w:tcBorders>
              <w:top w:val="nil"/>
              <w:left w:val="nil"/>
              <w:bottom w:val="single" w:sz="8" w:space="0" w:color="auto"/>
              <w:right w:val="single" w:sz="8" w:space="0" w:color="auto"/>
            </w:tcBorders>
            <w:shd w:val="clear" w:color="auto" w:fill="auto"/>
            <w:noWrap/>
            <w:vAlign w:val="center"/>
            <w:hideMark/>
          </w:tcPr>
          <w:p w14:paraId="11D8BC04" w14:textId="77777777" w:rsidR="00E0060E" w:rsidRPr="00A52AEE" w:rsidRDefault="00E0060E" w:rsidP="00FE68E8">
            <w:pPr>
              <w:jc w:val="right"/>
              <w:rPr>
                <w:lang w:eastAsia="en-GB"/>
              </w:rPr>
            </w:pPr>
            <w:r w:rsidRPr="00A52AEE">
              <w:rPr>
                <w:lang w:eastAsia="en-GB"/>
              </w:rPr>
              <w:t>16%</w:t>
            </w:r>
          </w:p>
        </w:tc>
        <w:tc>
          <w:tcPr>
            <w:tcW w:w="1134" w:type="dxa"/>
            <w:tcBorders>
              <w:top w:val="nil"/>
              <w:left w:val="nil"/>
              <w:bottom w:val="single" w:sz="8" w:space="0" w:color="auto"/>
              <w:right w:val="single" w:sz="8" w:space="0" w:color="auto"/>
            </w:tcBorders>
            <w:shd w:val="clear" w:color="auto" w:fill="auto"/>
            <w:noWrap/>
            <w:vAlign w:val="center"/>
            <w:hideMark/>
          </w:tcPr>
          <w:p w14:paraId="42B1A78B" w14:textId="77777777" w:rsidR="00E0060E" w:rsidRPr="00A52AEE" w:rsidRDefault="00E0060E" w:rsidP="00FE68E8">
            <w:pPr>
              <w:jc w:val="right"/>
              <w:rPr>
                <w:lang w:eastAsia="en-GB"/>
              </w:rPr>
            </w:pPr>
            <w:r w:rsidRPr="00A52AEE">
              <w:rPr>
                <w:lang w:eastAsia="en-GB"/>
              </w:rPr>
              <w:t>16%</w:t>
            </w:r>
          </w:p>
        </w:tc>
        <w:tc>
          <w:tcPr>
            <w:tcW w:w="1134" w:type="dxa"/>
            <w:tcBorders>
              <w:top w:val="nil"/>
              <w:left w:val="nil"/>
              <w:bottom w:val="single" w:sz="8" w:space="0" w:color="auto"/>
              <w:right w:val="single" w:sz="8" w:space="0" w:color="auto"/>
            </w:tcBorders>
            <w:shd w:val="clear" w:color="auto" w:fill="auto"/>
            <w:noWrap/>
            <w:vAlign w:val="center"/>
            <w:hideMark/>
          </w:tcPr>
          <w:p w14:paraId="347551EB" w14:textId="77777777" w:rsidR="00E0060E" w:rsidRPr="00A52AEE" w:rsidRDefault="00E0060E" w:rsidP="00FE68E8">
            <w:pPr>
              <w:jc w:val="right"/>
              <w:rPr>
                <w:lang w:eastAsia="en-GB"/>
              </w:rPr>
            </w:pPr>
            <w:r w:rsidRPr="00A52AEE">
              <w:rPr>
                <w:lang w:eastAsia="en-GB"/>
              </w:rPr>
              <w:t>17%</w:t>
            </w:r>
          </w:p>
        </w:tc>
      </w:tr>
      <w:tr w:rsidR="00E0060E" w:rsidRPr="00A52AEE" w14:paraId="36E4BEA0"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58DB3C38"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6DA22634" w14:textId="77777777" w:rsidR="00E0060E" w:rsidRPr="00A52AEE" w:rsidRDefault="00E0060E" w:rsidP="00A52AEE">
            <w:pPr>
              <w:rPr>
                <w:lang w:eastAsia="en-GB"/>
              </w:rPr>
            </w:pPr>
            <w:r w:rsidRPr="00A52AEE">
              <w:rPr>
                <w:lang w:eastAsia="en-GB"/>
              </w:rPr>
              <w:t>20-24</w:t>
            </w:r>
          </w:p>
        </w:tc>
        <w:tc>
          <w:tcPr>
            <w:tcW w:w="1104" w:type="dxa"/>
            <w:tcBorders>
              <w:top w:val="nil"/>
              <w:left w:val="nil"/>
              <w:bottom w:val="single" w:sz="8" w:space="0" w:color="auto"/>
              <w:right w:val="single" w:sz="8" w:space="0" w:color="auto"/>
            </w:tcBorders>
            <w:shd w:val="clear" w:color="auto" w:fill="auto"/>
            <w:noWrap/>
            <w:vAlign w:val="center"/>
            <w:hideMark/>
          </w:tcPr>
          <w:p w14:paraId="00A08E62" w14:textId="77777777" w:rsidR="00E0060E" w:rsidRPr="00A52AEE" w:rsidRDefault="00E0060E" w:rsidP="00FE68E8">
            <w:pPr>
              <w:jc w:val="right"/>
              <w:rPr>
                <w:lang w:eastAsia="en-GB"/>
              </w:rPr>
            </w:pPr>
            <w:r w:rsidRPr="00A52AEE">
              <w:rPr>
                <w:lang w:eastAsia="en-GB"/>
              </w:rPr>
              <w:t>34%</w:t>
            </w:r>
          </w:p>
        </w:tc>
        <w:tc>
          <w:tcPr>
            <w:tcW w:w="1164" w:type="dxa"/>
            <w:tcBorders>
              <w:top w:val="nil"/>
              <w:left w:val="nil"/>
              <w:bottom w:val="single" w:sz="8" w:space="0" w:color="auto"/>
              <w:right w:val="single" w:sz="8" w:space="0" w:color="auto"/>
            </w:tcBorders>
            <w:shd w:val="clear" w:color="auto" w:fill="auto"/>
            <w:noWrap/>
            <w:vAlign w:val="center"/>
            <w:hideMark/>
          </w:tcPr>
          <w:p w14:paraId="2A82F1E3" w14:textId="77777777" w:rsidR="00E0060E" w:rsidRPr="00A52AEE" w:rsidRDefault="00E0060E" w:rsidP="00FE68E8">
            <w:pPr>
              <w:jc w:val="right"/>
              <w:rPr>
                <w:lang w:eastAsia="en-GB"/>
              </w:rPr>
            </w:pPr>
            <w:r w:rsidRPr="00A52AEE">
              <w:rPr>
                <w:lang w:eastAsia="en-GB"/>
              </w:rPr>
              <w:t>35%</w:t>
            </w:r>
          </w:p>
        </w:tc>
        <w:tc>
          <w:tcPr>
            <w:tcW w:w="1134" w:type="dxa"/>
            <w:tcBorders>
              <w:top w:val="nil"/>
              <w:left w:val="nil"/>
              <w:bottom w:val="single" w:sz="8" w:space="0" w:color="auto"/>
              <w:right w:val="single" w:sz="8" w:space="0" w:color="auto"/>
            </w:tcBorders>
            <w:shd w:val="clear" w:color="auto" w:fill="auto"/>
            <w:noWrap/>
            <w:vAlign w:val="center"/>
            <w:hideMark/>
          </w:tcPr>
          <w:p w14:paraId="7C86525A" w14:textId="77777777" w:rsidR="00E0060E" w:rsidRPr="00A52AEE" w:rsidRDefault="00E0060E" w:rsidP="00FE68E8">
            <w:pPr>
              <w:jc w:val="right"/>
              <w:rPr>
                <w:lang w:eastAsia="en-GB"/>
              </w:rPr>
            </w:pPr>
            <w:r w:rsidRPr="00A52AEE">
              <w:rPr>
                <w:lang w:eastAsia="en-GB"/>
              </w:rPr>
              <w:t>34%</w:t>
            </w:r>
          </w:p>
        </w:tc>
        <w:tc>
          <w:tcPr>
            <w:tcW w:w="1134" w:type="dxa"/>
            <w:tcBorders>
              <w:top w:val="nil"/>
              <w:left w:val="nil"/>
              <w:bottom w:val="single" w:sz="8" w:space="0" w:color="auto"/>
              <w:right w:val="single" w:sz="8" w:space="0" w:color="auto"/>
            </w:tcBorders>
            <w:shd w:val="clear" w:color="auto" w:fill="auto"/>
            <w:noWrap/>
            <w:vAlign w:val="center"/>
            <w:hideMark/>
          </w:tcPr>
          <w:p w14:paraId="48123793" w14:textId="77777777" w:rsidR="00E0060E" w:rsidRPr="00A52AEE" w:rsidRDefault="00E0060E" w:rsidP="00FE68E8">
            <w:pPr>
              <w:jc w:val="right"/>
              <w:rPr>
                <w:lang w:eastAsia="en-GB"/>
              </w:rPr>
            </w:pPr>
            <w:r w:rsidRPr="00A52AEE">
              <w:rPr>
                <w:lang w:eastAsia="en-GB"/>
              </w:rPr>
              <w:t>34%</w:t>
            </w:r>
          </w:p>
        </w:tc>
        <w:tc>
          <w:tcPr>
            <w:tcW w:w="1134" w:type="dxa"/>
            <w:tcBorders>
              <w:top w:val="nil"/>
              <w:left w:val="nil"/>
              <w:bottom w:val="single" w:sz="8" w:space="0" w:color="auto"/>
              <w:right w:val="single" w:sz="8" w:space="0" w:color="auto"/>
            </w:tcBorders>
            <w:shd w:val="clear" w:color="auto" w:fill="auto"/>
            <w:noWrap/>
            <w:vAlign w:val="center"/>
            <w:hideMark/>
          </w:tcPr>
          <w:p w14:paraId="7DEAE1C8" w14:textId="77777777" w:rsidR="00E0060E" w:rsidRPr="00A52AEE" w:rsidRDefault="00E0060E" w:rsidP="00FE68E8">
            <w:pPr>
              <w:jc w:val="right"/>
              <w:rPr>
                <w:lang w:eastAsia="en-GB"/>
              </w:rPr>
            </w:pPr>
            <w:r w:rsidRPr="00A52AEE">
              <w:rPr>
                <w:lang w:eastAsia="en-GB"/>
              </w:rPr>
              <w:t>33%</w:t>
            </w:r>
          </w:p>
        </w:tc>
      </w:tr>
      <w:tr w:rsidR="00E0060E" w:rsidRPr="00A52AEE" w14:paraId="250EC52C"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0071DB77"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2AFD27D1" w14:textId="77777777" w:rsidR="00E0060E" w:rsidRPr="00A52AEE" w:rsidRDefault="00E0060E" w:rsidP="00A52AEE">
            <w:pPr>
              <w:rPr>
                <w:lang w:eastAsia="en-GB"/>
              </w:rPr>
            </w:pPr>
            <w:r w:rsidRPr="00A52AEE">
              <w:rPr>
                <w:lang w:eastAsia="en-GB"/>
              </w:rPr>
              <w:t>25 plus</w:t>
            </w:r>
          </w:p>
        </w:tc>
        <w:tc>
          <w:tcPr>
            <w:tcW w:w="1104" w:type="dxa"/>
            <w:tcBorders>
              <w:top w:val="nil"/>
              <w:left w:val="nil"/>
              <w:bottom w:val="single" w:sz="8" w:space="0" w:color="auto"/>
              <w:right w:val="single" w:sz="8" w:space="0" w:color="auto"/>
            </w:tcBorders>
            <w:shd w:val="clear" w:color="auto" w:fill="auto"/>
            <w:noWrap/>
            <w:vAlign w:val="center"/>
            <w:hideMark/>
          </w:tcPr>
          <w:p w14:paraId="4CED509F" w14:textId="77777777" w:rsidR="00E0060E" w:rsidRPr="00A52AEE" w:rsidRDefault="00E0060E" w:rsidP="00FE68E8">
            <w:pPr>
              <w:jc w:val="right"/>
              <w:rPr>
                <w:lang w:eastAsia="en-GB"/>
              </w:rPr>
            </w:pPr>
            <w:r w:rsidRPr="00A52AEE">
              <w:rPr>
                <w:lang w:eastAsia="en-GB"/>
              </w:rPr>
              <w:t>49%</w:t>
            </w:r>
          </w:p>
        </w:tc>
        <w:tc>
          <w:tcPr>
            <w:tcW w:w="1164" w:type="dxa"/>
            <w:tcBorders>
              <w:top w:val="nil"/>
              <w:left w:val="nil"/>
              <w:bottom w:val="single" w:sz="8" w:space="0" w:color="auto"/>
              <w:right w:val="single" w:sz="8" w:space="0" w:color="auto"/>
            </w:tcBorders>
            <w:shd w:val="clear" w:color="auto" w:fill="auto"/>
            <w:noWrap/>
            <w:vAlign w:val="center"/>
            <w:hideMark/>
          </w:tcPr>
          <w:p w14:paraId="473AC4FB" w14:textId="77777777" w:rsidR="00E0060E" w:rsidRPr="00A52AEE" w:rsidRDefault="00E0060E" w:rsidP="00FE68E8">
            <w:pPr>
              <w:jc w:val="right"/>
              <w:rPr>
                <w:lang w:eastAsia="en-GB"/>
              </w:rPr>
            </w:pPr>
            <w:r w:rsidRPr="00A52AEE">
              <w:rPr>
                <w:lang w:eastAsia="en-GB"/>
              </w:rPr>
              <w:t>47%</w:t>
            </w:r>
          </w:p>
        </w:tc>
        <w:tc>
          <w:tcPr>
            <w:tcW w:w="1134" w:type="dxa"/>
            <w:tcBorders>
              <w:top w:val="nil"/>
              <w:left w:val="nil"/>
              <w:bottom w:val="single" w:sz="8" w:space="0" w:color="auto"/>
              <w:right w:val="single" w:sz="8" w:space="0" w:color="auto"/>
            </w:tcBorders>
            <w:shd w:val="clear" w:color="auto" w:fill="auto"/>
            <w:noWrap/>
            <w:vAlign w:val="center"/>
            <w:hideMark/>
          </w:tcPr>
          <w:p w14:paraId="34A3B1D8" w14:textId="77777777" w:rsidR="00E0060E" w:rsidRPr="00A52AEE" w:rsidRDefault="00E0060E" w:rsidP="00FE68E8">
            <w:pPr>
              <w:jc w:val="right"/>
              <w:rPr>
                <w:lang w:eastAsia="en-GB"/>
              </w:rPr>
            </w:pPr>
            <w:r w:rsidRPr="00A52AEE">
              <w:rPr>
                <w:lang w:eastAsia="en-GB"/>
              </w:rPr>
              <w:t>50%</w:t>
            </w:r>
          </w:p>
        </w:tc>
        <w:tc>
          <w:tcPr>
            <w:tcW w:w="1134" w:type="dxa"/>
            <w:tcBorders>
              <w:top w:val="nil"/>
              <w:left w:val="nil"/>
              <w:bottom w:val="single" w:sz="8" w:space="0" w:color="auto"/>
              <w:right w:val="single" w:sz="8" w:space="0" w:color="auto"/>
            </w:tcBorders>
            <w:shd w:val="clear" w:color="auto" w:fill="auto"/>
            <w:noWrap/>
            <w:vAlign w:val="center"/>
            <w:hideMark/>
          </w:tcPr>
          <w:p w14:paraId="06EA6B16" w14:textId="77777777" w:rsidR="00E0060E" w:rsidRPr="00A52AEE" w:rsidRDefault="00E0060E" w:rsidP="00FE68E8">
            <w:pPr>
              <w:jc w:val="right"/>
              <w:rPr>
                <w:lang w:eastAsia="en-GB"/>
              </w:rPr>
            </w:pPr>
            <w:r w:rsidRPr="00A52AEE">
              <w:rPr>
                <w:lang w:eastAsia="en-GB"/>
              </w:rPr>
              <w:t>50%</w:t>
            </w:r>
          </w:p>
        </w:tc>
        <w:tc>
          <w:tcPr>
            <w:tcW w:w="1134" w:type="dxa"/>
            <w:tcBorders>
              <w:top w:val="nil"/>
              <w:left w:val="nil"/>
              <w:bottom w:val="single" w:sz="8" w:space="0" w:color="auto"/>
              <w:right w:val="single" w:sz="8" w:space="0" w:color="auto"/>
            </w:tcBorders>
            <w:shd w:val="clear" w:color="auto" w:fill="auto"/>
            <w:noWrap/>
            <w:vAlign w:val="center"/>
            <w:hideMark/>
          </w:tcPr>
          <w:p w14:paraId="6A1AE6A2" w14:textId="77777777" w:rsidR="00E0060E" w:rsidRPr="00A52AEE" w:rsidRDefault="00E0060E" w:rsidP="00FE68E8">
            <w:pPr>
              <w:jc w:val="right"/>
              <w:rPr>
                <w:lang w:eastAsia="en-GB"/>
              </w:rPr>
            </w:pPr>
            <w:r w:rsidRPr="00A52AEE">
              <w:rPr>
                <w:lang w:eastAsia="en-GB"/>
              </w:rPr>
              <w:t>50%</w:t>
            </w:r>
          </w:p>
        </w:tc>
      </w:tr>
      <w:tr w:rsidR="00E0060E" w:rsidRPr="0074535F" w14:paraId="4AE77A0C" w14:textId="77777777" w:rsidTr="0036229E">
        <w:trPr>
          <w:trHeight w:val="20"/>
        </w:trPr>
        <w:tc>
          <w:tcPr>
            <w:tcW w:w="9346" w:type="dxa"/>
            <w:gridSpan w:val="7"/>
            <w:tcBorders>
              <w:top w:val="single" w:sz="8" w:space="0" w:color="auto"/>
              <w:left w:val="single" w:sz="8" w:space="0" w:color="auto"/>
              <w:bottom w:val="single" w:sz="8" w:space="0" w:color="auto"/>
              <w:right w:val="single" w:sz="8" w:space="0" w:color="000000"/>
            </w:tcBorders>
            <w:shd w:val="clear" w:color="auto" w:fill="1F4E79" w:themeFill="accent1" w:themeFillShade="80"/>
            <w:noWrap/>
            <w:vAlign w:val="center"/>
            <w:hideMark/>
          </w:tcPr>
          <w:p w14:paraId="42AEE72D" w14:textId="77777777" w:rsidR="00E0060E" w:rsidRPr="00C51CA7" w:rsidRDefault="00E0060E" w:rsidP="00FE68E8">
            <w:pPr>
              <w:jc w:val="right"/>
              <w:rPr>
                <w:b/>
                <w:sz w:val="4"/>
                <w:lang w:eastAsia="en-GB"/>
              </w:rPr>
            </w:pPr>
            <w:r w:rsidRPr="00C51CA7">
              <w:rPr>
                <w:b/>
                <w:sz w:val="4"/>
                <w:lang w:eastAsia="en-GB"/>
              </w:rPr>
              <w:t> </w:t>
            </w:r>
          </w:p>
        </w:tc>
      </w:tr>
      <w:tr w:rsidR="00E0060E" w:rsidRPr="00A52AEE" w14:paraId="330B927B" w14:textId="77777777" w:rsidTr="0036229E">
        <w:trPr>
          <w:trHeight w:val="315"/>
        </w:trPr>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41E9E3" w14:textId="77777777" w:rsidR="00E0060E" w:rsidRPr="00C51CA7" w:rsidRDefault="00E0060E" w:rsidP="00A52AEE">
            <w:pPr>
              <w:rPr>
                <w:b/>
                <w:lang w:eastAsia="en-GB"/>
              </w:rPr>
            </w:pPr>
            <w:r w:rsidRPr="00C51CA7">
              <w:rPr>
                <w:b/>
                <w:lang w:eastAsia="en-GB"/>
              </w:rPr>
              <w:t>BTEC</w:t>
            </w:r>
          </w:p>
        </w:tc>
        <w:tc>
          <w:tcPr>
            <w:tcW w:w="1196" w:type="dxa"/>
            <w:tcBorders>
              <w:top w:val="nil"/>
              <w:left w:val="nil"/>
              <w:bottom w:val="single" w:sz="8" w:space="0" w:color="auto"/>
              <w:right w:val="single" w:sz="8" w:space="0" w:color="auto"/>
            </w:tcBorders>
            <w:shd w:val="clear" w:color="auto" w:fill="auto"/>
            <w:noWrap/>
            <w:vAlign w:val="center"/>
            <w:hideMark/>
          </w:tcPr>
          <w:p w14:paraId="54B686E6" w14:textId="77777777" w:rsidR="00E0060E" w:rsidRPr="00A52AEE" w:rsidRDefault="00E0060E" w:rsidP="00A52AEE">
            <w:pPr>
              <w:rPr>
                <w:lang w:eastAsia="en-GB"/>
              </w:rPr>
            </w:pPr>
            <w:r w:rsidRPr="00A52AEE">
              <w:rPr>
                <w:lang w:eastAsia="en-GB"/>
              </w:rPr>
              <w:t>Less 20</w:t>
            </w:r>
          </w:p>
        </w:tc>
        <w:tc>
          <w:tcPr>
            <w:tcW w:w="1104" w:type="dxa"/>
            <w:tcBorders>
              <w:top w:val="nil"/>
              <w:left w:val="nil"/>
              <w:bottom w:val="single" w:sz="8" w:space="0" w:color="auto"/>
              <w:right w:val="single" w:sz="8" w:space="0" w:color="auto"/>
            </w:tcBorders>
            <w:shd w:val="clear" w:color="auto" w:fill="auto"/>
            <w:noWrap/>
            <w:vAlign w:val="center"/>
            <w:hideMark/>
          </w:tcPr>
          <w:p w14:paraId="796212CC" w14:textId="77777777" w:rsidR="00E0060E" w:rsidRPr="00A52AEE" w:rsidRDefault="00E0060E" w:rsidP="00FE68E8">
            <w:pPr>
              <w:jc w:val="right"/>
              <w:rPr>
                <w:lang w:eastAsia="en-GB"/>
              </w:rPr>
            </w:pPr>
            <w:r w:rsidRPr="00A52AEE">
              <w:rPr>
                <w:lang w:eastAsia="en-GB"/>
              </w:rPr>
              <w:t>83%</w:t>
            </w:r>
          </w:p>
        </w:tc>
        <w:tc>
          <w:tcPr>
            <w:tcW w:w="1164" w:type="dxa"/>
            <w:tcBorders>
              <w:top w:val="nil"/>
              <w:left w:val="nil"/>
              <w:bottom w:val="single" w:sz="8" w:space="0" w:color="auto"/>
              <w:right w:val="single" w:sz="8" w:space="0" w:color="auto"/>
            </w:tcBorders>
            <w:shd w:val="clear" w:color="auto" w:fill="auto"/>
            <w:noWrap/>
            <w:vAlign w:val="center"/>
            <w:hideMark/>
          </w:tcPr>
          <w:p w14:paraId="427815DE" w14:textId="77777777" w:rsidR="00E0060E" w:rsidRPr="00A52AEE" w:rsidRDefault="00E0060E" w:rsidP="00FE68E8">
            <w:pPr>
              <w:jc w:val="right"/>
              <w:rPr>
                <w:lang w:eastAsia="en-GB"/>
              </w:rPr>
            </w:pPr>
            <w:r w:rsidRPr="00A52AEE">
              <w:rPr>
                <w:lang w:eastAsia="en-GB"/>
              </w:rPr>
              <w:t>82%</w:t>
            </w:r>
          </w:p>
        </w:tc>
        <w:tc>
          <w:tcPr>
            <w:tcW w:w="1134" w:type="dxa"/>
            <w:tcBorders>
              <w:top w:val="nil"/>
              <w:left w:val="nil"/>
              <w:bottom w:val="single" w:sz="8" w:space="0" w:color="auto"/>
              <w:right w:val="single" w:sz="8" w:space="0" w:color="auto"/>
            </w:tcBorders>
            <w:shd w:val="clear" w:color="auto" w:fill="auto"/>
            <w:noWrap/>
            <w:vAlign w:val="center"/>
            <w:hideMark/>
          </w:tcPr>
          <w:p w14:paraId="13EBC5EF" w14:textId="77777777" w:rsidR="00E0060E" w:rsidRPr="00A52AEE" w:rsidRDefault="00E0060E" w:rsidP="00FE68E8">
            <w:pPr>
              <w:jc w:val="right"/>
              <w:rPr>
                <w:lang w:eastAsia="en-GB"/>
              </w:rPr>
            </w:pPr>
            <w:r w:rsidRPr="00A52AEE">
              <w:rPr>
                <w:lang w:eastAsia="en-GB"/>
              </w:rPr>
              <w:t>82%</w:t>
            </w:r>
          </w:p>
        </w:tc>
        <w:tc>
          <w:tcPr>
            <w:tcW w:w="1134" w:type="dxa"/>
            <w:tcBorders>
              <w:top w:val="nil"/>
              <w:left w:val="nil"/>
              <w:bottom w:val="single" w:sz="8" w:space="0" w:color="auto"/>
              <w:right w:val="single" w:sz="8" w:space="0" w:color="auto"/>
            </w:tcBorders>
            <w:shd w:val="clear" w:color="auto" w:fill="auto"/>
            <w:noWrap/>
            <w:vAlign w:val="center"/>
            <w:hideMark/>
          </w:tcPr>
          <w:p w14:paraId="571524F5" w14:textId="77777777" w:rsidR="00E0060E" w:rsidRPr="00A52AEE" w:rsidRDefault="00E0060E" w:rsidP="00FE68E8">
            <w:pPr>
              <w:jc w:val="right"/>
              <w:rPr>
                <w:lang w:eastAsia="en-GB"/>
              </w:rPr>
            </w:pPr>
            <w:r w:rsidRPr="00A52AEE">
              <w:rPr>
                <w:lang w:eastAsia="en-GB"/>
              </w:rPr>
              <w:t>79%</w:t>
            </w:r>
          </w:p>
        </w:tc>
        <w:tc>
          <w:tcPr>
            <w:tcW w:w="1134" w:type="dxa"/>
            <w:tcBorders>
              <w:top w:val="nil"/>
              <w:left w:val="nil"/>
              <w:bottom w:val="single" w:sz="8" w:space="0" w:color="auto"/>
              <w:right w:val="single" w:sz="8" w:space="0" w:color="auto"/>
            </w:tcBorders>
            <w:shd w:val="clear" w:color="auto" w:fill="auto"/>
            <w:noWrap/>
            <w:vAlign w:val="center"/>
            <w:hideMark/>
          </w:tcPr>
          <w:p w14:paraId="6137C19D" w14:textId="77777777" w:rsidR="00E0060E" w:rsidRPr="00A52AEE" w:rsidRDefault="00E0060E" w:rsidP="00FE68E8">
            <w:pPr>
              <w:jc w:val="right"/>
              <w:rPr>
                <w:lang w:eastAsia="en-GB"/>
              </w:rPr>
            </w:pPr>
            <w:r w:rsidRPr="00A52AEE">
              <w:rPr>
                <w:lang w:eastAsia="en-GB"/>
              </w:rPr>
              <w:t>81%</w:t>
            </w:r>
          </w:p>
        </w:tc>
      </w:tr>
      <w:tr w:rsidR="00E0060E" w:rsidRPr="00A52AEE" w14:paraId="4924C8B4"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5DFF487B"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258C81AF" w14:textId="77777777" w:rsidR="00E0060E" w:rsidRPr="00A52AEE" w:rsidRDefault="00E0060E" w:rsidP="00A52AEE">
            <w:pPr>
              <w:rPr>
                <w:lang w:eastAsia="en-GB"/>
              </w:rPr>
            </w:pPr>
            <w:r w:rsidRPr="00A52AEE">
              <w:rPr>
                <w:lang w:eastAsia="en-GB"/>
              </w:rPr>
              <w:t>20-24</w:t>
            </w:r>
          </w:p>
        </w:tc>
        <w:tc>
          <w:tcPr>
            <w:tcW w:w="1104" w:type="dxa"/>
            <w:tcBorders>
              <w:top w:val="nil"/>
              <w:left w:val="nil"/>
              <w:bottom w:val="single" w:sz="8" w:space="0" w:color="auto"/>
              <w:right w:val="single" w:sz="8" w:space="0" w:color="auto"/>
            </w:tcBorders>
            <w:shd w:val="clear" w:color="auto" w:fill="auto"/>
            <w:noWrap/>
            <w:vAlign w:val="center"/>
            <w:hideMark/>
          </w:tcPr>
          <w:p w14:paraId="1A57D8BD" w14:textId="77777777" w:rsidR="00E0060E" w:rsidRPr="00A52AEE" w:rsidRDefault="00E0060E" w:rsidP="00FE68E8">
            <w:pPr>
              <w:jc w:val="right"/>
              <w:rPr>
                <w:lang w:eastAsia="en-GB"/>
              </w:rPr>
            </w:pPr>
            <w:r w:rsidRPr="00A52AEE">
              <w:rPr>
                <w:lang w:eastAsia="en-GB"/>
              </w:rPr>
              <w:t>12%</w:t>
            </w:r>
          </w:p>
        </w:tc>
        <w:tc>
          <w:tcPr>
            <w:tcW w:w="1164" w:type="dxa"/>
            <w:tcBorders>
              <w:top w:val="nil"/>
              <w:left w:val="nil"/>
              <w:bottom w:val="single" w:sz="8" w:space="0" w:color="auto"/>
              <w:right w:val="single" w:sz="8" w:space="0" w:color="auto"/>
            </w:tcBorders>
            <w:shd w:val="clear" w:color="auto" w:fill="auto"/>
            <w:noWrap/>
            <w:vAlign w:val="center"/>
            <w:hideMark/>
          </w:tcPr>
          <w:p w14:paraId="37228D0C" w14:textId="77777777" w:rsidR="00E0060E" w:rsidRPr="00A52AEE" w:rsidRDefault="00E0060E" w:rsidP="00FE68E8">
            <w:pPr>
              <w:jc w:val="right"/>
              <w:rPr>
                <w:lang w:eastAsia="en-GB"/>
              </w:rPr>
            </w:pPr>
            <w:r w:rsidRPr="00A52AEE">
              <w:rPr>
                <w:lang w:eastAsia="en-GB"/>
              </w:rPr>
              <w:t>12%</w:t>
            </w:r>
          </w:p>
        </w:tc>
        <w:tc>
          <w:tcPr>
            <w:tcW w:w="1134" w:type="dxa"/>
            <w:tcBorders>
              <w:top w:val="nil"/>
              <w:left w:val="nil"/>
              <w:bottom w:val="single" w:sz="8" w:space="0" w:color="auto"/>
              <w:right w:val="single" w:sz="8" w:space="0" w:color="auto"/>
            </w:tcBorders>
            <w:shd w:val="clear" w:color="auto" w:fill="auto"/>
            <w:noWrap/>
            <w:vAlign w:val="center"/>
            <w:hideMark/>
          </w:tcPr>
          <w:p w14:paraId="4389DCA7" w14:textId="77777777" w:rsidR="00E0060E" w:rsidRPr="00A52AEE" w:rsidRDefault="00E0060E" w:rsidP="00FE68E8">
            <w:pPr>
              <w:jc w:val="right"/>
              <w:rPr>
                <w:lang w:eastAsia="en-GB"/>
              </w:rPr>
            </w:pPr>
            <w:r w:rsidRPr="00A52AEE">
              <w:rPr>
                <w:lang w:eastAsia="en-GB"/>
              </w:rPr>
              <w:t>12%</w:t>
            </w:r>
          </w:p>
        </w:tc>
        <w:tc>
          <w:tcPr>
            <w:tcW w:w="1134" w:type="dxa"/>
            <w:tcBorders>
              <w:top w:val="nil"/>
              <w:left w:val="nil"/>
              <w:bottom w:val="single" w:sz="8" w:space="0" w:color="auto"/>
              <w:right w:val="single" w:sz="8" w:space="0" w:color="auto"/>
            </w:tcBorders>
            <w:shd w:val="clear" w:color="auto" w:fill="auto"/>
            <w:noWrap/>
            <w:vAlign w:val="center"/>
            <w:hideMark/>
          </w:tcPr>
          <w:p w14:paraId="1AE2BD99" w14:textId="77777777" w:rsidR="00E0060E" w:rsidRPr="00A52AEE" w:rsidRDefault="00E0060E" w:rsidP="00FE68E8">
            <w:pPr>
              <w:jc w:val="right"/>
              <w:rPr>
                <w:lang w:eastAsia="en-GB"/>
              </w:rPr>
            </w:pPr>
            <w:r w:rsidRPr="00A52AEE">
              <w:rPr>
                <w:lang w:eastAsia="en-GB"/>
              </w:rPr>
              <w:t>11%</w:t>
            </w:r>
          </w:p>
        </w:tc>
        <w:tc>
          <w:tcPr>
            <w:tcW w:w="1134" w:type="dxa"/>
            <w:tcBorders>
              <w:top w:val="nil"/>
              <w:left w:val="nil"/>
              <w:bottom w:val="single" w:sz="8" w:space="0" w:color="auto"/>
              <w:right w:val="single" w:sz="8" w:space="0" w:color="auto"/>
            </w:tcBorders>
            <w:shd w:val="clear" w:color="auto" w:fill="auto"/>
            <w:noWrap/>
            <w:vAlign w:val="center"/>
            <w:hideMark/>
          </w:tcPr>
          <w:p w14:paraId="079062A3" w14:textId="77777777" w:rsidR="00E0060E" w:rsidRPr="00A52AEE" w:rsidRDefault="00E0060E" w:rsidP="00FE68E8">
            <w:pPr>
              <w:jc w:val="right"/>
              <w:rPr>
                <w:lang w:eastAsia="en-GB"/>
              </w:rPr>
            </w:pPr>
            <w:r w:rsidRPr="00A52AEE">
              <w:rPr>
                <w:lang w:eastAsia="en-GB"/>
              </w:rPr>
              <w:t>9%</w:t>
            </w:r>
          </w:p>
        </w:tc>
      </w:tr>
      <w:tr w:rsidR="00E0060E" w:rsidRPr="00A52AEE" w14:paraId="0E0E61F0"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233471CA"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2DFE2867" w14:textId="77777777" w:rsidR="00E0060E" w:rsidRPr="00A52AEE" w:rsidRDefault="00E0060E" w:rsidP="00A52AEE">
            <w:pPr>
              <w:rPr>
                <w:lang w:eastAsia="en-GB"/>
              </w:rPr>
            </w:pPr>
            <w:r w:rsidRPr="00A52AEE">
              <w:rPr>
                <w:lang w:eastAsia="en-GB"/>
              </w:rPr>
              <w:t>25 plus</w:t>
            </w:r>
          </w:p>
        </w:tc>
        <w:tc>
          <w:tcPr>
            <w:tcW w:w="1104" w:type="dxa"/>
            <w:tcBorders>
              <w:top w:val="nil"/>
              <w:left w:val="nil"/>
              <w:bottom w:val="single" w:sz="8" w:space="0" w:color="auto"/>
              <w:right w:val="single" w:sz="8" w:space="0" w:color="auto"/>
            </w:tcBorders>
            <w:shd w:val="clear" w:color="auto" w:fill="auto"/>
            <w:noWrap/>
            <w:vAlign w:val="center"/>
            <w:hideMark/>
          </w:tcPr>
          <w:p w14:paraId="0A60BEFA" w14:textId="77777777" w:rsidR="00E0060E" w:rsidRPr="00A52AEE" w:rsidRDefault="00E0060E" w:rsidP="00FE68E8">
            <w:pPr>
              <w:jc w:val="right"/>
              <w:rPr>
                <w:lang w:eastAsia="en-GB"/>
              </w:rPr>
            </w:pPr>
            <w:r w:rsidRPr="00A52AEE">
              <w:rPr>
                <w:lang w:eastAsia="en-GB"/>
              </w:rPr>
              <w:t>6%</w:t>
            </w:r>
          </w:p>
        </w:tc>
        <w:tc>
          <w:tcPr>
            <w:tcW w:w="1164" w:type="dxa"/>
            <w:tcBorders>
              <w:top w:val="nil"/>
              <w:left w:val="nil"/>
              <w:bottom w:val="single" w:sz="8" w:space="0" w:color="auto"/>
              <w:right w:val="single" w:sz="8" w:space="0" w:color="auto"/>
            </w:tcBorders>
            <w:shd w:val="clear" w:color="auto" w:fill="auto"/>
            <w:noWrap/>
            <w:vAlign w:val="center"/>
            <w:hideMark/>
          </w:tcPr>
          <w:p w14:paraId="3C8B4234" w14:textId="77777777" w:rsidR="00E0060E" w:rsidRPr="00A52AEE" w:rsidRDefault="00E0060E" w:rsidP="00FE68E8">
            <w:pPr>
              <w:jc w:val="right"/>
              <w:rPr>
                <w:lang w:eastAsia="en-GB"/>
              </w:rPr>
            </w:pPr>
            <w:r w:rsidRPr="00A52AEE">
              <w:rPr>
                <w:lang w:eastAsia="en-GB"/>
              </w:rPr>
              <w:t>7%</w:t>
            </w:r>
          </w:p>
        </w:tc>
        <w:tc>
          <w:tcPr>
            <w:tcW w:w="1134" w:type="dxa"/>
            <w:tcBorders>
              <w:top w:val="nil"/>
              <w:left w:val="nil"/>
              <w:bottom w:val="single" w:sz="8" w:space="0" w:color="auto"/>
              <w:right w:val="single" w:sz="8" w:space="0" w:color="auto"/>
            </w:tcBorders>
            <w:shd w:val="clear" w:color="auto" w:fill="auto"/>
            <w:noWrap/>
            <w:vAlign w:val="center"/>
            <w:hideMark/>
          </w:tcPr>
          <w:p w14:paraId="4577A65F" w14:textId="77777777" w:rsidR="00E0060E" w:rsidRPr="00A52AEE" w:rsidRDefault="00E0060E" w:rsidP="00FE68E8">
            <w:pPr>
              <w:jc w:val="right"/>
              <w:rPr>
                <w:lang w:eastAsia="en-GB"/>
              </w:rPr>
            </w:pPr>
            <w:r w:rsidRPr="00A52AEE">
              <w:rPr>
                <w:lang w:eastAsia="en-GB"/>
              </w:rPr>
              <w:t>6%</w:t>
            </w:r>
          </w:p>
        </w:tc>
        <w:tc>
          <w:tcPr>
            <w:tcW w:w="1134" w:type="dxa"/>
            <w:tcBorders>
              <w:top w:val="nil"/>
              <w:left w:val="nil"/>
              <w:bottom w:val="single" w:sz="8" w:space="0" w:color="auto"/>
              <w:right w:val="single" w:sz="8" w:space="0" w:color="auto"/>
            </w:tcBorders>
            <w:shd w:val="clear" w:color="auto" w:fill="auto"/>
            <w:noWrap/>
            <w:vAlign w:val="center"/>
            <w:hideMark/>
          </w:tcPr>
          <w:p w14:paraId="1A36706B" w14:textId="77777777" w:rsidR="00E0060E" w:rsidRPr="00A52AEE" w:rsidRDefault="00E0060E" w:rsidP="00FE68E8">
            <w:pPr>
              <w:jc w:val="right"/>
              <w:rPr>
                <w:lang w:eastAsia="en-GB"/>
              </w:rPr>
            </w:pPr>
            <w:r w:rsidRPr="00A52AEE">
              <w:rPr>
                <w:lang w:eastAsia="en-GB"/>
              </w:rPr>
              <w:t>10%</w:t>
            </w:r>
          </w:p>
        </w:tc>
        <w:tc>
          <w:tcPr>
            <w:tcW w:w="1134" w:type="dxa"/>
            <w:tcBorders>
              <w:top w:val="nil"/>
              <w:left w:val="nil"/>
              <w:bottom w:val="single" w:sz="8" w:space="0" w:color="auto"/>
              <w:right w:val="single" w:sz="8" w:space="0" w:color="auto"/>
            </w:tcBorders>
            <w:shd w:val="clear" w:color="auto" w:fill="auto"/>
            <w:noWrap/>
            <w:vAlign w:val="center"/>
            <w:hideMark/>
          </w:tcPr>
          <w:p w14:paraId="35836D8C" w14:textId="77777777" w:rsidR="00E0060E" w:rsidRPr="00A52AEE" w:rsidRDefault="00E0060E" w:rsidP="00FE68E8">
            <w:pPr>
              <w:jc w:val="right"/>
              <w:rPr>
                <w:lang w:eastAsia="en-GB"/>
              </w:rPr>
            </w:pPr>
            <w:r w:rsidRPr="00A52AEE">
              <w:rPr>
                <w:lang w:eastAsia="en-GB"/>
              </w:rPr>
              <w:t>10%</w:t>
            </w:r>
          </w:p>
        </w:tc>
      </w:tr>
      <w:tr w:rsidR="00E0060E" w:rsidRPr="0074535F" w14:paraId="3C83E495" w14:textId="77777777" w:rsidTr="0036229E">
        <w:trPr>
          <w:trHeight w:val="60"/>
        </w:trPr>
        <w:tc>
          <w:tcPr>
            <w:tcW w:w="9346" w:type="dxa"/>
            <w:gridSpan w:val="7"/>
            <w:tcBorders>
              <w:top w:val="single" w:sz="8" w:space="0" w:color="auto"/>
              <w:left w:val="single" w:sz="8" w:space="0" w:color="auto"/>
              <w:bottom w:val="single" w:sz="8" w:space="0" w:color="auto"/>
              <w:right w:val="single" w:sz="8" w:space="0" w:color="000000"/>
            </w:tcBorders>
            <w:shd w:val="clear" w:color="auto" w:fill="1F4E79" w:themeFill="accent1" w:themeFillShade="80"/>
            <w:noWrap/>
            <w:vAlign w:val="center"/>
            <w:hideMark/>
          </w:tcPr>
          <w:p w14:paraId="58CFF201" w14:textId="77777777" w:rsidR="00E0060E" w:rsidRPr="00C51CA7" w:rsidRDefault="00E0060E" w:rsidP="00FE68E8">
            <w:pPr>
              <w:jc w:val="right"/>
              <w:rPr>
                <w:b/>
                <w:sz w:val="4"/>
                <w:lang w:eastAsia="en-GB"/>
              </w:rPr>
            </w:pPr>
            <w:r w:rsidRPr="00C51CA7">
              <w:rPr>
                <w:b/>
                <w:sz w:val="4"/>
                <w:lang w:eastAsia="en-GB"/>
              </w:rPr>
              <w:t> </w:t>
            </w:r>
          </w:p>
        </w:tc>
      </w:tr>
      <w:tr w:rsidR="00E0060E" w:rsidRPr="00A52AEE" w14:paraId="5F7F5C08" w14:textId="77777777" w:rsidTr="0036229E">
        <w:trPr>
          <w:trHeight w:val="315"/>
        </w:trPr>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E50843" w14:textId="4A0E191A" w:rsidR="00E0060E" w:rsidRPr="00C51CA7" w:rsidRDefault="00E0060E" w:rsidP="00A52AEE">
            <w:pPr>
              <w:rPr>
                <w:b/>
                <w:lang w:eastAsia="en-GB"/>
              </w:rPr>
            </w:pPr>
            <w:r w:rsidRPr="00C51CA7">
              <w:rPr>
                <w:b/>
                <w:lang w:eastAsia="en-GB"/>
              </w:rPr>
              <w:t xml:space="preserve">A </w:t>
            </w:r>
            <w:r w:rsidR="0021637B" w:rsidRPr="00C51CA7">
              <w:rPr>
                <w:b/>
                <w:lang w:eastAsia="en-GB"/>
              </w:rPr>
              <w:t>Level</w:t>
            </w:r>
          </w:p>
        </w:tc>
        <w:tc>
          <w:tcPr>
            <w:tcW w:w="1196" w:type="dxa"/>
            <w:tcBorders>
              <w:top w:val="nil"/>
              <w:left w:val="nil"/>
              <w:bottom w:val="single" w:sz="8" w:space="0" w:color="auto"/>
              <w:right w:val="single" w:sz="8" w:space="0" w:color="auto"/>
            </w:tcBorders>
            <w:shd w:val="clear" w:color="auto" w:fill="auto"/>
            <w:noWrap/>
            <w:vAlign w:val="center"/>
            <w:hideMark/>
          </w:tcPr>
          <w:p w14:paraId="2F7ACDE7" w14:textId="77777777" w:rsidR="00E0060E" w:rsidRPr="00A52AEE" w:rsidRDefault="00E0060E" w:rsidP="00A52AEE">
            <w:pPr>
              <w:rPr>
                <w:lang w:eastAsia="en-GB"/>
              </w:rPr>
            </w:pPr>
            <w:r w:rsidRPr="00A52AEE">
              <w:rPr>
                <w:lang w:eastAsia="en-GB"/>
              </w:rPr>
              <w:t>Less 20</w:t>
            </w:r>
          </w:p>
        </w:tc>
        <w:tc>
          <w:tcPr>
            <w:tcW w:w="1104" w:type="dxa"/>
            <w:tcBorders>
              <w:top w:val="nil"/>
              <w:left w:val="nil"/>
              <w:bottom w:val="single" w:sz="8" w:space="0" w:color="auto"/>
              <w:right w:val="single" w:sz="8" w:space="0" w:color="auto"/>
            </w:tcBorders>
            <w:shd w:val="clear" w:color="auto" w:fill="auto"/>
            <w:noWrap/>
            <w:vAlign w:val="center"/>
            <w:hideMark/>
          </w:tcPr>
          <w:p w14:paraId="1539EF69" w14:textId="77777777" w:rsidR="00E0060E" w:rsidRPr="00A52AEE" w:rsidRDefault="00E0060E" w:rsidP="00FE68E8">
            <w:pPr>
              <w:jc w:val="right"/>
              <w:rPr>
                <w:lang w:eastAsia="en-GB"/>
              </w:rPr>
            </w:pPr>
            <w:r w:rsidRPr="00A52AEE">
              <w:rPr>
                <w:lang w:eastAsia="en-GB"/>
              </w:rPr>
              <w:t>98%</w:t>
            </w:r>
          </w:p>
        </w:tc>
        <w:tc>
          <w:tcPr>
            <w:tcW w:w="1164" w:type="dxa"/>
            <w:tcBorders>
              <w:top w:val="nil"/>
              <w:left w:val="nil"/>
              <w:bottom w:val="single" w:sz="8" w:space="0" w:color="auto"/>
              <w:right w:val="single" w:sz="8" w:space="0" w:color="auto"/>
            </w:tcBorders>
            <w:shd w:val="clear" w:color="auto" w:fill="auto"/>
            <w:noWrap/>
            <w:vAlign w:val="center"/>
            <w:hideMark/>
          </w:tcPr>
          <w:p w14:paraId="6AA25679" w14:textId="77777777" w:rsidR="00E0060E" w:rsidRPr="00A52AEE" w:rsidRDefault="00E0060E" w:rsidP="00FE68E8">
            <w:pPr>
              <w:jc w:val="right"/>
              <w:rPr>
                <w:lang w:eastAsia="en-GB"/>
              </w:rPr>
            </w:pPr>
            <w:r w:rsidRPr="00A52AEE">
              <w:rPr>
                <w:lang w:eastAsia="en-GB"/>
              </w:rPr>
              <w:t>98%</w:t>
            </w:r>
          </w:p>
        </w:tc>
        <w:tc>
          <w:tcPr>
            <w:tcW w:w="1134" w:type="dxa"/>
            <w:tcBorders>
              <w:top w:val="nil"/>
              <w:left w:val="nil"/>
              <w:bottom w:val="single" w:sz="8" w:space="0" w:color="auto"/>
              <w:right w:val="single" w:sz="8" w:space="0" w:color="auto"/>
            </w:tcBorders>
            <w:shd w:val="clear" w:color="auto" w:fill="auto"/>
            <w:noWrap/>
            <w:vAlign w:val="center"/>
            <w:hideMark/>
          </w:tcPr>
          <w:p w14:paraId="70DC5D29" w14:textId="77777777" w:rsidR="00E0060E" w:rsidRPr="00A52AEE" w:rsidRDefault="00E0060E" w:rsidP="00FE68E8">
            <w:pPr>
              <w:jc w:val="right"/>
              <w:rPr>
                <w:lang w:eastAsia="en-GB"/>
              </w:rPr>
            </w:pPr>
            <w:r w:rsidRPr="00A52AEE">
              <w:rPr>
                <w:lang w:eastAsia="en-GB"/>
              </w:rPr>
              <w:t>98%</w:t>
            </w:r>
          </w:p>
        </w:tc>
        <w:tc>
          <w:tcPr>
            <w:tcW w:w="1134" w:type="dxa"/>
            <w:tcBorders>
              <w:top w:val="nil"/>
              <w:left w:val="nil"/>
              <w:bottom w:val="single" w:sz="8" w:space="0" w:color="auto"/>
              <w:right w:val="single" w:sz="8" w:space="0" w:color="auto"/>
            </w:tcBorders>
            <w:shd w:val="clear" w:color="auto" w:fill="auto"/>
            <w:noWrap/>
            <w:vAlign w:val="center"/>
            <w:hideMark/>
          </w:tcPr>
          <w:p w14:paraId="50EEDBBD" w14:textId="77777777" w:rsidR="00E0060E" w:rsidRPr="00A52AEE" w:rsidRDefault="00E0060E" w:rsidP="00FE68E8">
            <w:pPr>
              <w:jc w:val="right"/>
              <w:rPr>
                <w:lang w:eastAsia="en-GB"/>
              </w:rPr>
            </w:pPr>
            <w:r w:rsidRPr="00A52AEE">
              <w:rPr>
                <w:lang w:eastAsia="en-GB"/>
              </w:rPr>
              <w:t>98%</w:t>
            </w:r>
          </w:p>
        </w:tc>
        <w:tc>
          <w:tcPr>
            <w:tcW w:w="1134" w:type="dxa"/>
            <w:tcBorders>
              <w:top w:val="nil"/>
              <w:left w:val="nil"/>
              <w:bottom w:val="single" w:sz="8" w:space="0" w:color="auto"/>
              <w:right w:val="single" w:sz="8" w:space="0" w:color="auto"/>
            </w:tcBorders>
            <w:shd w:val="clear" w:color="auto" w:fill="auto"/>
            <w:noWrap/>
            <w:vAlign w:val="center"/>
            <w:hideMark/>
          </w:tcPr>
          <w:p w14:paraId="7670C696" w14:textId="77777777" w:rsidR="00E0060E" w:rsidRPr="00A52AEE" w:rsidRDefault="00E0060E" w:rsidP="00FE68E8">
            <w:pPr>
              <w:jc w:val="right"/>
              <w:rPr>
                <w:lang w:eastAsia="en-GB"/>
              </w:rPr>
            </w:pPr>
            <w:r w:rsidRPr="00A52AEE">
              <w:rPr>
                <w:lang w:eastAsia="en-GB"/>
              </w:rPr>
              <w:t>98%</w:t>
            </w:r>
          </w:p>
        </w:tc>
      </w:tr>
      <w:tr w:rsidR="00E0060E" w:rsidRPr="00A52AEE" w14:paraId="7235321F"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33FA7C58"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2B8102DA" w14:textId="77777777" w:rsidR="00E0060E" w:rsidRPr="00A52AEE" w:rsidRDefault="00E0060E" w:rsidP="00A52AEE">
            <w:pPr>
              <w:rPr>
                <w:lang w:eastAsia="en-GB"/>
              </w:rPr>
            </w:pPr>
            <w:r w:rsidRPr="00A52AEE">
              <w:rPr>
                <w:lang w:eastAsia="en-GB"/>
              </w:rPr>
              <w:t>20-24</w:t>
            </w:r>
          </w:p>
        </w:tc>
        <w:tc>
          <w:tcPr>
            <w:tcW w:w="1104" w:type="dxa"/>
            <w:tcBorders>
              <w:top w:val="nil"/>
              <w:left w:val="nil"/>
              <w:bottom w:val="single" w:sz="8" w:space="0" w:color="auto"/>
              <w:right w:val="single" w:sz="8" w:space="0" w:color="auto"/>
            </w:tcBorders>
            <w:shd w:val="clear" w:color="auto" w:fill="auto"/>
            <w:noWrap/>
            <w:vAlign w:val="center"/>
            <w:hideMark/>
          </w:tcPr>
          <w:p w14:paraId="0F573898" w14:textId="77777777" w:rsidR="00E0060E" w:rsidRPr="00A52AEE" w:rsidRDefault="00E0060E" w:rsidP="00FE68E8">
            <w:pPr>
              <w:jc w:val="right"/>
              <w:rPr>
                <w:lang w:eastAsia="en-GB"/>
              </w:rPr>
            </w:pPr>
            <w:r w:rsidRPr="00A52AEE">
              <w:rPr>
                <w:lang w:eastAsia="en-GB"/>
              </w:rPr>
              <w:t>2%</w:t>
            </w:r>
          </w:p>
        </w:tc>
        <w:tc>
          <w:tcPr>
            <w:tcW w:w="1164" w:type="dxa"/>
            <w:tcBorders>
              <w:top w:val="nil"/>
              <w:left w:val="nil"/>
              <w:bottom w:val="single" w:sz="8" w:space="0" w:color="auto"/>
              <w:right w:val="single" w:sz="8" w:space="0" w:color="auto"/>
            </w:tcBorders>
            <w:shd w:val="clear" w:color="auto" w:fill="auto"/>
            <w:noWrap/>
            <w:vAlign w:val="center"/>
            <w:hideMark/>
          </w:tcPr>
          <w:p w14:paraId="2022D911" w14:textId="77777777" w:rsidR="00E0060E" w:rsidRPr="00A52AEE" w:rsidRDefault="00E0060E" w:rsidP="00FE68E8">
            <w:pPr>
              <w:jc w:val="right"/>
              <w:rPr>
                <w:lang w:eastAsia="en-GB"/>
              </w:rPr>
            </w:pPr>
            <w:r w:rsidRPr="00A52AEE">
              <w:rPr>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14:paraId="73EE1D57" w14:textId="77777777" w:rsidR="00E0060E" w:rsidRPr="00A52AEE" w:rsidRDefault="00E0060E" w:rsidP="00FE68E8">
            <w:pPr>
              <w:jc w:val="right"/>
              <w:rPr>
                <w:lang w:eastAsia="en-GB"/>
              </w:rPr>
            </w:pPr>
            <w:r w:rsidRPr="00A52AEE">
              <w:rPr>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14:paraId="10E88D57" w14:textId="77777777" w:rsidR="00E0060E" w:rsidRPr="00A52AEE" w:rsidRDefault="00E0060E" w:rsidP="00FE68E8">
            <w:pPr>
              <w:jc w:val="right"/>
              <w:rPr>
                <w:lang w:eastAsia="en-GB"/>
              </w:rPr>
            </w:pPr>
            <w:r w:rsidRPr="00A52AEE">
              <w:rPr>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14:paraId="44830A76" w14:textId="77777777" w:rsidR="00E0060E" w:rsidRPr="00A52AEE" w:rsidRDefault="00E0060E" w:rsidP="00FE68E8">
            <w:pPr>
              <w:jc w:val="right"/>
              <w:rPr>
                <w:lang w:eastAsia="en-GB"/>
              </w:rPr>
            </w:pPr>
            <w:r w:rsidRPr="00A52AEE">
              <w:rPr>
                <w:lang w:eastAsia="en-GB"/>
              </w:rPr>
              <w:t>2%</w:t>
            </w:r>
          </w:p>
        </w:tc>
      </w:tr>
      <w:tr w:rsidR="00E0060E" w:rsidRPr="00A52AEE" w14:paraId="10D8394E"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7DD0C69E" w14:textId="77777777" w:rsidR="00E0060E" w:rsidRPr="00C51CA7" w:rsidRDefault="00E0060E" w:rsidP="00A52AEE">
            <w:pPr>
              <w:rPr>
                <w:b/>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4D60A93D" w14:textId="77777777" w:rsidR="00E0060E" w:rsidRPr="00A52AEE" w:rsidRDefault="00E0060E" w:rsidP="00A52AEE">
            <w:pPr>
              <w:rPr>
                <w:lang w:eastAsia="en-GB"/>
              </w:rPr>
            </w:pPr>
            <w:r w:rsidRPr="00A52AEE">
              <w:rPr>
                <w:lang w:eastAsia="en-GB"/>
              </w:rPr>
              <w:t>25 plus</w:t>
            </w:r>
          </w:p>
        </w:tc>
        <w:tc>
          <w:tcPr>
            <w:tcW w:w="1104" w:type="dxa"/>
            <w:tcBorders>
              <w:top w:val="nil"/>
              <w:left w:val="nil"/>
              <w:bottom w:val="single" w:sz="8" w:space="0" w:color="auto"/>
              <w:right w:val="single" w:sz="8" w:space="0" w:color="auto"/>
            </w:tcBorders>
            <w:shd w:val="clear" w:color="auto" w:fill="auto"/>
            <w:noWrap/>
            <w:vAlign w:val="center"/>
            <w:hideMark/>
          </w:tcPr>
          <w:p w14:paraId="10495D28" w14:textId="77777777" w:rsidR="00E0060E" w:rsidRPr="00A52AEE" w:rsidRDefault="00E0060E" w:rsidP="00FE68E8">
            <w:pPr>
              <w:jc w:val="right"/>
              <w:rPr>
                <w:lang w:eastAsia="en-GB"/>
              </w:rPr>
            </w:pPr>
            <w:r w:rsidRPr="00A52AEE">
              <w:rPr>
                <w:lang w:eastAsia="en-GB"/>
              </w:rPr>
              <w:t>0%</w:t>
            </w:r>
          </w:p>
        </w:tc>
        <w:tc>
          <w:tcPr>
            <w:tcW w:w="1164" w:type="dxa"/>
            <w:tcBorders>
              <w:top w:val="nil"/>
              <w:left w:val="nil"/>
              <w:bottom w:val="single" w:sz="8" w:space="0" w:color="auto"/>
              <w:right w:val="single" w:sz="8" w:space="0" w:color="auto"/>
            </w:tcBorders>
            <w:shd w:val="clear" w:color="auto" w:fill="auto"/>
            <w:noWrap/>
            <w:vAlign w:val="center"/>
            <w:hideMark/>
          </w:tcPr>
          <w:p w14:paraId="698792C2" w14:textId="77777777" w:rsidR="00E0060E" w:rsidRPr="00A52AEE" w:rsidRDefault="00E0060E" w:rsidP="00FE68E8">
            <w:pPr>
              <w:jc w:val="right"/>
              <w:rPr>
                <w:lang w:eastAsia="en-GB"/>
              </w:rPr>
            </w:pPr>
            <w:r w:rsidRPr="00A52AEE">
              <w:rPr>
                <w:lang w:eastAsia="en-GB"/>
              </w:rPr>
              <w:t>0%</w:t>
            </w:r>
          </w:p>
        </w:tc>
        <w:tc>
          <w:tcPr>
            <w:tcW w:w="1134" w:type="dxa"/>
            <w:tcBorders>
              <w:top w:val="nil"/>
              <w:left w:val="nil"/>
              <w:bottom w:val="single" w:sz="8" w:space="0" w:color="auto"/>
              <w:right w:val="single" w:sz="8" w:space="0" w:color="auto"/>
            </w:tcBorders>
            <w:shd w:val="clear" w:color="auto" w:fill="auto"/>
            <w:noWrap/>
            <w:vAlign w:val="center"/>
            <w:hideMark/>
          </w:tcPr>
          <w:p w14:paraId="11160468" w14:textId="77777777" w:rsidR="00E0060E" w:rsidRPr="00A52AEE" w:rsidRDefault="00E0060E" w:rsidP="00FE68E8">
            <w:pPr>
              <w:jc w:val="right"/>
              <w:rPr>
                <w:lang w:eastAsia="en-GB"/>
              </w:rPr>
            </w:pPr>
            <w:r w:rsidRPr="00A52AEE">
              <w:rPr>
                <w:lang w:eastAsia="en-GB"/>
              </w:rPr>
              <w:t>0%</w:t>
            </w:r>
          </w:p>
        </w:tc>
        <w:tc>
          <w:tcPr>
            <w:tcW w:w="1134" w:type="dxa"/>
            <w:tcBorders>
              <w:top w:val="nil"/>
              <w:left w:val="nil"/>
              <w:bottom w:val="single" w:sz="8" w:space="0" w:color="auto"/>
              <w:right w:val="single" w:sz="8" w:space="0" w:color="auto"/>
            </w:tcBorders>
            <w:shd w:val="clear" w:color="auto" w:fill="auto"/>
            <w:noWrap/>
            <w:vAlign w:val="center"/>
            <w:hideMark/>
          </w:tcPr>
          <w:p w14:paraId="14B3BACA" w14:textId="77777777" w:rsidR="00E0060E" w:rsidRPr="00A52AEE" w:rsidRDefault="00E0060E" w:rsidP="00FE68E8">
            <w:pPr>
              <w:jc w:val="right"/>
              <w:rPr>
                <w:lang w:eastAsia="en-GB"/>
              </w:rPr>
            </w:pPr>
            <w:r w:rsidRPr="00A52AEE">
              <w:rPr>
                <w:lang w:eastAsia="en-GB"/>
              </w:rPr>
              <w:t>0%</w:t>
            </w:r>
          </w:p>
        </w:tc>
        <w:tc>
          <w:tcPr>
            <w:tcW w:w="1134" w:type="dxa"/>
            <w:tcBorders>
              <w:top w:val="nil"/>
              <w:left w:val="nil"/>
              <w:bottom w:val="single" w:sz="8" w:space="0" w:color="auto"/>
              <w:right w:val="single" w:sz="8" w:space="0" w:color="auto"/>
            </w:tcBorders>
            <w:shd w:val="clear" w:color="auto" w:fill="auto"/>
            <w:noWrap/>
            <w:vAlign w:val="center"/>
            <w:hideMark/>
          </w:tcPr>
          <w:p w14:paraId="4E1182EA" w14:textId="77777777" w:rsidR="00E0060E" w:rsidRPr="00A52AEE" w:rsidRDefault="00E0060E" w:rsidP="00FE68E8">
            <w:pPr>
              <w:jc w:val="right"/>
              <w:rPr>
                <w:lang w:eastAsia="en-GB"/>
              </w:rPr>
            </w:pPr>
            <w:r w:rsidRPr="00A52AEE">
              <w:rPr>
                <w:lang w:eastAsia="en-GB"/>
              </w:rPr>
              <w:t>0%</w:t>
            </w:r>
          </w:p>
        </w:tc>
      </w:tr>
      <w:tr w:rsidR="00E0060E" w:rsidRPr="0074535F" w14:paraId="7D33EF12" w14:textId="77777777" w:rsidTr="0036229E">
        <w:trPr>
          <w:trHeight w:val="60"/>
        </w:trPr>
        <w:tc>
          <w:tcPr>
            <w:tcW w:w="2480" w:type="dxa"/>
            <w:tcBorders>
              <w:top w:val="nil"/>
              <w:left w:val="single" w:sz="8" w:space="0" w:color="auto"/>
              <w:bottom w:val="single" w:sz="8" w:space="0" w:color="auto"/>
              <w:right w:val="nil"/>
            </w:tcBorders>
            <w:shd w:val="clear" w:color="auto" w:fill="1F4E79" w:themeFill="accent1" w:themeFillShade="80"/>
            <w:noWrap/>
            <w:vAlign w:val="center"/>
            <w:hideMark/>
          </w:tcPr>
          <w:p w14:paraId="521B2732" w14:textId="77777777" w:rsidR="00E0060E" w:rsidRPr="00C51CA7" w:rsidRDefault="00E0060E" w:rsidP="00A52AEE">
            <w:pPr>
              <w:rPr>
                <w:b/>
                <w:sz w:val="4"/>
                <w:lang w:eastAsia="en-GB"/>
              </w:rPr>
            </w:pPr>
            <w:r w:rsidRPr="00C51CA7">
              <w:rPr>
                <w:b/>
                <w:sz w:val="4"/>
                <w:lang w:eastAsia="en-GB"/>
              </w:rPr>
              <w:t> </w:t>
            </w:r>
          </w:p>
        </w:tc>
        <w:tc>
          <w:tcPr>
            <w:tcW w:w="1196" w:type="dxa"/>
            <w:tcBorders>
              <w:top w:val="nil"/>
              <w:left w:val="nil"/>
              <w:bottom w:val="single" w:sz="8" w:space="0" w:color="auto"/>
              <w:right w:val="nil"/>
            </w:tcBorders>
            <w:shd w:val="clear" w:color="auto" w:fill="1F4E79" w:themeFill="accent1" w:themeFillShade="80"/>
            <w:noWrap/>
            <w:vAlign w:val="center"/>
            <w:hideMark/>
          </w:tcPr>
          <w:p w14:paraId="76BB9C67" w14:textId="77777777" w:rsidR="00E0060E" w:rsidRPr="0074535F" w:rsidRDefault="00E0060E" w:rsidP="00A52AEE">
            <w:pPr>
              <w:rPr>
                <w:sz w:val="4"/>
                <w:lang w:eastAsia="en-GB"/>
              </w:rPr>
            </w:pPr>
            <w:r w:rsidRPr="0074535F">
              <w:rPr>
                <w:sz w:val="4"/>
                <w:lang w:eastAsia="en-GB"/>
              </w:rPr>
              <w:t> </w:t>
            </w:r>
          </w:p>
        </w:tc>
        <w:tc>
          <w:tcPr>
            <w:tcW w:w="1104" w:type="dxa"/>
            <w:tcBorders>
              <w:top w:val="nil"/>
              <w:left w:val="nil"/>
              <w:bottom w:val="single" w:sz="8" w:space="0" w:color="auto"/>
              <w:right w:val="nil"/>
            </w:tcBorders>
            <w:shd w:val="clear" w:color="auto" w:fill="1F4E79" w:themeFill="accent1" w:themeFillShade="80"/>
            <w:noWrap/>
            <w:vAlign w:val="center"/>
            <w:hideMark/>
          </w:tcPr>
          <w:p w14:paraId="166C0332" w14:textId="77777777" w:rsidR="00E0060E" w:rsidRPr="0074535F" w:rsidRDefault="00E0060E" w:rsidP="00FE68E8">
            <w:pPr>
              <w:jc w:val="right"/>
              <w:rPr>
                <w:sz w:val="4"/>
                <w:lang w:eastAsia="en-GB"/>
              </w:rPr>
            </w:pPr>
            <w:r w:rsidRPr="0074535F">
              <w:rPr>
                <w:sz w:val="4"/>
                <w:lang w:eastAsia="en-GB"/>
              </w:rPr>
              <w:t> </w:t>
            </w:r>
          </w:p>
        </w:tc>
        <w:tc>
          <w:tcPr>
            <w:tcW w:w="1164" w:type="dxa"/>
            <w:tcBorders>
              <w:top w:val="nil"/>
              <w:left w:val="nil"/>
              <w:bottom w:val="single" w:sz="8" w:space="0" w:color="auto"/>
              <w:right w:val="nil"/>
            </w:tcBorders>
            <w:shd w:val="clear" w:color="auto" w:fill="1F4E79" w:themeFill="accent1" w:themeFillShade="80"/>
            <w:noWrap/>
            <w:vAlign w:val="center"/>
            <w:hideMark/>
          </w:tcPr>
          <w:p w14:paraId="48C35EAB" w14:textId="77777777" w:rsidR="00E0060E" w:rsidRPr="0074535F" w:rsidRDefault="00E0060E" w:rsidP="00FE68E8">
            <w:pPr>
              <w:jc w:val="right"/>
              <w:rPr>
                <w:sz w:val="4"/>
                <w:lang w:eastAsia="en-GB"/>
              </w:rPr>
            </w:pPr>
            <w:r w:rsidRPr="0074535F">
              <w:rPr>
                <w:sz w:val="4"/>
                <w:lang w:eastAsia="en-GB"/>
              </w:rPr>
              <w:t> </w:t>
            </w:r>
          </w:p>
        </w:tc>
        <w:tc>
          <w:tcPr>
            <w:tcW w:w="1134" w:type="dxa"/>
            <w:tcBorders>
              <w:top w:val="nil"/>
              <w:left w:val="nil"/>
              <w:bottom w:val="single" w:sz="8" w:space="0" w:color="auto"/>
              <w:right w:val="nil"/>
            </w:tcBorders>
            <w:shd w:val="clear" w:color="auto" w:fill="1F4E79" w:themeFill="accent1" w:themeFillShade="80"/>
            <w:noWrap/>
            <w:vAlign w:val="center"/>
            <w:hideMark/>
          </w:tcPr>
          <w:p w14:paraId="0A13A73B" w14:textId="77777777" w:rsidR="00E0060E" w:rsidRPr="0074535F" w:rsidRDefault="00E0060E" w:rsidP="00FE68E8">
            <w:pPr>
              <w:jc w:val="right"/>
              <w:rPr>
                <w:sz w:val="4"/>
                <w:lang w:eastAsia="en-GB"/>
              </w:rPr>
            </w:pPr>
            <w:r w:rsidRPr="0074535F">
              <w:rPr>
                <w:sz w:val="4"/>
                <w:lang w:eastAsia="en-GB"/>
              </w:rPr>
              <w:t> </w:t>
            </w:r>
          </w:p>
        </w:tc>
        <w:tc>
          <w:tcPr>
            <w:tcW w:w="1134" w:type="dxa"/>
            <w:tcBorders>
              <w:top w:val="nil"/>
              <w:left w:val="nil"/>
              <w:bottom w:val="single" w:sz="8" w:space="0" w:color="auto"/>
              <w:right w:val="nil"/>
            </w:tcBorders>
            <w:shd w:val="clear" w:color="auto" w:fill="1F4E79" w:themeFill="accent1" w:themeFillShade="80"/>
            <w:noWrap/>
            <w:vAlign w:val="center"/>
            <w:hideMark/>
          </w:tcPr>
          <w:p w14:paraId="2F03457F" w14:textId="77777777" w:rsidR="00E0060E" w:rsidRPr="0074535F" w:rsidRDefault="00E0060E" w:rsidP="00FE68E8">
            <w:pPr>
              <w:jc w:val="right"/>
              <w:rPr>
                <w:sz w:val="4"/>
                <w:lang w:eastAsia="en-GB"/>
              </w:rPr>
            </w:pPr>
            <w:r w:rsidRPr="0074535F">
              <w:rPr>
                <w:sz w:val="4"/>
                <w:lang w:eastAsia="en-GB"/>
              </w:rPr>
              <w:t> </w:t>
            </w:r>
          </w:p>
        </w:tc>
        <w:tc>
          <w:tcPr>
            <w:tcW w:w="1134" w:type="dxa"/>
            <w:tcBorders>
              <w:top w:val="nil"/>
              <w:left w:val="nil"/>
              <w:bottom w:val="single" w:sz="8" w:space="0" w:color="auto"/>
              <w:right w:val="nil"/>
            </w:tcBorders>
            <w:shd w:val="clear" w:color="auto" w:fill="1F4E79" w:themeFill="accent1" w:themeFillShade="80"/>
            <w:noWrap/>
            <w:vAlign w:val="center"/>
            <w:hideMark/>
          </w:tcPr>
          <w:p w14:paraId="2B8DE26B" w14:textId="77777777" w:rsidR="00E0060E" w:rsidRPr="0074535F" w:rsidRDefault="00E0060E" w:rsidP="00FE68E8">
            <w:pPr>
              <w:jc w:val="right"/>
              <w:rPr>
                <w:sz w:val="4"/>
                <w:lang w:eastAsia="en-GB"/>
              </w:rPr>
            </w:pPr>
            <w:r w:rsidRPr="0074535F">
              <w:rPr>
                <w:sz w:val="4"/>
                <w:lang w:eastAsia="en-GB"/>
              </w:rPr>
              <w:t> </w:t>
            </w:r>
          </w:p>
        </w:tc>
      </w:tr>
      <w:tr w:rsidR="00E0060E" w:rsidRPr="00A52AEE" w14:paraId="1C33C3A1" w14:textId="77777777" w:rsidTr="0036229E">
        <w:trPr>
          <w:trHeight w:val="315"/>
        </w:trPr>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77B53" w14:textId="77777777" w:rsidR="00E0060E" w:rsidRPr="00C51CA7" w:rsidRDefault="00E0060E" w:rsidP="00A52AEE">
            <w:pPr>
              <w:rPr>
                <w:b/>
                <w:lang w:eastAsia="en-GB"/>
              </w:rPr>
            </w:pPr>
            <w:r w:rsidRPr="00C51CA7">
              <w:rPr>
                <w:b/>
                <w:lang w:eastAsia="en-GB"/>
              </w:rPr>
              <w:t>NVQ</w:t>
            </w:r>
          </w:p>
        </w:tc>
        <w:tc>
          <w:tcPr>
            <w:tcW w:w="1196" w:type="dxa"/>
            <w:tcBorders>
              <w:top w:val="nil"/>
              <w:left w:val="nil"/>
              <w:bottom w:val="single" w:sz="8" w:space="0" w:color="auto"/>
              <w:right w:val="single" w:sz="8" w:space="0" w:color="auto"/>
            </w:tcBorders>
            <w:shd w:val="clear" w:color="auto" w:fill="auto"/>
            <w:noWrap/>
            <w:vAlign w:val="center"/>
            <w:hideMark/>
          </w:tcPr>
          <w:p w14:paraId="38F30DAC" w14:textId="77777777" w:rsidR="00E0060E" w:rsidRPr="00A52AEE" w:rsidRDefault="00E0060E" w:rsidP="00A52AEE">
            <w:pPr>
              <w:rPr>
                <w:lang w:eastAsia="en-GB"/>
              </w:rPr>
            </w:pPr>
            <w:r w:rsidRPr="00A52AEE">
              <w:rPr>
                <w:lang w:eastAsia="en-GB"/>
              </w:rPr>
              <w:t>Less 20</w:t>
            </w:r>
          </w:p>
        </w:tc>
        <w:tc>
          <w:tcPr>
            <w:tcW w:w="1104" w:type="dxa"/>
            <w:tcBorders>
              <w:top w:val="nil"/>
              <w:left w:val="nil"/>
              <w:bottom w:val="single" w:sz="8" w:space="0" w:color="auto"/>
              <w:right w:val="single" w:sz="8" w:space="0" w:color="auto"/>
            </w:tcBorders>
            <w:shd w:val="clear" w:color="auto" w:fill="auto"/>
            <w:noWrap/>
            <w:vAlign w:val="center"/>
            <w:hideMark/>
          </w:tcPr>
          <w:p w14:paraId="5F605640" w14:textId="77777777" w:rsidR="00E0060E" w:rsidRPr="00A52AEE" w:rsidRDefault="00E0060E" w:rsidP="00FE68E8">
            <w:pPr>
              <w:jc w:val="right"/>
              <w:rPr>
                <w:lang w:eastAsia="en-GB"/>
              </w:rPr>
            </w:pPr>
            <w:r w:rsidRPr="00A52AEE">
              <w:rPr>
                <w:lang w:eastAsia="en-GB"/>
              </w:rPr>
              <w:t>13%</w:t>
            </w:r>
          </w:p>
        </w:tc>
        <w:tc>
          <w:tcPr>
            <w:tcW w:w="1164" w:type="dxa"/>
            <w:tcBorders>
              <w:top w:val="nil"/>
              <w:left w:val="nil"/>
              <w:bottom w:val="single" w:sz="8" w:space="0" w:color="auto"/>
              <w:right w:val="single" w:sz="8" w:space="0" w:color="auto"/>
            </w:tcBorders>
            <w:shd w:val="clear" w:color="auto" w:fill="auto"/>
            <w:noWrap/>
            <w:vAlign w:val="center"/>
            <w:hideMark/>
          </w:tcPr>
          <w:p w14:paraId="0DD9BC21" w14:textId="77777777" w:rsidR="00E0060E" w:rsidRPr="00A52AEE" w:rsidRDefault="00E0060E" w:rsidP="00FE68E8">
            <w:pPr>
              <w:jc w:val="right"/>
              <w:rPr>
                <w:lang w:eastAsia="en-GB"/>
              </w:rPr>
            </w:pPr>
            <w:r w:rsidRPr="00A52AEE">
              <w:rPr>
                <w:lang w:eastAsia="en-GB"/>
              </w:rPr>
              <w:t>8%</w:t>
            </w:r>
          </w:p>
        </w:tc>
        <w:tc>
          <w:tcPr>
            <w:tcW w:w="1134" w:type="dxa"/>
            <w:tcBorders>
              <w:top w:val="nil"/>
              <w:left w:val="nil"/>
              <w:bottom w:val="single" w:sz="8" w:space="0" w:color="auto"/>
              <w:right w:val="single" w:sz="8" w:space="0" w:color="auto"/>
            </w:tcBorders>
            <w:shd w:val="clear" w:color="auto" w:fill="auto"/>
            <w:noWrap/>
            <w:vAlign w:val="center"/>
            <w:hideMark/>
          </w:tcPr>
          <w:p w14:paraId="75130086" w14:textId="77777777" w:rsidR="00E0060E" w:rsidRPr="00A52AEE" w:rsidRDefault="00E0060E" w:rsidP="00FE68E8">
            <w:pPr>
              <w:jc w:val="right"/>
              <w:rPr>
                <w:lang w:eastAsia="en-GB"/>
              </w:rPr>
            </w:pPr>
            <w:r w:rsidRPr="00A52AEE">
              <w:rPr>
                <w:lang w:eastAsia="en-GB"/>
              </w:rPr>
              <w:t>8%</w:t>
            </w:r>
          </w:p>
        </w:tc>
        <w:tc>
          <w:tcPr>
            <w:tcW w:w="1134" w:type="dxa"/>
            <w:tcBorders>
              <w:top w:val="nil"/>
              <w:left w:val="nil"/>
              <w:bottom w:val="single" w:sz="8" w:space="0" w:color="auto"/>
              <w:right w:val="single" w:sz="8" w:space="0" w:color="auto"/>
            </w:tcBorders>
            <w:shd w:val="clear" w:color="auto" w:fill="auto"/>
            <w:noWrap/>
            <w:vAlign w:val="center"/>
            <w:hideMark/>
          </w:tcPr>
          <w:p w14:paraId="7507F9E8" w14:textId="77777777" w:rsidR="00E0060E" w:rsidRPr="00A52AEE" w:rsidRDefault="00E0060E" w:rsidP="00FE68E8">
            <w:pPr>
              <w:jc w:val="right"/>
              <w:rPr>
                <w:lang w:eastAsia="en-GB"/>
              </w:rPr>
            </w:pPr>
            <w:r w:rsidRPr="00A52AEE">
              <w:rPr>
                <w:lang w:eastAsia="en-GB"/>
              </w:rPr>
              <w:t>9%</w:t>
            </w:r>
          </w:p>
        </w:tc>
        <w:tc>
          <w:tcPr>
            <w:tcW w:w="1134" w:type="dxa"/>
            <w:tcBorders>
              <w:top w:val="nil"/>
              <w:left w:val="nil"/>
              <w:bottom w:val="single" w:sz="8" w:space="0" w:color="auto"/>
              <w:right w:val="single" w:sz="8" w:space="0" w:color="auto"/>
            </w:tcBorders>
            <w:shd w:val="clear" w:color="auto" w:fill="auto"/>
            <w:noWrap/>
            <w:vAlign w:val="center"/>
            <w:hideMark/>
          </w:tcPr>
          <w:p w14:paraId="4E0B2268" w14:textId="77777777" w:rsidR="00E0060E" w:rsidRPr="00A52AEE" w:rsidRDefault="00E0060E" w:rsidP="00FE68E8">
            <w:pPr>
              <w:jc w:val="right"/>
              <w:rPr>
                <w:lang w:eastAsia="en-GB"/>
              </w:rPr>
            </w:pPr>
            <w:r w:rsidRPr="00A52AEE">
              <w:rPr>
                <w:lang w:eastAsia="en-GB"/>
              </w:rPr>
              <w:t>17%</w:t>
            </w:r>
          </w:p>
        </w:tc>
      </w:tr>
      <w:tr w:rsidR="00E0060E" w:rsidRPr="00A52AEE" w14:paraId="1C4639E0"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08E4B4C9" w14:textId="77777777" w:rsidR="00E0060E" w:rsidRPr="00A52AEE" w:rsidRDefault="00E0060E" w:rsidP="00A52AEE">
            <w:pPr>
              <w:rPr>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48F82676" w14:textId="77777777" w:rsidR="00E0060E" w:rsidRPr="00A52AEE" w:rsidRDefault="00E0060E" w:rsidP="00A52AEE">
            <w:pPr>
              <w:rPr>
                <w:lang w:eastAsia="en-GB"/>
              </w:rPr>
            </w:pPr>
            <w:r w:rsidRPr="00A52AEE">
              <w:rPr>
                <w:lang w:eastAsia="en-GB"/>
              </w:rPr>
              <w:t>20-24</w:t>
            </w:r>
          </w:p>
        </w:tc>
        <w:tc>
          <w:tcPr>
            <w:tcW w:w="1104" w:type="dxa"/>
            <w:tcBorders>
              <w:top w:val="nil"/>
              <w:left w:val="nil"/>
              <w:bottom w:val="single" w:sz="8" w:space="0" w:color="auto"/>
              <w:right w:val="single" w:sz="8" w:space="0" w:color="auto"/>
            </w:tcBorders>
            <w:shd w:val="clear" w:color="auto" w:fill="auto"/>
            <w:noWrap/>
            <w:vAlign w:val="center"/>
            <w:hideMark/>
          </w:tcPr>
          <w:p w14:paraId="72E8537B" w14:textId="77777777" w:rsidR="00E0060E" w:rsidRPr="00A52AEE" w:rsidRDefault="00E0060E" w:rsidP="00FE68E8">
            <w:pPr>
              <w:jc w:val="right"/>
              <w:rPr>
                <w:lang w:eastAsia="en-GB"/>
              </w:rPr>
            </w:pPr>
            <w:r w:rsidRPr="00A52AEE">
              <w:rPr>
                <w:lang w:eastAsia="en-GB"/>
              </w:rPr>
              <w:t>12%</w:t>
            </w:r>
          </w:p>
        </w:tc>
        <w:tc>
          <w:tcPr>
            <w:tcW w:w="1164" w:type="dxa"/>
            <w:tcBorders>
              <w:top w:val="nil"/>
              <w:left w:val="nil"/>
              <w:bottom w:val="single" w:sz="8" w:space="0" w:color="auto"/>
              <w:right w:val="single" w:sz="8" w:space="0" w:color="auto"/>
            </w:tcBorders>
            <w:shd w:val="clear" w:color="auto" w:fill="auto"/>
            <w:noWrap/>
            <w:vAlign w:val="center"/>
            <w:hideMark/>
          </w:tcPr>
          <w:p w14:paraId="55D794FC" w14:textId="77777777" w:rsidR="00E0060E" w:rsidRPr="00A52AEE" w:rsidRDefault="00E0060E" w:rsidP="00FE68E8">
            <w:pPr>
              <w:jc w:val="right"/>
              <w:rPr>
                <w:lang w:eastAsia="en-GB"/>
              </w:rPr>
            </w:pPr>
            <w:r w:rsidRPr="00A52AEE">
              <w:rPr>
                <w:lang w:eastAsia="en-GB"/>
              </w:rPr>
              <w:t>11%</w:t>
            </w:r>
          </w:p>
        </w:tc>
        <w:tc>
          <w:tcPr>
            <w:tcW w:w="1134" w:type="dxa"/>
            <w:tcBorders>
              <w:top w:val="nil"/>
              <w:left w:val="nil"/>
              <w:bottom w:val="single" w:sz="8" w:space="0" w:color="auto"/>
              <w:right w:val="single" w:sz="8" w:space="0" w:color="auto"/>
            </w:tcBorders>
            <w:shd w:val="clear" w:color="auto" w:fill="auto"/>
            <w:noWrap/>
            <w:vAlign w:val="center"/>
            <w:hideMark/>
          </w:tcPr>
          <w:p w14:paraId="4A7B78C3" w14:textId="77777777" w:rsidR="00E0060E" w:rsidRPr="00A52AEE" w:rsidRDefault="00E0060E" w:rsidP="00FE68E8">
            <w:pPr>
              <w:jc w:val="right"/>
              <w:rPr>
                <w:lang w:eastAsia="en-GB"/>
              </w:rPr>
            </w:pPr>
            <w:r w:rsidRPr="00A52AEE">
              <w:rPr>
                <w:lang w:eastAsia="en-GB"/>
              </w:rPr>
              <w:t>11%</w:t>
            </w:r>
          </w:p>
        </w:tc>
        <w:tc>
          <w:tcPr>
            <w:tcW w:w="1134" w:type="dxa"/>
            <w:tcBorders>
              <w:top w:val="nil"/>
              <w:left w:val="nil"/>
              <w:bottom w:val="single" w:sz="8" w:space="0" w:color="auto"/>
              <w:right w:val="single" w:sz="8" w:space="0" w:color="auto"/>
            </w:tcBorders>
            <w:shd w:val="clear" w:color="auto" w:fill="auto"/>
            <w:noWrap/>
            <w:vAlign w:val="center"/>
            <w:hideMark/>
          </w:tcPr>
          <w:p w14:paraId="7DD4BC49" w14:textId="77777777" w:rsidR="00E0060E" w:rsidRPr="00A52AEE" w:rsidRDefault="00E0060E" w:rsidP="00FE68E8">
            <w:pPr>
              <w:jc w:val="right"/>
              <w:rPr>
                <w:lang w:eastAsia="en-GB"/>
              </w:rPr>
            </w:pPr>
            <w:r w:rsidRPr="00A52AEE">
              <w:rPr>
                <w:lang w:eastAsia="en-GB"/>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548287D" w14:textId="77777777" w:rsidR="00E0060E" w:rsidRPr="00A52AEE" w:rsidRDefault="00E0060E" w:rsidP="00FE68E8">
            <w:pPr>
              <w:jc w:val="right"/>
              <w:rPr>
                <w:lang w:eastAsia="en-GB"/>
              </w:rPr>
            </w:pPr>
            <w:r w:rsidRPr="00A52AEE">
              <w:rPr>
                <w:lang w:eastAsia="en-GB"/>
              </w:rPr>
              <w:t>12%</w:t>
            </w:r>
          </w:p>
        </w:tc>
      </w:tr>
      <w:tr w:rsidR="00E0060E" w:rsidRPr="00A52AEE" w14:paraId="31F1BF2F"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4D270085" w14:textId="77777777" w:rsidR="00E0060E" w:rsidRPr="00A52AEE" w:rsidRDefault="00E0060E" w:rsidP="00A52AEE">
            <w:pPr>
              <w:rPr>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6C4BC65B" w14:textId="77777777" w:rsidR="00E0060E" w:rsidRPr="00A52AEE" w:rsidRDefault="00E0060E" w:rsidP="00A52AEE">
            <w:pPr>
              <w:rPr>
                <w:lang w:eastAsia="en-GB"/>
              </w:rPr>
            </w:pPr>
            <w:r w:rsidRPr="00A52AEE">
              <w:rPr>
                <w:lang w:eastAsia="en-GB"/>
              </w:rPr>
              <w:t>25 plus</w:t>
            </w:r>
          </w:p>
        </w:tc>
        <w:tc>
          <w:tcPr>
            <w:tcW w:w="1104" w:type="dxa"/>
            <w:tcBorders>
              <w:top w:val="nil"/>
              <w:left w:val="nil"/>
              <w:bottom w:val="single" w:sz="8" w:space="0" w:color="auto"/>
              <w:right w:val="single" w:sz="8" w:space="0" w:color="auto"/>
            </w:tcBorders>
            <w:shd w:val="clear" w:color="auto" w:fill="auto"/>
            <w:noWrap/>
            <w:vAlign w:val="center"/>
            <w:hideMark/>
          </w:tcPr>
          <w:p w14:paraId="32057B4F" w14:textId="77777777" w:rsidR="00E0060E" w:rsidRPr="00A52AEE" w:rsidRDefault="00E0060E" w:rsidP="00FE68E8">
            <w:pPr>
              <w:jc w:val="right"/>
              <w:rPr>
                <w:lang w:eastAsia="en-GB"/>
              </w:rPr>
            </w:pPr>
            <w:r w:rsidRPr="00A52AEE">
              <w:rPr>
                <w:lang w:eastAsia="en-GB"/>
              </w:rPr>
              <w:t>76%</w:t>
            </w:r>
          </w:p>
        </w:tc>
        <w:tc>
          <w:tcPr>
            <w:tcW w:w="1164" w:type="dxa"/>
            <w:tcBorders>
              <w:top w:val="nil"/>
              <w:left w:val="nil"/>
              <w:bottom w:val="single" w:sz="8" w:space="0" w:color="auto"/>
              <w:right w:val="single" w:sz="8" w:space="0" w:color="auto"/>
            </w:tcBorders>
            <w:shd w:val="clear" w:color="auto" w:fill="auto"/>
            <w:noWrap/>
            <w:vAlign w:val="center"/>
            <w:hideMark/>
          </w:tcPr>
          <w:p w14:paraId="17584F0F" w14:textId="77777777" w:rsidR="00E0060E" w:rsidRPr="00A52AEE" w:rsidRDefault="00E0060E" w:rsidP="00FE68E8">
            <w:pPr>
              <w:jc w:val="right"/>
              <w:rPr>
                <w:lang w:eastAsia="en-GB"/>
              </w:rPr>
            </w:pPr>
            <w:r w:rsidRPr="00A52AEE">
              <w:rPr>
                <w:lang w:eastAsia="en-GB"/>
              </w:rPr>
              <w:t>81%</w:t>
            </w:r>
          </w:p>
        </w:tc>
        <w:tc>
          <w:tcPr>
            <w:tcW w:w="1134" w:type="dxa"/>
            <w:tcBorders>
              <w:top w:val="nil"/>
              <w:left w:val="nil"/>
              <w:bottom w:val="single" w:sz="8" w:space="0" w:color="auto"/>
              <w:right w:val="single" w:sz="8" w:space="0" w:color="auto"/>
            </w:tcBorders>
            <w:shd w:val="clear" w:color="auto" w:fill="auto"/>
            <w:noWrap/>
            <w:vAlign w:val="center"/>
            <w:hideMark/>
          </w:tcPr>
          <w:p w14:paraId="31DD9F42" w14:textId="77777777" w:rsidR="00E0060E" w:rsidRPr="00A52AEE" w:rsidRDefault="00E0060E" w:rsidP="00FE68E8">
            <w:pPr>
              <w:jc w:val="right"/>
              <w:rPr>
                <w:lang w:eastAsia="en-GB"/>
              </w:rPr>
            </w:pPr>
            <w:r w:rsidRPr="00A52AEE">
              <w:rPr>
                <w:lang w:eastAsia="en-GB"/>
              </w:rPr>
              <w:t>81%</w:t>
            </w:r>
          </w:p>
        </w:tc>
        <w:tc>
          <w:tcPr>
            <w:tcW w:w="1134" w:type="dxa"/>
            <w:tcBorders>
              <w:top w:val="nil"/>
              <w:left w:val="nil"/>
              <w:bottom w:val="single" w:sz="8" w:space="0" w:color="auto"/>
              <w:right w:val="single" w:sz="8" w:space="0" w:color="auto"/>
            </w:tcBorders>
            <w:shd w:val="clear" w:color="auto" w:fill="auto"/>
            <w:noWrap/>
            <w:vAlign w:val="center"/>
            <w:hideMark/>
          </w:tcPr>
          <w:p w14:paraId="1E337248" w14:textId="77777777" w:rsidR="00E0060E" w:rsidRPr="00A52AEE" w:rsidRDefault="00E0060E" w:rsidP="00FE68E8">
            <w:pPr>
              <w:jc w:val="right"/>
              <w:rPr>
                <w:lang w:eastAsia="en-GB"/>
              </w:rPr>
            </w:pPr>
            <w:r w:rsidRPr="00A52AEE">
              <w:rPr>
                <w:lang w:eastAsia="en-GB"/>
              </w:rPr>
              <w:t>82%</w:t>
            </w:r>
          </w:p>
        </w:tc>
        <w:tc>
          <w:tcPr>
            <w:tcW w:w="1134" w:type="dxa"/>
            <w:tcBorders>
              <w:top w:val="nil"/>
              <w:left w:val="nil"/>
              <w:bottom w:val="single" w:sz="8" w:space="0" w:color="auto"/>
              <w:right w:val="single" w:sz="8" w:space="0" w:color="auto"/>
            </w:tcBorders>
            <w:shd w:val="clear" w:color="auto" w:fill="auto"/>
            <w:noWrap/>
            <w:vAlign w:val="center"/>
            <w:hideMark/>
          </w:tcPr>
          <w:p w14:paraId="36B3FCB0" w14:textId="77777777" w:rsidR="00E0060E" w:rsidRPr="00A52AEE" w:rsidRDefault="00E0060E" w:rsidP="00FE68E8">
            <w:pPr>
              <w:jc w:val="right"/>
              <w:rPr>
                <w:lang w:eastAsia="en-GB"/>
              </w:rPr>
            </w:pPr>
            <w:r w:rsidRPr="00A52AEE">
              <w:rPr>
                <w:lang w:eastAsia="en-GB"/>
              </w:rPr>
              <w:t>70%</w:t>
            </w:r>
          </w:p>
        </w:tc>
      </w:tr>
      <w:tr w:rsidR="00E0060E" w:rsidRPr="0074535F" w14:paraId="15F15ABF" w14:textId="77777777" w:rsidTr="0036229E">
        <w:trPr>
          <w:trHeight w:val="60"/>
        </w:trPr>
        <w:tc>
          <w:tcPr>
            <w:tcW w:w="9346" w:type="dxa"/>
            <w:gridSpan w:val="7"/>
            <w:tcBorders>
              <w:top w:val="single" w:sz="8" w:space="0" w:color="auto"/>
              <w:left w:val="single" w:sz="8" w:space="0" w:color="auto"/>
              <w:bottom w:val="single" w:sz="8" w:space="0" w:color="auto"/>
              <w:right w:val="single" w:sz="8" w:space="0" w:color="000000"/>
            </w:tcBorders>
            <w:shd w:val="clear" w:color="auto" w:fill="1F4E79" w:themeFill="accent1" w:themeFillShade="80"/>
            <w:noWrap/>
            <w:vAlign w:val="center"/>
            <w:hideMark/>
          </w:tcPr>
          <w:p w14:paraId="22404059" w14:textId="77777777" w:rsidR="00E0060E" w:rsidRPr="0074535F" w:rsidRDefault="00E0060E" w:rsidP="00FE68E8">
            <w:pPr>
              <w:jc w:val="right"/>
              <w:rPr>
                <w:sz w:val="4"/>
                <w:lang w:eastAsia="en-GB"/>
              </w:rPr>
            </w:pPr>
            <w:r w:rsidRPr="0074535F">
              <w:rPr>
                <w:sz w:val="4"/>
                <w:lang w:eastAsia="en-GB"/>
              </w:rPr>
              <w:t> </w:t>
            </w:r>
          </w:p>
        </w:tc>
      </w:tr>
      <w:tr w:rsidR="00E0060E" w:rsidRPr="00A52AEE" w14:paraId="107CD235" w14:textId="77777777" w:rsidTr="0036229E">
        <w:trPr>
          <w:trHeight w:val="315"/>
        </w:trPr>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32FEA4" w14:textId="00ED5584" w:rsidR="00E0060E" w:rsidRPr="0074535F" w:rsidRDefault="0036229E" w:rsidP="00A52AEE">
            <w:pPr>
              <w:rPr>
                <w:b/>
                <w:lang w:eastAsia="en-GB"/>
              </w:rPr>
            </w:pPr>
            <w:r w:rsidRPr="0074535F">
              <w:rPr>
                <w:b/>
                <w:lang w:eastAsia="en-GB"/>
              </w:rPr>
              <w:t>Other V</w:t>
            </w:r>
            <w:r w:rsidR="00E0060E" w:rsidRPr="0074535F">
              <w:rPr>
                <w:b/>
                <w:lang w:eastAsia="en-GB"/>
              </w:rPr>
              <w:t>ocational</w:t>
            </w:r>
          </w:p>
        </w:tc>
        <w:tc>
          <w:tcPr>
            <w:tcW w:w="1196" w:type="dxa"/>
            <w:tcBorders>
              <w:top w:val="nil"/>
              <w:left w:val="nil"/>
              <w:bottom w:val="single" w:sz="8" w:space="0" w:color="auto"/>
              <w:right w:val="single" w:sz="8" w:space="0" w:color="auto"/>
            </w:tcBorders>
            <w:shd w:val="clear" w:color="auto" w:fill="auto"/>
            <w:noWrap/>
            <w:vAlign w:val="center"/>
            <w:hideMark/>
          </w:tcPr>
          <w:p w14:paraId="2A5FCEB1" w14:textId="77777777" w:rsidR="00E0060E" w:rsidRPr="00A52AEE" w:rsidRDefault="00E0060E" w:rsidP="00A52AEE">
            <w:pPr>
              <w:rPr>
                <w:lang w:eastAsia="en-GB"/>
              </w:rPr>
            </w:pPr>
            <w:r w:rsidRPr="00A52AEE">
              <w:rPr>
                <w:lang w:eastAsia="en-GB"/>
              </w:rPr>
              <w:t>Less 20</w:t>
            </w:r>
          </w:p>
        </w:tc>
        <w:tc>
          <w:tcPr>
            <w:tcW w:w="1104" w:type="dxa"/>
            <w:tcBorders>
              <w:top w:val="nil"/>
              <w:left w:val="nil"/>
              <w:bottom w:val="single" w:sz="8" w:space="0" w:color="auto"/>
              <w:right w:val="single" w:sz="8" w:space="0" w:color="auto"/>
            </w:tcBorders>
            <w:shd w:val="clear" w:color="auto" w:fill="auto"/>
            <w:noWrap/>
            <w:vAlign w:val="center"/>
            <w:hideMark/>
          </w:tcPr>
          <w:p w14:paraId="38893278" w14:textId="77777777" w:rsidR="00E0060E" w:rsidRPr="00A52AEE" w:rsidRDefault="00E0060E" w:rsidP="00FE68E8">
            <w:pPr>
              <w:jc w:val="right"/>
              <w:rPr>
                <w:lang w:eastAsia="en-GB"/>
              </w:rPr>
            </w:pPr>
            <w:r w:rsidRPr="00A52AEE">
              <w:rPr>
                <w:lang w:eastAsia="en-GB"/>
              </w:rPr>
              <w:t>17%</w:t>
            </w:r>
          </w:p>
        </w:tc>
        <w:tc>
          <w:tcPr>
            <w:tcW w:w="1164" w:type="dxa"/>
            <w:tcBorders>
              <w:top w:val="nil"/>
              <w:left w:val="nil"/>
              <w:bottom w:val="single" w:sz="8" w:space="0" w:color="auto"/>
              <w:right w:val="single" w:sz="8" w:space="0" w:color="auto"/>
            </w:tcBorders>
            <w:shd w:val="clear" w:color="auto" w:fill="auto"/>
            <w:noWrap/>
            <w:vAlign w:val="center"/>
            <w:hideMark/>
          </w:tcPr>
          <w:p w14:paraId="0261FB17" w14:textId="77777777" w:rsidR="00E0060E" w:rsidRPr="00A52AEE" w:rsidRDefault="00E0060E" w:rsidP="00FE68E8">
            <w:pPr>
              <w:jc w:val="right"/>
              <w:rPr>
                <w:lang w:eastAsia="en-GB"/>
              </w:rPr>
            </w:pPr>
            <w:r w:rsidRPr="00A52AEE">
              <w:rPr>
                <w:lang w:eastAsia="en-GB"/>
              </w:rPr>
              <w:t>18%</w:t>
            </w:r>
          </w:p>
        </w:tc>
        <w:tc>
          <w:tcPr>
            <w:tcW w:w="1134" w:type="dxa"/>
            <w:tcBorders>
              <w:top w:val="nil"/>
              <w:left w:val="nil"/>
              <w:bottom w:val="single" w:sz="8" w:space="0" w:color="auto"/>
              <w:right w:val="single" w:sz="8" w:space="0" w:color="auto"/>
            </w:tcBorders>
            <w:shd w:val="clear" w:color="auto" w:fill="auto"/>
            <w:noWrap/>
            <w:vAlign w:val="center"/>
            <w:hideMark/>
          </w:tcPr>
          <w:p w14:paraId="03EA5E80" w14:textId="77777777" w:rsidR="00E0060E" w:rsidRPr="00A52AEE" w:rsidRDefault="00E0060E" w:rsidP="00FE68E8">
            <w:pPr>
              <w:jc w:val="right"/>
              <w:rPr>
                <w:lang w:eastAsia="en-GB"/>
              </w:rPr>
            </w:pPr>
            <w:r w:rsidRPr="00A52AEE">
              <w:rPr>
                <w:lang w:eastAsia="en-GB"/>
              </w:rPr>
              <w:t>21%</w:t>
            </w:r>
          </w:p>
        </w:tc>
        <w:tc>
          <w:tcPr>
            <w:tcW w:w="1134" w:type="dxa"/>
            <w:tcBorders>
              <w:top w:val="nil"/>
              <w:left w:val="nil"/>
              <w:bottom w:val="single" w:sz="8" w:space="0" w:color="auto"/>
              <w:right w:val="single" w:sz="8" w:space="0" w:color="auto"/>
            </w:tcBorders>
            <w:shd w:val="clear" w:color="auto" w:fill="auto"/>
            <w:noWrap/>
            <w:vAlign w:val="center"/>
            <w:hideMark/>
          </w:tcPr>
          <w:p w14:paraId="5138105F" w14:textId="77777777" w:rsidR="00E0060E" w:rsidRPr="00A52AEE" w:rsidRDefault="00E0060E" w:rsidP="00FE68E8">
            <w:pPr>
              <w:jc w:val="right"/>
              <w:rPr>
                <w:lang w:eastAsia="en-GB"/>
              </w:rPr>
            </w:pPr>
            <w:r w:rsidRPr="00A52AEE">
              <w:rPr>
                <w:lang w:eastAsia="en-GB"/>
              </w:rPr>
              <w:t>26%</w:t>
            </w:r>
          </w:p>
        </w:tc>
        <w:tc>
          <w:tcPr>
            <w:tcW w:w="1134" w:type="dxa"/>
            <w:tcBorders>
              <w:top w:val="nil"/>
              <w:left w:val="nil"/>
              <w:bottom w:val="single" w:sz="8" w:space="0" w:color="auto"/>
              <w:right w:val="single" w:sz="8" w:space="0" w:color="auto"/>
            </w:tcBorders>
            <w:shd w:val="clear" w:color="auto" w:fill="auto"/>
            <w:noWrap/>
            <w:vAlign w:val="center"/>
            <w:hideMark/>
          </w:tcPr>
          <w:p w14:paraId="6ED8DC00" w14:textId="77777777" w:rsidR="00E0060E" w:rsidRPr="00A52AEE" w:rsidRDefault="00E0060E" w:rsidP="00FE68E8">
            <w:pPr>
              <w:jc w:val="right"/>
              <w:rPr>
                <w:lang w:eastAsia="en-GB"/>
              </w:rPr>
            </w:pPr>
            <w:r w:rsidRPr="00A52AEE">
              <w:rPr>
                <w:lang w:eastAsia="en-GB"/>
              </w:rPr>
              <w:t>32%</w:t>
            </w:r>
          </w:p>
        </w:tc>
      </w:tr>
      <w:tr w:rsidR="00E0060E" w:rsidRPr="00A52AEE" w14:paraId="18157506"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1F98E571" w14:textId="77777777" w:rsidR="00E0060E" w:rsidRPr="00A52AEE" w:rsidRDefault="00E0060E" w:rsidP="00A52AEE">
            <w:pPr>
              <w:rPr>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47A6DDA4" w14:textId="77777777" w:rsidR="00E0060E" w:rsidRPr="00A52AEE" w:rsidRDefault="00E0060E" w:rsidP="00A52AEE">
            <w:pPr>
              <w:rPr>
                <w:lang w:eastAsia="en-GB"/>
              </w:rPr>
            </w:pPr>
            <w:r w:rsidRPr="00A52AEE">
              <w:rPr>
                <w:lang w:eastAsia="en-GB"/>
              </w:rPr>
              <w:t>20-24</w:t>
            </w:r>
          </w:p>
        </w:tc>
        <w:tc>
          <w:tcPr>
            <w:tcW w:w="1104" w:type="dxa"/>
            <w:tcBorders>
              <w:top w:val="nil"/>
              <w:left w:val="nil"/>
              <w:bottom w:val="single" w:sz="8" w:space="0" w:color="auto"/>
              <w:right w:val="single" w:sz="8" w:space="0" w:color="auto"/>
            </w:tcBorders>
            <w:shd w:val="clear" w:color="auto" w:fill="auto"/>
            <w:noWrap/>
            <w:vAlign w:val="center"/>
            <w:hideMark/>
          </w:tcPr>
          <w:p w14:paraId="6791C241" w14:textId="77777777" w:rsidR="00E0060E" w:rsidRPr="00A52AEE" w:rsidRDefault="00E0060E" w:rsidP="00FE68E8">
            <w:pPr>
              <w:jc w:val="right"/>
              <w:rPr>
                <w:lang w:eastAsia="en-GB"/>
              </w:rPr>
            </w:pPr>
            <w:r w:rsidRPr="00A52AEE">
              <w:rPr>
                <w:lang w:eastAsia="en-GB"/>
              </w:rPr>
              <w:t>12%</w:t>
            </w:r>
          </w:p>
        </w:tc>
        <w:tc>
          <w:tcPr>
            <w:tcW w:w="1164" w:type="dxa"/>
            <w:tcBorders>
              <w:top w:val="nil"/>
              <w:left w:val="nil"/>
              <w:bottom w:val="single" w:sz="8" w:space="0" w:color="auto"/>
              <w:right w:val="single" w:sz="8" w:space="0" w:color="auto"/>
            </w:tcBorders>
            <w:shd w:val="clear" w:color="auto" w:fill="auto"/>
            <w:noWrap/>
            <w:vAlign w:val="center"/>
            <w:hideMark/>
          </w:tcPr>
          <w:p w14:paraId="5DD6241C" w14:textId="77777777" w:rsidR="00E0060E" w:rsidRPr="00A52AEE" w:rsidRDefault="00E0060E" w:rsidP="00FE68E8">
            <w:pPr>
              <w:jc w:val="right"/>
              <w:rPr>
                <w:lang w:eastAsia="en-GB"/>
              </w:rPr>
            </w:pPr>
            <w:r w:rsidRPr="00A52AEE">
              <w:rPr>
                <w:lang w:eastAsia="en-GB"/>
              </w:rPr>
              <w:t>12%</w:t>
            </w:r>
          </w:p>
        </w:tc>
        <w:tc>
          <w:tcPr>
            <w:tcW w:w="1134" w:type="dxa"/>
            <w:tcBorders>
              <w:top w:val="nil"/>
              <w:left w:val="nil"/>
              <w:bottom w:val="single" w:sz="8" w:space="0" w:color="auto"/>
              <w:right w:val="single" w:sz="8" w:space="0" w:color="auto"/>
            </w:tcBorders>
            <w:shd w:val="clear" w:color="auto" w:fill="auto"/>
            <w:noWrap/>
            <w:vAlign w:val="center"/>
            <w:hideMark/>
          </w:tcPr>
          <w:p w14:paraId="7B34209B" w14:textId="77777777" w:rsidR="00E0060E" w:rsidRPr="00A52AEE" w:rsidRDefault="00E0060E" w:rsidP="00FE68E8">
            <w:pPr>
              <w:jc w:val="right"/>
              <w:rPr>
                <w:lang w:eastAsia="en-GB"/>
              </w:rPr>
            </w:pPr>
            <w:r w:rsidRPr="00A52AEE">
              <w:rPr>
                <w:lang w:eastAsia="en-GB"/>
              </w:rPr>
              <w:t>12%</w:t>
            </w:r>
          </w:p>
        </w:tc>
        <w:tc>
          <w:tcPr>
            <w:tcW w:w="1134" w:type="dxa"/>
            <w:tcBorders>
              <w:top w:val="nil"/>
              <w:left w:val="nil"/>
              <w:bottom w:val="single" w:sz="8" w:space="0" w:color="auto"/>
              <w:right w:val="single" w:sz="8" w:space="0" w:color="auto"/>
            </w:tcBorders>
            <w:shd w:val="clear" w:color="auto" w:fill="auto"/>
            <w:noWrap/>
            <w:vAlign w:val="center"/>
            <w:hideMark/>
          </w:tcPr>
          <w:p w14:paraId="19D3E3BB" w14:textId="77777777" w:rsidR="00E0060E" w:rsidRPr="00A52AEE" w:rsidRDefault="00E0060E" w:rsidP="00FE68E8">
            <w:pPr>
              <w:jc w:val="right"/>
              <w:rPr>
                <w:lang w:eastAsia="en-GB"/>
              </w:rPr>
            </w:pPr>
            <w:r w:rsidRPr="00A52AEE">
              <w:rPr>
                <w:lang w:eastAsia="en-GB"/>
              </w:rPr>
              <w:t>12%</w:t>
            </w:r>
          </w:p>
        </w:tc>
        <w:tc>
          <w:tcPr>
            <w:tcW w:w="1134" w:type="dxa"/>
            <w:tcBorders>
              <w:top w:val="nil"/>
              <w:left w:val="nil"/>
              <w:bottom w:val="single" w:sz="8" w:space="0" w:color="auto"/>
              <w:right w:val="single" w:sz="8" w:space="0" w:color="auto"/>
            </w:tcBorders>
            <w:shd w:val="clear" w:color="auto" w:fill="auto"/>
            <w:noWrap/>
            <w:vAlign w:val="center"/>
            <w:hideMark/>
          </w:tcPr>
          <w:p w14:paraId="70D43580" w14:textId="77777777" w:rsidR="00E0060E" w:rsidRPr="00A52AEE" w:rsidRDefault="00E0060E" w:rsidP="00FE68E8">
            <w:pPr>
              <w:jc w:val="right"/>
              <w:rPr>
                <w:lang w:eastAsia="en-GB"/>
              </w:rPr>
            </w:pPr>
            <w:r w:rsidRPr="00A52AEE">
              <w:rPr>
                <w:lang w:eastAsia="en-GB"/>
              </w:rPr>
              <w:t>11%</w:t>
            </w:r>
          </w:p>
        </w:tc>
      </w:tr>
      <w:tr w:rsidR="00E0060E" w:rsidRPr="00A52AEE" w14:paraId="744DFC26" w14:textId="77777777" w:rsidTr="0036229E">
        <w:trPr>
          <w:trHeight w:val="315"/>
        </w:trPr>
        <w:tc>
          <w:tcPr>
            <w:tcW w:w="2480" w:type="dxa"/>
            <w:vMerge/>
            <w:tcBorders>
              <w:top w:val="nil"/>
              <w:left w:val="single" w:sz="8" w:space="0" w:color="auto"/>
              <w:bottom w:val="single" w:sz="8" w:space="0" w:color="000000"/>
              <w:right w:val="single" w:sz="8" w:space="0" w:color="auto"/>
            </w:tcBorders>
            <w:vAlign w:val="center"/>
            <w:hideMark/>
          </w:tcPr>
          <w:p w14:paraId="0A373509" w14:textId="77777777" w:rsidR="00E0060E" w:rsidRPr="00A52AEE" w:rsidRDefault="00E0060E" w:rsidP="00A52AEE">
            <w:pPr>
              <w:rPr>
                <w:lang w:eastAsia="en-GB"/>
              </w:rPr>
            </w:pPr>
          </w:p>
        </w:tc>
        <w:tc>
          <w:tcPr>
            <w:tcW w:w="1196" w:type="dxa"/>
            <w:tcBorders>
              <w:top w:val="nil"/>
              <w:left w:val="nil"/>
              <w:bottom w:val="single" w:sz="8" w:space="0" w:color="auto"/>
              <w:right w:val="single" w:sz="8" w:space="0" w:color="auto"/>
            </w:tcBorders>
            <w:shd w:val="clear" w:color="auto" w:fill="auto"/>
            <w:noWrap/>
            <w:vAlign w:val="center"/>
            <w:hideMark/>
          </w:tcPr>
          <w:p w14:paraId="02FA432F" w14:textId="77777777" w:rsidR="00E0060E" w:rsidRPr="00A52AEE" w:rsidRDefault="00E0060E" w:rsidP="00A52AEE">
            <w:pPr>
              <w:rPr>
                <w:lang w:eastAsia="en-GB"/>
              </w:rPr>
            </w:pPr>
            <w:r w:rsidRPr="00A52AEE">
              <w:rPr>
                <w:lang w:eastAsia="en-GB"/>
              </w:rPr>
              <w:t>25 plus</w:t>
            </w:r>
          </w:p>
        </w:tc>
        <w:tc>
          <w:tcPr>
            <w:tcW w:w="1104" w:type="dxa"/>
            <w:tcBorders>
              <w:top w:val="nil"/>
              <w:left w:val="nil"/>
              <w:bottom w:val="single" w:sz="8" w:space="0" w:color="auto"/>
              <w:right w:val="single" w:sz="8" w:space="0" w:color="auto"/>
            </w:tcBorders>
            <w:shd w:val="clear" w:color="auto" w:fill="auto"/>
            <w:noWrap/>
            <w:vAlign w:val="center"/>
            <w:hideMark/>
          </w:tcPr>
          <w:p w14:paraId="55F01C4B" w14:textId="77777777" w:rsidR="00E0060E" w:rsidRPr="00A52AEE" w:rsidRDefault="00E0060E" w:rsidP="00FE68E8">
            <w:pPr>
              <w:jc w:val="right"/>
              <w:rPr>
                <w:lang w:eastAsia="en-GB"/>
              </w:rPr>
            </w:pPr>
            <w:r w:rsidRPr="00A52AEE">
              <w:rPr>
                <w:lang w:eastAsia="en-GB"/>
              </w:rPr>
              <w:t>71%</w:t>
            </w:r>
          </w:p>
        </w:tc>
        <w:tc>
          <w:tcPr>
            <w:tcW w:w="1164" w:type="dxa"/>
            <w:tcBorders>
              <w:top w:val="nil"/>
              <w:left w:val="nil"/>
              <w:bottom w:val="single" w:sz="8" w:space="0" w:color="auto"/>
              <w:right w:val="single" w:sz="8" w:space="0" w:color="auto"/>
            </w:tcBorders>
            <w:shd w:val="clear" w:color="auto" w:fill="auto"/>
            <w:noWrap/>
            <w:vAlign w:val="center"/>
            <w:hideMark/>
          </w:tcPr>
          <w:p w14:paraId="777A4841" w14:textId="77777777" w:rsidR="00E0060E" w:rsidRPr="00A52AEE" w:rsidRDefault="00E0060E" w:rsidP="00FE68E8">
            <w:pPr>
              <w:jc w:val="right"/>
              <w:rPr>
                <w:lang w:eastAsia="en-GB"/>
              </w:rPr>
            </w:pPr>
            <w:r w:rsidRPr="00A52AEE">
              <w:rPr>
                <w:lang w:eastAsia="en-GB"/>
              </w:rPr>
              <w:t>69%</w:t>
            </w:r>
          </w:p>
        </w:tc>
        <w:tc>
          <w:tcPr>
            <w:tcW w:w="1134" w:type="dxa"/>
            <w:tcBorders>
              <w:top w:val="nil"/>
              <w:left w:val="nil"/>
              <w:bottom w:val="single" w:sz="8" w:space="0" w:color="auto"/>
              <w:right w:val="single" w:sz="8" w:space="0" w:color="auto"/>
            </w:tcBorders>
            <w:shd w:val="clear" w:color="auto" w:fill="auto"/>
            <w:noWrap/>
            <w:vAlign w:val="center"/>
            <w:hideMark/>
          </w:tcPr>
          <w:p w14:paraId="2932E2BF" w14:textId="77777777" w:rsidR="00E0060E" w:rsidRPr="00A52AEE" w:rsidRDefault="00E0060E" w:rsidP="00FE68E8">
            <w:pPr>
              <w:jc w:val="right"/>
              <w:rPr>
                <w:lang w:eastAsia="en-GB"/>
              </w:rPr>
            </w:pPr>
            <w:r w:rsidRPr="00A52AEE">
              <w:rPr>
                <w:lang w:eastAsia="en-GB"/>
              </w:rPr>
              <w:t>67%</w:t>
            </w:r>
          </w:p>
        </w:tc>
        <w:tc>
          <w:tcPr>
            <w:tcW w:w="1134" w:type="dxa"/>
            <w:tcBorders>
              <w:top w:val="nil"/>
              <w:left w:val="nil"/>
              <w:bottom w:val="single" w:sz="8" w:space="0" w:color="auto"/>
              <w:right w:val="single" w:sz="8" w:space="0" w:color="auto"/>
            </w:tcBorders>
            <w:shd w:val="clear" w:color="auto" w:fill="auto"/>
            <w:noWrap/>
            <w:vAlign w:val="center"/>
            <w:hideMark/>
          </w:tcPr>
          <w:p w14:paraId="20317A0D" w14:textId="77777777" w:rsidR="00E0060E" w:rsidRPr="00A52AEE" w:rsidRDefault="00E0060E" w:rsidP="00FE68E8">
            <w:pPr>
              <w:jc w:val="right"/>
              <w:rPr>
                <w:lang w:eastAsia="en-GB"/>
              </w:rPr>
            </w:pPr>
            <w:r w:rsidRPr="00A52AEE">
              <w:rPr>
                <w:lang w:eastAsia="en-GB"/>
              </w:rPr>
              <w:t>62%</w:t>
            </w:r>
          </w:p>
        </w:tc>
        <w:tc>
          <w:tcPr>
            <w:tcW w:w="1134" w:type="dxa"/>
            <w:tcBorders>
              <w:top w:val="nil"/>
              <w:left w:val="nil"/>
              <w:bottom w:val="single" w:sz="8" w:space="0" w:color="auto"/>
              <w:right w:val="single" w:sz="8" w:space="0" w:color="auto"/>
            </w:tcBorders>
            <w:shd w:val="clear" w:color="auto" w:fill="auto"/>
            <w:noWrap/>
            <w:vAlign w:val="center"/>
            <w:hideMark/>
          </w:tcPr>
          <w:p w14:paraId="25241533" w14:textId="77777777" w:rsidR="00E0060E" w:rsidRPr="00A52AEE" w:rsidRDefault="00E0060E" w:rsidP="00FE68E8">
            <w:pPr>
              <w:jc w:val="right"/>
              <w:rPr>
                <w:lang w:eastAsia="en-GB"/>
              </w:rPr>
            </w:pPr>
            <w:r w:rsidRPr="00A52AEE">
              <w:rPr>
                <w:lang w:eastAsia="en-GB"/>
              </w:rPr>
              <w:t>56%</w:t>
            </w:r>
          </w:p>
        </w:tc>
      </w:tr>
    </w:tbl>
    <w:p w14:paraId="5C7F8257" w14:textId="089232E2" w:rsidR="00E0060E" w:rsidRDefault="00C51CA7" w:rsidP="00A52AEE">
      <w:r>
        <w:t>* Percentages have been rounded</w:t>
      </w:r>
    </w:p>
    <w:p w14:paraId="38AAB944" w14:textId="77777777" w:rsidR="00C51CA7" w:rsidRPr="00A52AEE" w:rsidRDefault="00C51CA7" w:rsidP="00A52AEE"/>
    <w:p w14:paraId="4F0075A5" w14:textId="7F97A4EF" w:rsidR="00851272" w:rsidRPr="00A52AEE" w:rsidRDefault="00771DD0" w:rsidP="008D527A">
      <w:pPr>
        <w:pStyle w:val="Heading2"/>
      </w:pPr>
      <w:bookmarkStart w:id="75" w:name="_Toc405201383"/>
      <w:bookmarkStart w:id="76" w:name="_Toc411437014"/>
      <w:bookmarkStart w:id="77" w:name="_Toc429151308"/>
      <w:r>
        <w:t>4</w:t>
      </w:r>
      <w:r w:rsidR="007F7A33">
        <w:t>.4</w:t>
      </w:r>
      <w:r w:rsidR="0036229E" w:rsidRPr="00A52AEE">
        <w:tab/>
      </w:r>
      <w:r w:rsidR="00851272" w:rsidRPr="00A52AEE">
        <w:t>Gender</w:t>
      </w:r>
      <w:bookmarkEnd w:id="75"/>
      <w:bookmarkEnd w:id="76"/>
      <w:bookmarkEnd w:id="77"/>
    </w:p>
    <w:p w14:paraId="5FAE29D5" w14:textId="06AB8C0B" w:rsidR="00851272" w:rsidRPr="00A52AEE" w:rsidRDefault="00851272" w:rsidP="00A52AEE">
      <w:r w:rsidRPr="00A52AEE">
        <w:t xml:space="preserve">Table 4 shows that in 2007-08 females made up 57% of the </w:t>
      </w:r>
      <w:r w:rsidR="0021637B" w:rsidRPr="00A52AEE">
        <w:t>Level</w:t>
      </w:r>
      <w:r w:rsidRPr="00A52AEE">
        <w:t xml:space="preserve"> 3 tracked cohort compared to 43% of males and this was similar for the last tracked cohort in 2011-12 (5</w:t>
      </w:r>
      <w:r w:rsidR="00DB7B3A" w:rsidRPr="00A52AEE">
        <w:t>6</w:t>
      </w:r>
      <w:r w:rsidRPr="00A52AEE">
        <w:t>% female, 4</w:t>
      </w:r>
      <w:r w:rsidR="00DB7B3A" w:rsidRPr="00A52AEE">
        <w:t>4</w:t>
      </w:r>
      <w:r w:rsidRPr="00A52AEE">
        <w:t xml:space="preserve">% males) although there was a +14% growth in </w:t>
      </w:r>
      <w:r w:rsidR="0082463B" w:rsidRPr="00A52AEE">
        <w:t xml:space="preserve">the number of </w:t>
      </w:r>
      <w:r w:rsidRPr="00A52AEE">
        <w:t>males across the period compared to just +</w:t>
      </w:r>
      <w:r w:rsidR="00DB7B3A" w:rsidRPr="00A52AEE">
        <w:t>8</w:t>
      </w:r>
      <w:r w:rsidRPr="00A52AEE">
        <w:t>% of females.</w:t>
      </w:r>
    </w:p>
    <w:p w14:paraId="3787C9FD" w14:textId="77777777" w:rsidR="00851272" w:rsidRPr="00A52AEE" w:rsidRDefault="00851272" w:rsidP="00A52AEE"/>
    <w:p w14:paraId="6F5CC12E" w14:textId="76A27FFA" w:rsidR="00851272" w:rsidRDefault="00851272" w:rsidP="00A52AEE">
      <w:pPr>
        <w:rPr>
          <w:b/>
        </w:rPr>
      </w:pPr>
      <w:r w:rsidRPr="00305EFC">
        <w:rPr>
          <w:b/>
        </w:rPr>
        <w:t xml:space="preserve"> Table 4</w:t>
      </w:r>
      <w:r w:rsidR="00167733" w:rsidRPr="00305EFC">
        <w:rPr>
          <w:b/>
        </w:rPr>
        <w:t xml:space="preserve">: Breakdown of the Level 3 cohorts </w:t>
      </w:r>
      <w:r w:rsidRPr="00305EFC">
        <w:rPr>
          <w:b/>
        </w:rPr>
        <w:t>by gender</w:t>
      </w:r>
    </w:p>
    <w:p w14:paraId="41FDC889" w14:textId="77777777" w:rsidR="00305EFC" w:rsidRPr="00305EFC" w:rsidRDefault="00305EFC" w:rsidP="00A52AEE">
      <w:pPr>
        <w:rPr>
          <w:b/>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93"/>
        <w:gridCol w:w="651"/>
        <w:gridCol w:w="896"/>
        <w:gridCol w:w="653"/>
        <w:gridCol w:w="900"/>
        <w:gridCol w:w="651"/>
        <w:gridCol w:w="900"/>
        <w:gridCol w:w="651"/>
        <w:gridCol w:w="900"/>
        <w:gridCol w:w="652"/>
        <w:gridCol w:w="1100"/>
      </w:tblGrid>
      <w:tr w:rsidR="00305EFC" w:rsidRPr="0074535F" w14:paraId="46617CAC" w14:textId="77777777" w:rsidTr="00855E4A">
        <w:trPr>
          <w:cantSplit/>
          <w:trHeight w:val="1020"/>
        </w:trPr>
        <w:tc>
          <w:tcPr>
            <w:tcW w:w="484" w:type="pct"/>
            <w:vMerge w:val="restart"/>
            <w:shd w:val="clear" w:color="auto" w:fill="1F4E79" w:themeFill="accent1" w:themeFillShade="80"/>
            <w:noWrap/>
            <w:vAlign w:val="center"/>
            <w:hideMark/>
          </w:tcPr>
          <w:p w14:paraId="0B36EF17" w14:textId="77777777" w:rsidR="00305EFC" w:rsidRPr="0074535F" w:rsidRDefault="00305EFC" w:rsidP="00855E4A">
            <w:pPr>
              <w:rPr>
                <w:b/>
                <w:color w:val="FFFFFF" w:themeColor="background1"/>
                <w:lang w:eastAsia="en-GB"/>
              </w:rPr>
            </w:pPr>
            <w:r w:rsidRPr="0074535F">
              <w:rPr>
                <w:b/>
                <w:color w:val="FFFFFF" w:themeColor="background1"/>
                <w:lang w:eastAsia="en-GB"/>
              </w:rPr>
              <w:t>Gender</w:t>
            </w:r>
          </w:p>
        </w:tc>
        <w:tc>
          <w:tcPr>
            <w:tcW w:w="803" w:type="pct"/>
            <w:gridSpan w:val="2"/>
            <w:shd w:val="clear" w:color="auto" w:fill="1F4E79" w:themeFill="accent1" w:themeFillShade="80"/>
            <w:vAlign w:val="center"/>
            <w:hideMark/>
          </w:tcPr>
          <w:p w14:paraId="557F0438" w14:textId="77777777" w:rsidR="00305EFC" w:rsidRPr="0074535F" w:rsidRDefault="00305EFC" w:rsidP="00855E4A">
            <w:pPr>
              <w:rPr>
                <w:b/>
                <w:color w:val="FFFFFF" w:themeColor="background1"/>
                <w:lang w:eastAsia="en-GB"/>
              </w:rPr>
            </w:pPr>
            <w:r w:rsidRPr="0074535F">
              <w:rPr>
                <w:b/>
                <w:color w:val="FFFFFF" w:themeColor="background1"/>
                <w:lang w:eastAsia="en-GB"/>
              </w:rPr>
              <w:t>2007-08</w:t>
            </w:r>
          </w:p>
        </w:tc>
        <w:tc>
          <w:tcPr>
            <w:tcW w:w="806" w:type="pct"/>
            <w:gridSpan w:val="2"/>
            <w:shd w:val="clear" w:color="auto" w:fill="1F4E79" w:themeFill="accent1" w:themeFillShade="80"/>
            <w:vAlign w:val="center"/>
            <w:hideMark/>
          </w:tcPr>
          <w:p w14:paraId="04D1C166" w14:textId="77777777" w:rsidR="00305EFC" w:rsidRPr="0074535F" w:rsidRDefault="00305EFC" w:rsidP="00855E4A">
            <w:pPr>
              <w:rPr>
                <w:b/>
                <w:color w:val="FFFFFF" w:themeColor="background1"/>
                <w:lang w:eastAsia="en-GB"/>
              </w:rPr>
            </w:pPr>
            <w:r w:rsidRPr="0074535F">
              <w:rPr>
                <w:b/>
                <w:color w:val="FFFFFF" w:themeColor="background1"/>
                <w:lang w:eastAsia="en-GB"/>
              </w:rPr>
              <w:t>2008-09</w:t>
            </w:r>
          </w:p>
        </w:tc>
        <w:tc>
          <w:tcPr>
            <w:tcW w:w="807" w:type="pct"/>
            <w:gridSpan w:val="2"/>
            <w:shd w:val="clear" w:color="auto" w:fill="1F4E79" w:themeFill="accent1" w:themeFillShade="80"/>
            <w:vAlign w:val="center"/>
            <w:hideMark/>
          </w:tcPr>
          <w:p w14:paraId="7DF50C7D" w14:textId="77777777" w:rsidR="00305EFC" w:rsidRPr="0074535F" w:rsidRDefault="00305EFC" w:rsidP="00855E4A">
            <w:pPr>
              <w:rPr>
                <w:b/>
                <w:color w:val="FFFFFF" w:themeColor="background1"/>
                <w:lang w:eastAsia="en-GB"/>
              </w:rPr>
            </w:pPr>
            <w:r w:rsidRPr="0074535F">
              <w:rPr>
                <w:b/>
                <w:color w:val="FFFFFF" w:themeColor="background1"/>
                <w:lang w:eastAsia="en-GB"/>
              </w:rPr>
              <w:t>2009-10</w:t>
            </w:r>
          </w:p>
        </w:tc>
        <w:tc>
          <w:tcPr>
            <w:tcW w:w="807" w:type="pct"/>
            <w:gridSpan w:val="2"/>
            <w:shd w:val="clear" w:color="auto" w:fill="1F4E79" w:themeFill="accent1" w:themeFillShade="80"/>
            <w:vAlign w:val="center"/>
            <w:hideMark/>
          </w:tcPr>
          <w:p w14:paraId="3CED1E95" w14:textId="77777777" w:rsidR="00305EFC" w:rsidRPr="0074535F" w:rsidRDefault="00305EFC" w:rsidP="00855E4A">
            <w:pPr>
              <w:rPr>
                <w:b/>
                <w:color w:val="FFFFFF" w:themeColor="background1"/>
                <w:lang w:eastAsia="en-GB"/>
              </w:rPr>
            </w:pPr>
            <w:r w:rsidRPr="0074535F">
              <w:rPr>
                <w:b/>
                <w:color w:val="FFFFFF" w:themeColor="background1"/>
                <w:lang w:eastAsia="en-GB"/>
              </w:rPr>
              <w:t>2010-11</w:t>
            </w:r>
          </w:p>
        </w:tc>
        <w:tc>
          <w:tcPr>
            <w:tcW w:w="807" w:type="pct"/>
            <w:gridSpan w:val="2"/>
            <w:shd w:val="clear" w:color="auto" w:fill="1F4E79" w:themeFill="accent1" w:themeFillShade="80"/>
            <w:vAlign w:val="center"/>
            <w:hideMark/>
          </w:tcPr>
          <w:p w14:paraId="6FBB07AD" w14:textId="77777777" w:rsidR="00305EFC" w:rsidRPr="0074535F" w:rsidRDefault="00305EFC" w:rsidP="00855E4A">
            <w:pPr>
              <w:rPr>
                <w:b/>
                <w:color w:val="FFFFFF" w:themeColor="background1"/>
                <w:lang w:eastAsia="en-GB"/>
              </w:rPr>
            </w:pPr>
            <w:r w:rsidRPr="0074535F">
              <w:rPr>
                <w:b/>
                <w:color w:val="FFFFFF" w:themeColor="background1"/>
                <w:lang w:eastAsia="en-GB"/>
              </w:rPr>
              <w:t>2011-12</w:t>
            </w:r>
          </w:p>
        </w:tc>
        <w:tc>
          <w:tcPr>
            <w:tcW w:w="485" w:type="pct"/>
            <w:shd w:val="clear" w:color="auto" w:fill="1F4E79" w:themeFill="accent1" w:themeFillShade="80"/>
            <w:vAlign w:val="center"/>
            <w:hideMark/>
          </w:tcPr>
          <w:p w14:paraId="752277F9" w14:textId="77777777" w:rsidR="00305EFC" w:rsidRPr="0074535F" w:rsidRDefault="00305EFC" w:rsidP="00855E4A">
            <w:pPr>
              <w:rPr>
                <w:b/>
                <w:color w:val="FFFFFF" w:themeColor="background1"/>
                <w:lang w:eastAsia="en-GB"/>
              </w:rPr>
            </w:pPr>
            <w:r>
              <w:rPr>
                <w:b/>
                <w:color w:val="FFFFFF" w:themeColor="background1"/>
                <w:lang w:eastAsia="en-GB"/>
              </w:rPr>
              <w:t> </w:t>
            </w:r>
            <w:r w:rsidRPr="0074535F">
              <w:rPr>
                <w:b/>
                <w:color w:val="FFFFFF" w:themeColor="background1"/>
                <w:lang w:eastAsia="en-GB"/>
              </w:rPr>
              <w:t xml:space="preserve">Growth in numbers </w:t>
            </w:r>
          </w:p>
        </w:tc>
      </w:tr>
      <w:tr w:rsidR="00305EFC" w:rsidRPr="0074535F" w14:paraId="13AFB986" w14:textId="77777777" w:rsidTr="00855E4A">
        <w:trPr>
          <w:trHeight w:val="1133"/>
        </w:trPr>
        <w:tc>
          <w:tcPr>
            <w:tcW w:w="484" w:type="pct"/>
            <w:vMerge/>
            <w:shd w:val="clear" w:color="auto" w:fill="1F4E79" w:themeFill="accent1" w:themeFillShade="80"/>
            <w:vAlign w:val="center"/>
            <w:hideMark/>
          </w:tcPr>
          <w:p w14:paraId="24F8BE02" w14:textId="77777777" w:rsidR="00305EFC" w:rsidRPr="0074535F" w:rsidRDefault="00305EFC" w:rsidP="00855E4A">
            <w:pPr>
              <w:rPr>
                <w:b/>
                <w:color w:val="FFFFFF" w:themeColor="background1"/>
                <w:lang w:eastAsia="en-GB"/>
              </w:rPr>
            </w:pPr>
          </w:p>
        </w:tc>
        <w:tc>
          <w:tcPr>
            <w:tcW w:w="463" w:type="pct"/>
            <w:shd w:val="clear" w:color="auto" w:fill="1F4E79" w:themeFill="accent1" w:themeFillShade="80"/>
            <w:noWrap/>
            <w:textDirection w:val="btLr"/>
            <w:vAlign w:val="center"/>
            <w:hideMark/>
          </w:tcPr>
          <w:p w14:paraId="759E1F4D" w14:textId="77777777" w:rsidR="00305EFC" w:rsidRPr="0074535F" w:rsidRDefault="00305EFC" w:rsidP="00855E4A">
            <w:pPr>
              <w:rPr>
                <w:b/>
                <w:color w:val="FFFFFF" w:themeColor="background1"/>
                <w:lang w:eastAsia="en-GB"/>
              </w:rPr>
            </w:pPr>
            <w:r w:rsidRPr="0074535F">
              <w:rPr>
                <w:b/>
                <w:color w:val="FFFFFF" w:themeColor="background1"/>
                <w:lang w:eastAsia="en-GB"/>
              </w:rPr>
              <w:t>Number</w:t>
            </w:r>
          </w:p>
        </w:tc>
        <w:tc>
          <w:tcPr>
            <w:tcW w:w="340" w:type="pct"/>
            <w:shd w:val="clear" w:color="auto" w:fill="1F4E79" w:themeFill="accent1" w:themeFillShade="80"/>
            <w:noWrap/>
            <w:textDirection w:val="btLr"/>
            <w:vAlign w:val="center"/>
            <w:hideMark/>
          </w:tcPr>
          <w:p w14:paraId="4E23BF3D" w14:textId="77777777" w:rsidR="00305EFC" w:rsidRPr="0074535F" w:rsidRDefault="00305EFC" w:rsidP="00855E4A">
            <w:pPr>
              <w:rPr>
                <w:b/>
                <w:color w:val="FFFFFF" w:themeColor="background1"/>
                <w:lang w:eastAsia="en-GB"/>
              </w:rPr>
            </w:pPr>
            <w:r w:rsidRPr="0074535F">
              <w:rPr>
                <w:b/>
                <w:color w:val="FFFFFF" w:themeColor="background1"/>
                <w:lang w:eastAsia="en-GB"/>
              </w:rPr>
              <w:t>% of Total</w:t>
            </w:r>
          </w:p>
        </w:tc>
        <w:tc>
          <w:tcPr>
            <w:tcW w:w="465" w:type="pct"/>
            <w:shd w:val="clear" w:color="auto" w:fill="1F4E79" w:themeFill="accent1" w:themeFillShade="80"/>
            <w:noWrap/>
            <w:textDirection w:val="btLr"/>
            <w:vAlign w:val="center"/>
            <w:hideMark/>
          </w:tcPr>
          <w:p w14:paraId="4C6C6126" w14:textId="77777777" w:rsidR="00305EFC" w:rsidRPr="0074535F" w:rsidRDefault="00305EFC" w:rsidP="00855E4A">
            <w:pPr>
              <w:rPr>
                <w:b/>
                <w:color w:val="FFFFFF" w:themeColor="background1"/>
                <w:lang w:eastAsia="en-GB"/>
              </w:rPr>
            </w:pPr>
            <w:r w:rsidRPr="0074535F">
              <w:rPr>
                <w:b/>
                <w:color w:val="FFFFFF" w:themeColor="background1"/>
                <w:lang w:eastAsia="en-GB"/>
              </w:rPr>
              <w:t>Number</w:t>
            </w:r>
          </w:p>
        </w:tc>
        <w:tc>
          <w:tcPr>
            <w:tcW w:w="340" w:type="pct"/>
            <w:shd w:val="clear" w:color="auto" w:fill="1F4E79" w:themeFill="accent1" w:themeFillShade="80"/>
            <w:noWrap/>
            <w:textDirection w:val="btLr"/>
            <w:vAlign w:val="center"/>
            <w:hideMark/>
          </w:tcPr>
          <w:p w14:paraId="74D7CE69" w14:textId="77777777" w:rsidR="00305EFC" w:rsidRPr="0074535F" w:rsidRDefault="00305EFC" w:rsidP="00855E4A">
            <w:pPr>
              <w:rPr>
                <w:b/>
                <w:color w:val="FFFFFF" w:themeColor="background1"/>
                <w:lang w:eastAsia="en-GB"/>
              </w:rPr>
            </w:pPr>
            <w:r w:rsidRPr="0074535F">
              <w:rPr>
                <w:b/>
                <w:color w:val="FFFFFF" w:themeColor="background1"/>
                <w:lang w:eastAsia="en-GB"/>
              </w:rPr>
              <w:t>% of Total</w:t>
            </w:r>
          </w:p>
        </w:tc>
        <w:tc>
          <w:tcPr>
            <w:tcW w:w="467" w:type="pct"/>
            <w:shd w:val="clear" w:color="auto" w:fill="1F4E79" w:themeFill="accent1" w:themeFillShade="80"/>
            <w:noWrap/>
            <w:textDirection w:val="btLr"/>
            <w:vAlign w:val="center"/>
            <w:hideMark/>
          </w:tcPr>
          <w:p w14:paraId="161689A8" w14:textId="77777777" w:rsidR="00305EFC" w:rsidRPr="0074535F" w:rsidRDefault="00305EFC" w:rsidP="00855E4A">
            <w:pPr>
              <w:rPr>
                <w:b/>
                <w:color w:val="FFFFFF" w:themeColor="background1"/>
                <w:lang w:eastAsia="en-GB"/>
              </w:rPr>
            </w:pPr>
            <w:r w:rsidRPr="0074535F">
              <w:rPr>
                <w:b/>
                <w:color w:val="FFFFFF" w:themeColor="background1"/>
                <w:lang w:eastAsia="en-GB"/>
              </w:rPr>
              <w:t>Number</w:t>
            </w:r>
          </w:p>
        </w:tc>
        <w:tc>
          <w:tcPr>
            <w:tcW w:w="340" w:type="pct"/>
            <w:shd w:val="clear" w:color="auto" w:fill="1F4E79" w:themeFill="accent1" w:themeFillShade="80"/>
            <w:noWrap/>
            <w:textDirection w:val="btLr"/>
            <w:vAlign w:val="center"/>
            <w:hideMark/>
          </w:tcPr>
          <w:p w14:paraId="79ABC114" w14:textId="77777777" w:rsidR="00305EFC" w:rsidRPr="0074535F" w:rsidRDefault="00305EFC" w:rsidP="00855E4A">
            <w:pPr>
              <w:rPr>
                <w:b/>
                <w:color w:val="FFFFFF" w:themeColor="background1"/>
                <w:lang w:eastAsia="en-GB"/>
              </w:rPr>
            </w:pPr>
            <w:r w:rsidRPr="0074535F">
              <w:rPr>
                <w:b/>
                <w:color w:val="FFFFFF" w:themeColor="background1"/>
                <w:lang w:eastAsia="en-GB"/>
              </w:rPr>
              <w:t>% of Total</w:t>
            </w:r>
          </w:p>
        </w:tc>
        <w:tc>
          <w:tcPr>
            <w:tcW w:w="467" w:type="pct"/>
            <w:shd w:val="clear" w:color="auto" w:fill="1F4E79" w:themeFill="accent1" w:themeFillShade="80"/>
            <w:noWrap/>
            <w:textDirection w:val="btLr"/>
            <w:vAlign w:val="center"/>
            <w:hideMark/>
          </w:tcPr>
          <w:p w14:paraId="4D1B0E4E" w14:textId="77777777" w:rsidR="00305EFC" w:rsidRPr="0074535F" w:rsidRDefault="00305EFC" w:rsidP="00855E4A">
            <w:pPr>
              <w:rPr>
                <w:b/>
                <w:color w:val="FFFFFF" w:themeColor="background1"/>
                <w:lang w:eastAsia="en-GB"/>
              </w:rPr>
            </w:pPr>
            <w:r w:rsidRPr="0074535F">
              <w:rPr>
                <w:b/>
                <w:color w:val="FFFFFF" w:themeColor="background1"/>
                <w:lang w:eastAsia="en-GB"/>
              </w:rPr>
              <w:t>Number</w:t>
            </w:r>
          </w:p>
        </w:tc>
        <w:tc>
          <w:tcPr>
            <w:tcW w:w="340" w:type="pct"/>
            <w:shd w:val="clear" w:color="auto" w:fill="1F4E79" w:themeFill="accent1" w:themeFillShade="80"/>
            <w:noWrap/>
            <w:textDirection w:val="btLr"/>
            <w:vAlign w:val="center"/>
            <w:hideMark/>
          </w:tcPr>
          <w:p w14:paraId="2200B1DC" w14:textId="77777777" w:rsidR="00305EFC" w:rsidRPr="0074535F" w:rsidRDefault="00305EFC" w:rsidP="00855E4A">
            <w:pPr>
              <w:rPr>
                <w:b/>
                <w:color w:val="FFFFFF" w:themeColor="background1"/>
                <w:lang w:eastAsia="en-GB"/>
              </w:rPr>
            </w:pPr>
            <w:r w:rsidRPr="0074535F">
              <w:rPr>
                <w:b/>
                <w:color w:val="FFFFFF" w:themeColor="background1"/>
                <w:lang w:eastAsia="en-GB"/>
              </w:rPr>
              <w:t>% of Total</w:t>
            </w:r>
          </w:p>
        </w:tc>
        <w:tc>
          <w:tcPr>
            <w:tcW w:w="467" w:type="pct"/>
            <w:shd w:val="clear" w:color="auto" w:fill="1F4E79" w:themeFill="accent1" w:themeFillShade="80"/>
            <w:noWrap/>
            <w:textDirection w:val="btLr"/>
            <w:vAlign w:val="center"/>
            <w:hideMark/>
          </w:tcPr>
          <w:p w14:paraId="0FB41180" w14:textId="77777777" w:rsidR="00305EFC" w:rsidRPr="0074535F" w:rsidRDefault="00305EFC" w:rsidP="00855E4A">
            <w:pPr>
              <w:rPr>
                <w:b/>
                <w:color w:val="FFFFFF" w:themeColor="background1"/>
                <w:lang w:eastAsia="en-GB"/>
              </w:rPr>
            </w:pPr>
            <w:r w:rsidRPr="0074535F">
              <w:rPr>
                <w:b/>
                <w:color w:val="FFFFFF" w:themeColor="background1"/>
                <w:lang w:eastAsia="en-GB"/>
              </w:rPr>
              <w:t>Number</w:t>
            </w:r>
          </w:p>
        </w:tc>
        <w:tc>
          <w:tcPr>
            <w:tcW w:w="340" w:type="pct"/>
            <w:shd w:val="clear" w:color="auto" w:fill="1F4E79" w:themeFill="accent1" w:themeFillShade="80"/>
            <w:noWrap/>
            <w:textDirection w:val="btLr"/>
            <w:vAlign w:val="center"/>
            <w:hideMark/>
          </w:tcPr>
          <w:p w14:paraId="0A102768" w14:textId="77777777" w:rsidR="00305EFC" w:rsidRPr="0074535F" w:rsidRDefault="00305EFC" w:rsidP="00855E4A">
            <w:pPr>
              <w:rPr>
                <w:b/>
                <w:color w:val="FFFFFF" w:themeColor="background1"/>
                <w:lang w:eastAsia="en-GB"/>
              </w:rPr>
            </w:pPr>
            <w:r w:rsidRPr="0074535F">
              <w:rPr>
                <w:b/>
                <w:color w:val="FFFFFF" w:themeColor="background1"/>
                <w:lang w:eastAsia="en-GB"/>
              </w:rPr>
              <w:t>% of Total</w:t>
            </w:r>
          </w:p>
        </w:tc>
        <w:tc>
          <w:tcPr>
            <w:tcW w:w="485" w:type="pct"/>
            <w:shd w:val="clear" w:color="auto" w:fill="1F4E79" w:themeFill="accent1" w:themeFillShade="80"/>
            <w:textDirection w:val="btLr"/>
            <w:vAlign w:val="center"/>
            <w:hideMark/>
          </w:tcPr>
          <w:p w14:paraId="28C47455" w14:textId="77777777" w:rsidR="00305EFC" w:rsidRPr="0074535F" w:rsidRDefault="00305EFC" w:rsidP="00855E4A">
            <w:pPr>
              <w:rPr>
                <w:b/>
                <w:color w:val="FFFFFF" w:themeColor="background1"/>
                <w:lang w:eastAsia="en-GB"/>
              </w:rPr>
            </w:pPr>
            <w:r w:rsidRPr="0074535F">
              <w:rPr>
                <w:b/>
                <w:color w:val="FFFFFF" w:themeColor="background1"/>
                <w:lang w:eastAsia="en-GB"/>
              </w:rPr>
              <w:t>2007-2011</w:t>
            </w:r>
          </w:p>
        </w:tc>
      </w:tr>
      <w:tr w:rsidR="00305EFC" w:rsidRPr="00A52AEE" w14:paraId="6D4918C8" w14:textId="77777777" w:rsidTr="00855E4A">
        <w:trPr>
          <w:trHeight w:val="330"/>
        </w:trPr>
        <w:tc>
          <w:tcPr>
            <w:tcW w:w="484" w:type="pct"/>
            <w:shd w:val="clear" w:color="auto" w:fill="auto"/>
            <w:noWrap/>
            <w:vAlign w:val="center"/>
            <w:hideMark/>
          </w:tcPr>
          <w:p w14:paraId="576CF895" w14:textId="77777777" w:rsidR="00305EFC" w:rsidRPr="00A52AEE" w:rsidRDefault="00305EFC" w:rsidP="00855E4A">
            <w:pPr>
              <w:rPr>
                <w:lang w:eastAsia="en-GB"/>
              </w:rPr>
            </w:pPr>
            <w:r w:rsidRPr="00A52AEE">
              <w:rPr>
                <w:lang w:eastAsia="en-GB"/>
              </w:rPr>
              <w:t>Female</w:t>
            </w:r>
          </w:p>
        </w:tc>
        <w:tc>
          <w:tcPr>
            <w:tcW w:w="463" w:type="pct"/>
            <w:shd w:val="clear" w:color="auto" w:fill="auto"/>
            <w:noWrap/>
            <w:vAlign w:val="center"/>
            <w:hideMark/>
          </w:tcPr>
          <w:p w14:paraId="0A896118" w14:textId="77777777" w:rsidR="00305EFC" w:rsidRPr="00A52AEE" w:rsidRDefault="00305EFC" w:rsidP="00FE68E8">
            <w:pPr>
              <w:jc w:val="right"/>
              <w:rPr>
                <w:lang w:eastAsia="en-GB"/>
              </w:rPr>
            </w:pPr>
            <w:r w:rsidRPr="00A52AEE">
              <w:rPr>
                <w:lang w:eastAsia="en-GB"/>
              </w:rPr>
              <w:t>24000</w:t>
            </w:r>
          </w:p>
        </w:tc>
        <w:tc>
          <w:tcPr>
            <w:tcW w:w="340" w:type="pct"/>
            <w:shd w:val="clear" w:color="auto" w:fill="auto"/>
            <w:noWrap/>
            <w:vAlign w:val="center"/>
            <w:hideMark/>
          </w:tcPr>
          <w:p w14:paraId="535E9DF3" w14:textId="77777777" w:rsidR="00305EFC" w:rsidRPr="00A52AEE" w:rsidRDefault="00305EFC" w:rsidP="00FE68E8">
            <w:pPr>
              <w:jc w:val="right"/>
              <w:rPr>
                <w:lang w:eastAsia="en-GB"/>
              </w:rPr>
            </w:pPr>
            <w:r w:rsidRPr="00A52AEE">
              <w:rPr>
                <w:lang w:eastAsia="en-GB"/>
              </w:rPr>
              <w:t>57%</w:t>
            </w:r>
          </w:p>
        </w:tc>
        <w:tc>
          <w:tcPr>
            <w:tcW w:w="465" w:type="pct"/>
            <w:shd w:val="clear" w:color="auto" w:fill="auto"/>
            <w:noWrap/>
            <w:vAlign w:val="center"/>
            <w:hideMark/>
          </w:tcPr>
          <w:p w14:paraId="6FDE5103" w14:textId="77777777" w:rsidR="00305EFC" w:rsidRPr="00A52AEE" w:rsidRDefault="00305EFC" w:rsidP="00FE68E8">
            <w:pPr>
              <w:jc w:val="right"/>
              <w:rPr>
                <w:lang w:eastAsia="en-GB"/>
              </w:rPr>
            </w:pPr>
            <w:r w:rsidRPr="00A52AEE">
              <w:rPr>
                <w:lang w:eastAsia="en-GB"/>
              </w:rPr>
              <w:t>25040</w:t>
            </w:r>
          </w:p>
        </w:tc>
        <w:tc>
          <w:tcPr>
            <w:tcW w:w="340" w:type="pct"/>
            <w:shd w:val="clear" w:color="auto" w:fill="auto"/>
            <w:noWrap/>
            <w:vAlign w:val="center"/>
            <w:hideMark/>
          </w:tcPr>
          <w:p w14:paraId="3ED6C2D9" w14:textId="77777777" w:rsidR="00305EFC" w:rsidRPr="00A52AEE" w:rsidRDefault="00305EFC" w:rsidP="00FE68E8">
            <w:pPr>
              <w:jc w:val="right"/>
              <w:rPr>
                <w:lang w:eastAsia="en-GB"/>
              </w:rPr>
            </w:pPr>
            <w:r w:rsidRPr="00A52AEE">
              <w:rPr>
                <w:lang w:eastAsia="en-GB"/>
              </w:rPr>
              <w:t>57%</w:t>
            </w:r>
          </w:p>
        </w:tc>
        <w:tc>
          <w:tcPr>
            <w:tcW w:w="467" w:type="pct"/>
            <w:shd w:val="clear" w:color="auto" w:fill="auto"/>
            <w:noWrap/>
            <w:vAlign w:val="center"/>
            <w:hideMark/>
          </w:tcPr>
          <w:p w14:paraId="4FFDC1E4" w14:textId="77777777" w:rsidR="00305EFC" w:rsidRPr="00A52AEE" w:rsidRDefault="00305EFC" w:rsidP="00FE68E8">
            <w:pPr>
              <w:jc w:val="right"/>
              <w:rPr>
                <w:lang w:eastAsia="en-GB"/>
              </w:rPr>
            </w:pPr>
            <w:r w:rsidRPr="00A52AEE">
              <w:rPr>
                <w:lang w:eastAsia="en-GB"/>
              </w:rPr>
              <w:t>25470</w:t>
            </w:r>
          </w:p>
        </w:tc>
        <w:tc>
          <w:tcPr>
            <w:tcW w:w="340" w:type="pct"/>
            <w:shd w:val="clear" w:color="auto" w:fill="auto"/>
            <w:noWrap/>
            <w:vAlign w:val="center"/>
            <w:hideMark/>
          </w:tcPr>
          <w:p w14:paraId="55043778" w14:textId="77777777" w:rsidR="00305EFC" w:rsidRPr="00A52AEE" w:rsidRDefault="00305EFC" w:rsidP="00FE68E8">
            <w:pPr>
              <w:jc w:val="right"/>
              <w:rPr>
                <w:lang w:eastAsia="en-GB"/>
              </w:rPr>
            </w:pPr>
            <w:r w:rsidRPr="00A52AEE">
              <w:rPr>
                <w:lang w:eastAsia="en-GB"/>
              </w:rPr>
              <w:t>55%</w:t>
            </w:r>
          </w:p>
        </w:tc>
        <w:tc>
          <w:tcPr>
            <w:tcW w:w="467" w:type="pct"/>
            <w:shd w:val="clear" w:color="auto" w:fill="auto"/>
            <w:noWrap/>
            <w:vAlign w:val="center"/>
            <w:hideMark/>
          </w:tcPr>
          <w:p w14:paraId="1DD0E929" w14:textId="77777777" w:rsidR="00305EFC" w:rsidRPr="00A52AEE" w:rsidRDefault="00305EFC" w:rsidP="00FE68E8">
            <w:pPr>
              <w:jc w:val="right"/>
              <w:rPr>
                <w:lang w:eastAsia="en-GB"/>
              </w:rPr>
            </w:pPr>
            <w:r w:rsidRPr="00A52AEE">
              <w:rPr>
                <w:lang w:eastAsia="en-GB"/>
              </w:rPr>
              <w:t>23715</w:t>
            </w:r>
          </w:p>
        </w:tc>
        <w:tc>
          <w:tcPr>
            <w:tcW w:w="340" w:type="pct"/>
            <w:shd w:val="clear" w:color="auto" w:fill="auto"/>
            <w:noWrap/>
            <w:vAlign w:val="center"/>
            <w:hideMark/>
          </w:tcPr>
          <w:p w14:paraId="728D9951" w14:textId="77777777" w:rsidR="00305EFC" w:rsidRPr="00A52AEE" w:rsidRDefault="00305EFC" w:rsidP="00FE68E8">
            <w:pPr>
              <w:jc w:val="right"/>
              <w:rPr>
                <w:lang w:eastAsia="en-GB"/>
              </w:rPr>
            </w:pPr>
            <w:r w:rsidRPr="00A52AEE">
              <w:rPr>
                <w:lang w:eastAsia="en-GB"/>
              </w:rPr>
              <w:t>55%</w:t>
            </w:r>
          </w:p>
        </w:tc>
        <w:tc>
          <w:tcPr>
            <w:tcW w:w="467" w:type="pct"/>
            <w:shd w:val="clear" w:color="auto" w:fill="auto"/>
            <w:noWrap/>
            <w:vAlign w:val="center"/>
            <w:hideMark/>
          </w:tcPr>
          <w:p w14:paraId="3D3FA6F2" w14:textId="77777777" w:rsidR="00305EFC" w:rsidRPr="00A52AEE" w:rsidRDefault="00305EFC" w:rsidP="00FE68E8">
            <w:pPr>
              <w:jc w:val="right"/>
              <w:rPr>
                <w:lang w:eastAsia="en-GB"/>
              </w:rPr>
            </w:pPr>
            <w:r w:rsidRPr="00A52AEE">
              <w:rPr>
                <w:lang w:eastAsia="en-GB"/>
              </w:rPr>
              <w:t>25875</w:t>
            </w:r>
          </w:p>
        </w:tc>
        <w:tc>
          <w:tcPr>
            <w:tcW w:w="340" w:type="pct"/>
            <w:shd w:val="clear" w:color="auto" w:fill="auto"/>
            <w:noWrap/>
            <w:vAlign w:val="center"/>
            <w:hideMark/>
          </w:tcPr>
          <w:p w14:paraId="4DF468C1" w14:textId="77777777" w:rsidR="00305EFC" w:rsidRPr="00A52AEE" w:rsidRDefault="00305EFC" w:rsidP="00FE68E8">
            <w:pPr>
              <w:jc w:val="right"/>
              <w:rPr>
                <w:lang w:eastAsia="en-GB"/>
              </w:rPr>
            </w:pPr>
            <w:r w:rsidRPr="00A52AEE">
              <w:rPr>
                <w:lang w:eastAsia="en-GB"/>
              </w:rPr>
              <w:t>56%</w:t>
            </w:r>
          </w:p>
        </w:tc>
        <w:tc>
          <w:tcPr>
            <w:tcW w:w="485" w:type="pct"/>
            <w:shd w:val="clear" w:color="auto" w:fill="auto"/>
            <w:vAlign w:val="center"/>
            <w:hideMark/>
          </w:tcPr>
          <w:p w14:paraId="3463A1F6" w14:textId="77777777" w:rsidR="00305EFC" w:rsidRPr="00A52AEE" w:rsidRDefault="00305EFC" w:rsidP="00FE68E8">
            <w:pPr>
              <w:jc w:val="right"/>
              <w:rPr>
                <w:lang w:eastAsia="en-GB"/>
              </w:rPr>
            </w:pPr>
            <w:r w:rsidRPr="00A52AEE">
              <w:rPr>
                <w:lang w:eastAsia="en-GB"/>
              </w:rPr>
              <w:t>8%</w:t>
            </w:r>
          </w:p>
        </w:tc>
      </w:tr>
      <w:tr w:rsidR="00305EFC" w:rsidRPr="00A52AEE" w14:paraId="7AFD75A9" w14:textId="77777777" w:rsidTr="00855E4A">
        <w:trPr>
          <w:trHeight w:val="330"/>
        </w:trPr>
        <w:tc>
          <w:tcPr>
            <w:tcW w:w="484" w:type="pct"/>
            <w:shd w:val="clear" w:color="auto" w:fill="auto"/>
            <w:noWrap/>
            <w:vAlign w:val="center"/>
            <w:hideMark/>
          </w:tcPr>
          <w:p w14:paraId="28489643" w14:textId="77777777" w:rsidR="00305EFC" w:rsidRPr="00A52AEE" w:rsidRDefault="00305EFC" w:rsidP="00855E4A">
            <w:pPr>
              <w:rPr>
                <w:lang w:eastAsia="en-GB"/>
              </w:rPr>
            </w:pPr>
            <w:r w:rsidRPr="00A52AEE">
              <w:rPr>
                <w:lang w:eastAsia="en-GB"/>
              </w:rPr>
              <w:t>Male</w:t>
            </w:r>
          </w:p>
        </w:tc>
        <w:tc>
          <w:tcPr>
            <w:tcW w:w="463" w:type="pct"/>
            <w:shd w:val="clear" w:color="auto" w:fill="auto"/>
            <w:noWrap/>
            <w:vAlign w:val="center"/>
            <w:hideMark/>
          </w:tcPr>
          <w:p w14:paraId="03B94782" w14:textId="77777777" w:rsidR="00305EFC" w:rsidRPr="00A52AEE" w:rsidRDefault="00305EFC" w:rsidP="00FE68E8">
            <w:pPr>
              <w:jc w:val="right"/>
              <w:rPr>
                <w:lang w:eastAsia="en-GB"/>
              </w:rPr>
            </w:pPr>
            <w:r w:rsidRPr="00A52AEE">
              <w:rPr>
                <w:lang w:eastAsia="en-GB"/>
              </w:rPr>
              <w:t>18065</w:t>
            </w:r>
          </w:p>
        </w:tc>
        <w:tc>
          <w:tcPr>
            <w:tcW w:w="340" w:type="pct"/>
            <w:shd w:val="clear" w:color="auto" w:fill="auto"/>
            <w:noWrap/>
            <w:vAlign w:val="center"/>
            <w:hideMark/>
          </w:tcPr>
          <w:p w14:paraId="75F8FE6B" w14:textId="77777777" w:rsidR="00305EFC" w:rsidRPr="00A52AEE" w:rsidRDefault="00305EFC" w:rsidP="00FE68E8">
            <w:pPr>
              <w:jc w:val="right"/>
              <w:rPr>
                <w:lang w:eastAsia="en-GB"/>
              </w:rPr>
            </w:pPr>
            <w:r w:rsidRPr="00A52AEE">
              <w:rPr>
                <w:lang w:eastAsia="en-GB"/>
              </w:rPr>
              <w:t>43%</w:t>
            </w:r>
          </w:p>
        </w:tc>
        <w:tc>
          <w:tcPr>
            <w:tcW w:w="465" w:type="pct"/>
            <w:shd w:val="clear" w:color="auto" w:fill="auto"/>
            <w:noWrap/>
            <w:vAlign w:val="center"/>
            <w:hideMark/>
          </w:tcPr>
          <w:p w14:paraId="6C4557EA" w14:textId="77777777" w:rsidR="00305EFC" w:rsidRPr="00A52AEE" w:rsidRDefault="00305EFC" w:rsidP="00FE68E8">
            <w:pPr>
              <w:jc w:val="right"/>
              <w:rPr>
                <w:lang w:eastAsia="en-GB"/>
              </w:rPr>
            </w:pPr>
            <w:r w:rsidRPr="00A52AEE">
              <w:rPr>
                <w:lang w:eastAsia="en-GB"/>
              </w:rPr>
              <w:t>19100</w:t>
            </w:r>
          </w:p>
        </w:tc>
        <w:tc>
          <w:tcPr>
            <w:tcW w:w="340" w:type="pct"/>
            <w:shd w:val="clear" w:color="auto" w:fill="auto"/>
            <w:noWrap/>
            <w:vAlign w:val="center"/>
            <w:hideMark/>
          </w:tcPr>
          <w:p w14:paraId="3B4A8E64" w14:textId="77777777" w:rsidR="00305EFC" w:rsidRPr="00A52AEE" w:rsidRDefault="00305EFC" w:rsidP="00FE68E8">
            <w:pPr>
              <w:jc w:val="right"/>
              <w:rPr>
                <w:lang w:eastAsia="en-GB"/>
              </w:rPr>
            </w:pPr>
            <w:r w:rsidRPr="00A52AEE">
              <w:rPr>
                <w:lang w:eastAsia="en-GB"/>
              </w:rPr>
              <w:t>43%</w:t>
            </w:r>
          </w:p>
        </w:tc>
        <w:tc>
          <w:tcPr>
            <w:tcW w:w="467" w:type="pct"/>
            <w:shd w:val="clear" w:color="auto" w:fill="auto"/>
            <w:noWrap/>
            <w:vAlign w:val="center"/>
            <w:hideMark/>
          </w:tcPr>
          <w:p w14:paraId="364558D6" w14:textId="77777777" w:rsidR="00305EFC" w:rsidRPr="00A52AEE" w:rsidRDefault="00305EFC" w:rsidP="00FE68E8">
            <w:pPr>
              <w:jc w:val="right"/>
              <w:rPr>
                <w:lang w:eastAsia="en-GB"/>
              </w:rPr>
            </w:pPr>
            <w:r w:rsidRPr="00A52AEE">
              <w:rPr>
                <w:lang w:eastAsia="en-GB"/>
              </w:rPr>
              <w:t>20615</w:t>
            </w:r>
          </w:p>
        </w:tc>
        <w:tc>
          <w:tcPr>
            <w:tcW w:w="340" w:type="pct"/>
            <w:shd w:val="clear" w:color="auto" w:fill="auto"/>
            <w:noWrap/>
            <w:vAlign w:val="center"/>
            <w:hideMark/>
          </w:tcPr>
          <w:p w14:paraId="1D6DE0A9" w14:textId="77777777" w:rsidR="00305EFC" w:rsidRPr="00A52AEE" w:rsidRDefault="00305EFC" w:rsidP="00FE68E8">
            <w:pPr>
              <w:jc w:val="right"/>
              <w:rPr>
                <w:lang w:eastAsia="en-GB"/>
              </w:rPr>
            </w:pPr>
            <w:r w:rsidRPr="00A52AEE">
              <w:rPr>
                <w:lang w:eastAsia="en-GB"/>
              </w:rPr>
              <w:t>45%</w:t>
            </w:r>
          </w:p>
        </w:tc>
        <w:tc>
          <w:tcPr>
            <w:tcW w:w="467" w:type="pct"/>
            <w:shd w:val="clear" w:color="auto" w:fill="auto"/>
            <w:noWrap/>
            <w:vAlign w:val="center"/>
            <w:hideMark/>
          </w:tcPr>
          <w:p w14:paraId="1B5081D9" w14:textId="77777777" w:rsidR="00305EFC" w:rsidRPr="00A52AEE" w:rsidRDefault="00305EFC" w:rsidP="00FE68E8">
            <w:pPr>
              <w:jc w:val="right"/>
              <w:rPr>
                <w:lang w:eastAsia="en-GB"/>
              </w:rPr>
            </w:pPr>
            <w:r w:rsidRPr="00A52AEE">
              <w:rPr>
                <w:lang w:eastAsia="en-GB"/>
              </w:rPr>
              <w:t>19115</w:t>
            </w:r>
          </w:p>
        </w:tc>
        <w:tc>
          <w:tcPr>
            <w:tcW w:w="340" w:type="pct"/>
            <w:shd w:val="clear" w:color="auto" w:fill="auto"/>
            <w:noWrap/>
            <w:vAlign w:val="center"/>
            <w:hideMark/>
          </w:tcPr>
          <w:p w14:paraId="7A921C1F" w14:textId="77777777" w:rsidR="00305EFC" w:rsidRPr="00A52AEE" w:rsidRDefault="00305EFC" w:rsidP="00FE68E8">
            <w:pPr>
              <w:jc w:val="right"/>
              <w:rPr>
                <w:lang w:eastAsia="en-GB"/>
              </w:rPr>
            </w:pPr>
            <w:r w:rsidRPr="00A52AEE">
              <w:rPr>
                <w:lang w:eastAsia="en-GB"/>
              </w:rPr>
              <w:t>45%</w:t>
            </w:r>
          </w:p>
        </w:tc>
        <w:tc>
          <w:tcPr>
            <w:tcW w:w="467" w:type="pct"/>
            <w:shd w:val="clear" w:color="auto" w:fill="auto"/>
            <w:noWrap/>
            <w:vAlign w:val="center"/>
            <w:hideMark/>
          </w:tcPr>
          <w:p w14:paraId="524DDD9A" w14:textId="77777777" w:rsidR="00305EFC" w:rsidRPr="00A52AEE" w:rsidRDefault="00305EFC" w:rsidP="00FE68E8">
            <w:pPr>
              <w:jc w:val="right"/>
              <w:rPr>
                <w:lang w:eastAsia="en-GB"/>
              </w:rPr>
            </w:pPr>
            <w:r w:rsidRPr="00A52AEE">
              <w:rPr>
                <w:lang w:eastAsia="en-GB"/>
              </w:rPr>
              <w:t>20510</w:t>
            </w:r>
          </w:p>
        </w:tc>
        <w:tc>
          <w:tcPr>
            <w:tcW w:w="340" w:type="pct"/>
            <w:shd w:val="clear" w:color="auto" w:fill="auto"/>
            <w:noWrap/>
            <w:vAlign w:val="center"/>
            <w:hideMark/>
          </w:tcPr>
          <w:p w14:paraId="103B3F08" w14:textId="77777777" w:rsidR="00305EFC" w:rsidRPr="00A52AEE" w:rsidRDefault="00305EFC" w:rsidP="00FE68E8">
            <w:pPr>
              <w:jc w:val="right"/>
              <w:rPr>
                <w:lang w:eastAsia="en-GB"/>
              </w:rPr>
            </w:pPr>
            <w:r w:rsidRPr="00A52AEE">
              <w:rPr>
                <w:lang w:eastAsia="en-GB"/>
              </w:rPr>
              <w:t>44%</w:t>
            </w:r>
          </w:p>
        </w:tc>
        <w:tc>
          <w:tcPr>
            <w:tcW w:w="485" w:type="pct"/>
            <w:shd w:val="clear" w:color="auto" w:fill="auto"/>
            <w:vAlign w:val="center"/>
            <w:hideMark/>
          </w:tcPr>
          <w:p w14:paraId="4BEDC077" w14:textId="77777777" w:rsidR="00305EFC" w:rsidRPr="00A52AEE" w:rsidRDefault="00305EFC" w:rsidP="00FE68E8">
            <w:pPr>
              <w:jc w:val="right"/>
              <w:rPr>
                <w:lang w:eastAsia="en-GB"/>
              </w:rPr>
            </w:pPr>
            <w:r w:rsidRPr="00A52AEE">
              <w:rPr>
                <w:lang w:eastAsia="en-GB"/>
              </w:rPr>
              <w:t>14%</w:t>
            </w:r>
          </w:p>
        </w:tc>
      </w:tr>
    </w:tbl>
    <w:p w14:paraId="4FAE1AC0" w14:textId="77777777" w:rsidR="0036229E" w:rsidRPr="00A52AEE" w:rsidRDefault="0036229E" w:rsidP="00A52AEE"/>
    <w:p w14:paraId="7D6FC499" w14:textId="3B866651" w:rsidR="00DB7B3A" w:rsidRPr="00A52AEE" w:rsidRDefault="00771DD0" w:rsidP="008D527A">
      <w:pPr>
        <w:pStyle w:val="Heading2"/>
      </w:pPr>
      <w:bookmarkStart w:id="78" w:name="_Toc411437015"/>
      <w:bookmarkStart w:id="79" w:name="_Toc429151309"/>
      <w:r>
        <w:t>4</w:t>
      </w:r>
      <w:r w:rsidR="0036229E" w:rsidRPr="00A52AEE">
        <w:t>.5</w:t>
      </w:r>
      <w:r w:rsidR="0036229E" w:rsidRPr="00A52AEE">
        <w:tab/>
      </w:r>
      <w:r w:rsidR="00DB7B3A" w:rsidRPr="00A52AEE">
        <w:t xml:space="preserve">Gender and </w:t>
      </w:r>
      <w:r w:rsidR="0021637B" w:rsidRPr="00A52AEE">
        <w:t>Level</w:t>
      </w:r>
      <w:r w:rsidR="00DB7B3A" w:rsidRPr="00A52AEE">
        <w:t xml:space="preserve"> 3 qualification type</w:t>
      </w:r>
      <w:bookmarkEnd w:id="78"/>
      <w:bookmarkEnd w:id="79"/>
    </w:p>
    <w:p w14:paraId="099B852E" w14:textId="073EF497" w:rsidR="00DB7B3A" w:rsidRPr="00A52AEE" w:rsidRDefault="00DB7B3A" w:rsidP="00A52AEE">
      <w:r w:rsidRPr="00A52AEE">
        <w:t xml:space="preserve">Table 5 demonstrates that across the </w:t>
      </w:r>
      <w:r w:rsidR="0021637B" w:rsidRPr="00A52AEE">
        <w:t>Level</w:t>
      </w:r>
      <w:r w:rsidRPr="00A52AEE">
        <w:t xml:space="preserve"> 3 tracked cohorts, many more females were likely to study Access to HE, A </w:t>
      </w:r>
      <w:r w:rsidR="0021637B" w:rsidRPr="00A52AEE">
        <w:t>Level</w:t>
      </w:r>
      <w:r w:rsidRPr="00A52AEE">
        <w:t xml:space="preserve"> and Other Vocational programmes than males. Males, however, were </w:t>
      </w:r>
      <w:r w:rsidRPr="00A52AEE">
        <w:lastRenderedPageBreak/>
        <w:t xml:space="preserve">more likely to study BTEC qualifications but by 2010-12 this had changed and females </w:t>
      </w:r>
      <w:r w:rsidR="00C51CA7">
        <w:t xml:space="preserve">were </w:t>
      </w:r>
      <w:r w:rsidR="0082463B" w:rsidRPr="00A52AEE">
        <w:t>more</w:t>
      </w:r>
      <w:r w:rsidRPr="00A52AEE">
        <w:t xml:space="preserve"> likely</w:t>
      </w:r>
      <w:r w:rsidR="0082463B" w:rsidRPr="00A52AEE">
        <w:t xml:space="preserve"> than males</w:t>
      </w:r>
      <w:r w:rsidRPr="00A52AEE">
        <w:t xml:space="preserve"> to study a BTEC</w:t>
      </w:r>
      <w:r w:rsidR="0082463B" w:rsidRPr="00A52AEE">
        <w:t xml:space="preserve"> qualification</w:t>
      </w:r>
      <w:r w:rsidRPr="00A52AEE">
        <w:t>.</w:t>
      </w:r>
    </w:p>
    <w:p w14:paraId="2E50EF1B" w14:textId="77777777" w:rsidR="00DB7B3A" w:rsidRPr="00A52AEE" w:rsidRDefault="00DB7B3A" w:rsidP="00A52AEE"/>
    <w:p w14:paraId="71F1BDE4" w14:textId="26B684E9" w:rsidR="00DB7B3A" w:rsidRPr="00305EFC" w:rsidRDefault="00DB7B3A" w:rsidP="00A52AEE">
      <w:pPr>
        <w:rPr>
          <w:b/>
        </w:rPr>
      </w:pPr>
      <w:r w:rsidRPr="00305EFC">
        <w:rPr>
          <w:b/>
        </w:rPr>
        <w:t>Table 5</w:t>
      </w:r>
      <w:r w:rsidR="0036229E" w:rsidRPr="00305EFC">
        <w:rPr>
          <w:b/>
        </w:rPr>
        <w:t xml:space="preserve">: </w:t>
      </w:r>
      <w:r w:rsidRPr="00305EFC">
        <w:rPr>
          <w:b/>
        </w:rPr>
        <w:t xml:space="preserve">Cohort breakdown by gender and </w:t>
      </w:r>
      <w:r w:rsidR="0021637B" w:rsidRPr="00305EFC">
        <w:rPr>
          <w:b/>
        </w:rPr>
        <w:t>Level</w:t>
      </w:r>
      <w:r w:rsidRPr="00305EFC">
        <w:rPr>
          <w:b/>
        </w:rPr>
        <w:t xml:space="preserve"> 3 qualification type</w:t>
      </w:r>
    </w:p>
    <w:p w14:paraId="086B0E62" w14:textId="77777777" w:rsidR="0036229E" w:rsidRPr="00A52AEE" w:rsidRDefault="0036229E" w:rsidP="00A52AEE"/>
    <w:tbl>
      <w:tblPr>
        <w:tblW w:w="9020" w:type="dxa"/>
        <w:tblInd w:w="118" w:type="dxa"/>
        <w:tblLook w:val="04A0" w:firstRow="1" w:lastRow="0" w:firstColumn="1" w:lastColumn="0" w:noHBand="0" w:noVBand="1"/>
      </w:tblPr>
      <w:tblGrid>
        <w:gridCol w:w="2117"/>
        <w:gridCol w:w="992"/>
        <w:gridCol w:w="1134"/>
        <w:gridCol w:w="1134"/>
        <w:gridCol w:w="1134"/>
        <w:gridCol w:w="1276"/>
        <w:gridCol w:w="1233"/>
      </w:tblGrid>
      <w:tr w:rsidR="0036229E" w:rsidRPr="00305EFC" w14:paraId="7B01561F" w14:textId="77777777" w:rsidTr="0036229E">
        <w:trPr>
          <w:trHeight w:val="322"/>
        </w:trPr>
        <w:tc>
          <w:tcPr>
            <w:tcW w:w="2117"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1F2E4F47" w14:textId="77777777" w:rsidR="00DB7B3A" w:rsidRPr="00305EFC" w:rsidRDefault="00DB7B3A" w:rsidP="00A52AEE">
            <w:pPr>
              <w:rPr>
                <w:b/>
                <w:color w:val="FFFFFF" w:themeColor="background1"/>
                <w:lang w:eastAsia="en-GB"/>
              </w:rPr>
            </w:pPr>
            <w:r w:rsidRPr="00305EFC">
              <w:rPr>
                <w:b/>
                <w:color w:val="FFFFFF" w:themeColor="background1"/>
                <w:lang w:eastAsia="en-GB"/>
              </w:rPr>
              <w:t>Level 3 qualification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4EA42026" w14:textId="77777777" w:rsidR="00DB7B3A" w:rsidRPr="00305EFC" w:rsidRDefault="00DB7B3A" w:rsidP="00A52AEE">
            <w:pPr>
              <w:rPr>
                <w:b/>
                <w:color w:val="FFFFFF" w:themeColor="background1"/>
                <w:lang w:eastAsia="en-GB"/>
              </w:rPr>
            </w:pPr>
            <w:r w:rsidRPr="00305EFC">
              <w:rPr>
                <w:b/>
                <w:color w:val="FFFFFF" w:themeColor="background1"/>
                <w:lang w:eastAsia="en-GB"/>
              </w:rPr>
              <w:t>Gender</w:t>
            </w:r>
          </w:p>
        </w:tc>
        <w:tc>
          <w:tcPr>
            <w:tcW w:w="5911" w:type="dxa"/>
            <w:gridSpan w:val="5"/>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097224FB" w14:textId="2F1D4F38" w:rsidR="00DB7B3A" w:rsidRPr="00305EFC" w:rsidRDefault="00DB7B3A" w:rsidP="004E52FE">
            <w:pPr>
              <w:jc w:val="center"/>
              <w:rPr>
                <w:b/>
                <w:color w:val="FFFFFF" w:themeColor="background1"/>
                <w:lang w:eastAsia="en-GB"/>
              </w:rPr>
            </w:pPr>
            <w:r w:rsidRPr="00305EFC">
              <w:rPr>
                <w:b/>
                <w:color w:val="FFFFFF" w:themeColor="background1"/>
                <w:lang w:eastAsia="en-GB"/>
              </w:rPr>
              <w:t xml:space="preserve">FE </w:t>
            </w:r>
            <w:r w:rsidR="0021637B" w:rsidRPr="00305EFC">
              <w:rPr>
                <w:b/>
                <w:color w:val="FFFFFF" w:themeColor="background1"/>
                <w:lang w:eastAsia="en-GB"/>
              </w:rPr>
              <w:t>Level</w:t>
            </w:r>
            <w:r w:rsidRPr="00305EFC">
              <w:rPr>
                <w:b/>
                <w:color w:val="FFFFFF" w:themeColor="background1"/>
                <w:lang w:eastAsia="en-GB"/>
              </w:rPr>
              <w:t xml:space="preserve"> 3 cohort</w:t>
            </w:r>
          </w:p>
        </w:tc>
      </w:tr>
      <w:tr w:rsidR="0036229E" w:rsidRPr="00305EFC" w14:paraId="3E9AC8D6" w14:textId="77777777" w:rsidTr="0036229E">
        <w:trPr>
          <w:trHeight w:val="330"/>
        </w:trPr>
        <w:tc>
          <w:tcPr>
            <w:tcW w:w="2117"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7D51D227" w14:textId="77777777" w:rsidR="00DB7B3A" w:rsidRPr="00305EFC" w:rsidRDefault="00DB7B3A" w:rsidP="00A52AEE">
            <w:pPr>
              <w:rPr>
                <w:b/>
                <w:color w:val="FFFFFF" w:themeColor="background1"/>
                <w:lang w:eastAsia="en-GB"/>
              </w:rPr>
            </w:pPr>
          </w:p>
        </w:tc>
        <w:tc>
          <w:tcPr>
            <w:tcW w:w="992"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46F81BC7" w14:textId="77777777" w:rsidR="00DB7B3A" w:rsidRPr="00305EFC" w:rsidRDefault="00DB7B3A" w:rsidP="00A52AEE">
            <w:pPr>
              <w:rPr>
                <w:b/>
                <w:color w:val="FFFFFF" w:themeColor="background1"/>
                <w:lang w:eastAsia="en-GB"/>
              </w:rPr>
            </w:pPr>
          </w:p>
        </w:tc>
        <w:tc>
          <w:tcPr>
            <w:tcW w:w="1134" w:type="dxa"/>
            <w:tcBorders>
              <w:top w:val="nil"/>
              <w:left w:val="nil"/>
              <w:bottom w:val="single" w:sz="8" w:space="0" w:color="auto"/>
              <w:right w:val="single" w:sz="8" w:space="0" w:color="auto"/>
            </w:tcBorders>
            <w:shd w:val="clear" w:color="auto" w:fill="1F4E79" w:themeFill="accent1" w:themeFillShade="80"/>
            <w:noWrap/>
            <w:vAlign w:val="center"/>
            <w:hideMark/>
          </w:tcPr>
          <w:p w14:paraId="374E73A4" w14:textId="77777777" w:rsidR="00DB7B3A" w:rsidRPr="00305EFC" w:rsidRDefault="00DB7B3A" w:rsidP="004E52FE">
            <w:pPr>
              <w:jc w:val="center"/>
              <w:rPr>
                <w:b/>
                <w:color w:val="FFFFFF" w:themeColor="background1"/>
                <w:lang w:eastAsia="en-GB"/>
              </w:rPr>
            </w:pPr>
            <w:r w:rsidRPr="00305EFC">
              <w:rPr>
                <w:b/>
                <w:color w:val="FFFFFF" w:themeColor="background1"/>
                <w:lang w:eastAsia="en-GB"/>
              </w:rPr>
              <w:t>2007-08</w:t>
            </w:r>
          </w:p>
        </w:tc>
        <w:tc>
          <w:tcPr>
            <w:tcW w:w="1134" w:type="dxa"/>
            <w:tcBorders>
              <w:top w:val="nil"/>
              <w:left w:val="nil"/>
              <w:bottom w:val="single" w:sz="8" w:space="0" w:color="auto"/>
              <w:right w:val="single" w:sz="8" w:space="0" w:color="auto"/>
            </w:tcBorders>
            <w:shd w:val="clear" w:color="auto" w:fill="1F4E79" w:themeFill="accent1" w:themeFillShade="80"/>
            <w:noWrap/>
            <w:vAlign w:val="center"/>
            <w:hideMark/>
          </w:tcPr>
          <w:p w14:paraId="57B725F4" w14:textId="77777777" w:rsidR="00DB7B3A" w:rsidRPr="00305EFC" w:rsidRDefault="00DB7B3A" w:rsidP="004E52FE">
            <w:pPr>
              <w:jc w:val="center"/>
              <w:rPr>
                <w:b/>
                <w:color w:val="FFFFFF" w:themeColor="background1"/>
                <w:lang w:eastAsia="en-GB"/>
              </w:rPr>
            </w:pPr>
            <w:r w:rsidRPr="00305EFC">
              <w:rPr>
                <w:b/>
                <w:color w:val="FFFFFF" w:themeColor="background1"/>
                <w:lang w:eastAsia="en-GB"/>
              </w:rPr>
              <w:t>2008-09</w:t>
            </w:r>
          </w:p>
        </w:tc>
        <w:tc>
          <w:tcPr>
            <w:tcW w:w="1134" w:type="dxa"/>
            <w:tcBorders>
              <w:top w:val="nil"/>
              <w:left w:val="nil"/>
              <w:bottom w:val="single" w:sz="8" w:space="0" w:color="auto"/>
              <w:right w:val="single" w:sz="8" w:space="0" w:color="auto"/>
            </w:tcBorders>
            <w:shd w:val="clear" w:color="auto" w:fill="1F4E79" w:themeFill="accent1" w:themeFillShade="80"/>
            <w:noWrap/>
            <w:vAlign w:val="center"/>
            <w:hideMark/>
          </w:tcPr>
          <w:p w14:paraId="2837F781" w14:textId="77777777" w:rsidR="00DB7B3A" w:rsidRPr="00305EFC" w:rsidRDefault="00DB7B3A" w:rsidP="004E52FE">
            <w:pPr>
              <w:jc w:val="center"/>
              <w:rPr>
                <w:b/>
                <w:color w:val="FFFFFF" w:themeColor="background1"/>
                <w:lang w:eastAsia="en-GB"/>
              </w:rPr>
            </w:pPr>
            <w:r w:rsidRPr="00305EFC">
              <w:rPr>
                <w:b/>
                <w:color w:val="FFFFFF" w:themeColor="background1"/>
                <w:lang w:eastAsia="en-GB"/>
              </w:rPr>
              <w:t>2009-10</w:t>
            </w:r>
          </w:p>
        </w:tc>
        <w:tc>
          <w:tcPr>
            <w:tcW w:w="1276" w:type="dxa"/>
            <w:tcBorders>
              <w:top w:val="nil"/>
              <w:left w:val="nil"/>
              <w:bottom w:val="single" w:sz="8" w:space="0" w:color="auto"/>
              <w:right w:val="single" w:sz="8" w:space="0" w:color="auto"/>
            </w:tcBorders>
            <w:shd w:val="clear" w:color="auto" w:fill="1F4E79" w:themeFill="accent1" w:themeFillShade="80"/>
            <w:noWrap/>
            <w:vAlign w:val="center"/>
            <w:hideMark/>
          </w:tcPr>
          <w:p w14:paraId="061EDEFE" w14:textId="77777777" w:rsidR="00DB7B3A" w:rsidRPr="00305EFC" w:rsidRDefault="00DB7B3A" w:rsidP="004E52FE">
            <w:pPr>
              <w:jc w:val="center"/>
              <w:rPr>
                <w:b/>
                <w:color w:val="FFFFFF" w:themeColor="background1"/>
                <w:lang w:eastAsia="en-GB"/>
              </w:rPr>
            </w:pPr>
            <w:r w:rsidRPr="00305EFC">
              <w:rPr>
                <w:b/>
                <w:color w:val="FFFFFF" w:themeColor="background1"/>
                <w:lang w:eastAsia="en-GB"/>
              </w:rPr>
              <w:t>2010-11</w:t>
            </w:r>
          </w:p>
        </w:tc>
        <w:tc>
          <w:tcPr>
            <w:tcW w:w="1233" w:type="dxa"/>
            <w:tcBorders>
              <w:top w:val="nil"/>
              <w:left w:val="nil"/>
              <w:bottom w:val="single" w:sz="8" w:space="0" w:color="auto"/>
              <w:right w:val="single" w:sz="8" w:space="0" w:color="auto"/>
            </w:tcBorders>
            <w:shd w:val="clear" w:color="auto" w:fill="1F4E79" w:themeFill="accent1" w:themeFillShade="80"/>
            <w:noWrap/>
            <w:vAlign w:val="center"/>
            <w:hideMark/>
          </w:tcPr>
          <w:p w14:paraId="695D628E" w14:textId="77777777" w:rsidR="00DB7B3A" w:rsidRPr="00305EFC" w:rsidRDefault="00DB7B3A" w:rsidP="004E52FE">
            <w:pPr>
              <w:jc w:val="center"/>
              <w:rPr>
                <w:b/>
                <w:color w:val="FFFFFF" w:themeColor="background1"/>
                <w:lang w:eastAsia="en-GB"/>
              </w:rPr>
            </w:pPr>
            <w:r w:rsidRPr="00305EFC">
              <w:rPr>
                <w:b/>
                <w:color w:val="FFFFFF" w:themeColor="background1"/>
                <w:lang w:eastAsia="en-GB"/>
              </w:rPr>
              <w:t>2011-12</w:t>
            </w:r>
          </w:p>
        </w:tc>
      </w:tr>
      <w:tr w:rsidR="00DB7B3A" w:rsidRPr="00A52AEE" w14:paraId="2E9EB3AE" w14:textId="77777777" w:rsidTr="0036229E">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179F1F" w14:textId="77777777" w:rsidR="00DB7B3A" w:rsidRPr="00A52AEE" w:rsidRDefault="00DB7B3A" w:rsidP="00A52AEE">
            <w:pPr>
              <w:rPr>
                <w:sz w:val="20"/>
                <w:lang w:eastAsia="en-GB"/>
              </w:rPr>
            </w:pPr>
            <w:r w:rsidRPr="00A52AEE">
              <w:rPr>
                <w:lang w:eastAsia="en-GB"/>
              </w:rPr>
              <w:t>Access to HE</w:t>
            </w:r>
          </w:p>
        </w:tc>
        <w:tc>
          <w:tcPr>
            <w:tcW w:w="992" w:type="dxa"/>
            <w:tcBorders>
              <w:top w:val="nil"/>
              <w:left w:val="nil"/>
              <w:bottom w:val="single" w:sz="8" w:space="0" w:color="auto"/>
              <w:right w:val="single" w:sz="8" w:space="0" w:color="auto"/>
            </w:tcBorders>
            <w:shd w:val="clear" w:color="auto" w:fill="auto"/>
            <w:noWrap/>
            <w:vAlign w:val="bottom"/>
            <w:hideMark/>
          </w:tcPr>
          <w:p w14:paraId="4C4038E2" w14:textId="77777777" w:rsidR="00DB7B3A" w:rsidRPr="00A52AEE" w:rsidRDefault="00DB7B3A" w:rsidP="00A52AEE">
            <w:pPr>
              <w:rPr>
                <w:lang w:eastAsia="en-GB"/>
              </w:rPr>
            </w:pPr>
            <w:r w:rsidRPr="00A52AEE">
              <w:rPr>
                <w:lang w:eastAsia="en-GB"/>
              </w:rPr>
              <w:t>Female</w:t>
            </w:r>
          </w:p>
        </w:tc>
        <w:tc>
          <w:tcPr>
            <w:tcW w:w="1134" w:type="dxa"/>
            <w:tcBorders>
              <w:top w:val="nil"/>
              <w:left w:val="nil"/>
              <w:bottom w:val="single" w:sz="8" w:space="0" w:color="auto"/>
              <w:right w:val="single" w:sz="8" w:space="0" w:color="auto"/>
            </w:tcBorders>
            <w:shd w:val="clear" w:color="auto" w:fill="auto"/>
            <w:noWrap/>
            <w:vAlign w:val="center"/>
            <w:hideMark/>
          </w:tcPr>
          <w:p w14:paraId="56D32106" w14:textId="77777777" w:rsidR="00DB7B3A" w:rsidRPr="00A52AEE" w:rsidRDefault="00DB7B3A" w:rsidP="00FE68E8">
            <w:pPr>
              <w:jc w:val="right"/>
              <w:rPr>
                <w:lang w:eastAsia="en-GB"/>
              </w:rPr>
            </w:pPr>
            <w:r w:rsidRPr="00A52AEE">
              <w:rPr>
                <w:lang w:eastAsia="en-GB"/>
              </w:rPr>
              <w:t>69%</w:t>
            </w:r>
          </w:p>
        </w:tc>
        <w:tc>
          <w:tcPr>
            <w:tcW w:w="1134" w:type="dxa"/>
            <w:tcBorders>
              <w:top w:val="nil"/>
              <w:left w:val="nil"/>
              <w:bottom w:val="single" w:sz="8" w:space="0" w:color="auto"/>
              <w:right w:val="single" w:sz="8" w:space="0" w:color="auto"/>
            </w:tcBorders>
            <w:shd w:val="clear" w:color="auto" w:fill="auto"/>
            <w:noWrap/>
            <w:vAlign w:val="center"/>
            <w:hideMark/>
          </w:tcPr>
          <w:p w14:paraId="7CA6C4BC" w14:textId="77777777" w:rsidR="00DB7B3A" w:rsidRPr="00A52AEE" w:rsidRDefault="00DB7B3A" w:rsidP="00FE68E8">
            <w:pPr>
              <w:jc w:val="right"/>
              <w:rPr>
                <w:lang w:eastAsia="en-GB"/>
              </w:rPr>
            </w:pPr>
            <w:r w:rsidRPr="00A52AEE">
              <w:rPr>
                <w:lang w:eastAsia="en-GB"/>
              </w:rPr>
              <w:t>68%</w:t>
            </w:r>
          </w:p>
        </w:tc>
        <w:tc>
          <w:tcPr>
            <w:tcW w:w="1134" w:type="dxa"/>
            <w:tcBorders>
              <w:top w:val="nil"/>
              <w:left w:val="nil"/>
              <w:bottom w:val="single" w:sz="8" w:space="0" w:color="auto"/>
              <w:right w:val="single" w:sz="8" w:space="0" w:color="auto"/>
            </w:tcBorders>
            <w:shd w:val="clear" w:color="auto" w:fill="auto"/>
            <w:noWrap/>
            <w:vAlign w:val="center"/>
            <w:hideMark/>
          </w:tcPr>
          <w:p w14:paraId="24D64D2B" w14:textId="77777777" w:rsidR="00DB7B3A" w:rsidRPr="00A52AEE" w:rsidRDefault="00DB7B3A" w:rsidP="00FE68E8">
            <w:pPr>
              <w:jc w:val="right"/>
              <w:rPr>
                <w:lang w:eastAsia="en-GB"/>
              </w:rPr>
            </w:pPr>
            <w:r w:rsidRPr="00A52AEE">
              <w:rPr>
                <w:lang w:eastAsia="en-GB"/>
              </w:rPr>
              <w:t>66%</w:t>
            </w:r>
          </w:p>
        </w:tc>
        <w:tc>
          <w:tcPr>
            <w:tcW w:w="1276" w:type="dxa"/>
            <w:tcBorders>
              <w:top w:val="nil"/>
              <w:left w:val="nil"/>
              <w:bottom w:val="single" w:sz="8" w:space="0" w:color="auto"/>
              <w:right w:val="single" w:sz="8" w:space="0" w:color="auto"/>
            </w:tcBorders>
            <w:shd w:val="clear" w:color="auto" w:fill="auto"/>
            <w:noWrap/>
            <w:vAlign w:val="center"/>
            <w:hideMark/>
          </w:tcPr>
          <w:p w14:paraId="4C5B419D" w14:textId="77777777" w:rsidR="00DB7B3A" w:rsidRPr="00A52AEE" w:rsidRDefault="00DB7B3A" w:rsidP="00FE68E8">
            <w:pPr>
              <w:jc w:val="right"/>
              <w:rPr>
                <w:lang w:eastAsia="en-GB"/>
              </w:rPr>
            </w:pPr>
            <w:r w:rsidRPr="00A52AEE">
              <w:rPr>
                <w:lang w:eastAsia="en-GB"/>
              </w:rPr>
              <w:t>68%</w:t>
            </w:r>
          </w:p>
        </w:tc>
        <w:tc>
          <w:tcPr>
            <w:tcW w:w="1233" w:type="dxa"/>
            <w:tcBorders>
              <w:top w:val="nil"/>
              <w:left w:val="nil"/>
              <w:bottom w:val="single" w:sz="8" w:space="0" w:color="auto"/>
              <w:right w:val="single" w:sz="8" w:space="0" w:color="auto"/>
            </w:tcBorders>
            <w:shd w:val="clear" w:color="auto" w:fill="auto"/>
            <w:noWrap/>
            <w:vAlign w:val="center"/>
            <w:hideMark/>
          </w:tcPr>
          <w:p w14:paraId="63F0F974" w14:textId="77777777" w:rsidR="00DB7B3A" w:rsidRPr="00A52AEE" w:rsidRDefault="00DB7B3A" w:rsidP="00FE68E8">
            <w:pPr>
              <w:jc w:val="right"/>
              <w:rPr>
                <w:lang w:eastAsia="en-GB"/>
              </w:rPr>
            </w:pPr>
            <w:r w:rsidRPr="00A52AEE">
              <w:rPr>
                <w:lang w:eastAsia="en-GB"/>
              </w:rPr>
              <w:t>69%</w:t>
            </w:r>
          </w:p>
        </w:tc>
      </w:tr>
      <w:tr w:rsidR="00DB7B3A" w:rsidRPr="00A52AEE" w14:paraId="7E7F2B00" w14:textId="77777777" w:rsidTr="0036229E">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195FDA34" w14:textId="77777777" w:rsidR="00DB7B3A" w:rsidRPr="00A52AEE" w:rsidRDefault="00DB7B3A" w:rsidP="00A52AEE">
            <w:pPr>
              <w:rPr>
                <w:lang w:eastAsia="en-GB"/>
              </w:rPr>
            </w:pPr>
          </w:p>
        </w:tc>
        <w:tc>
          <w:tcPr>
            <w:tcW w:w="992" w:type="dxa"/>
            <w:tcBorders>
              <w:top w:val="nil"/>
              <w:left w:val="nil"/>
              <w:bottom w:val="single" w:sz="8" w:space="0" w:color="auto"/>
              <w:right w:val="single" w:sz="8" w:space="0" w:color="auto"/>
            </w:tcBorders>
            <w:shd w:val="clear" w:color="auto" w:fill="auto"/>
            <w:noWrap/>
            <w:vAlign w:val="bottom"/>
            <w:hideMark/>
          </w:tcPr>
          <w:p w14:paraId="0D42B504" w14:textId="77777777" w:rsidR="00DB7B3A" w:rsidRPr="00A52AEE" w:rsidRDefault="00DB7B3A" w:rsidP="00A52AEE">
            <w:pPr>
              <w:rPr>
                <w:lang w:eastAsia="en-GB"/>
              </w:rPr>
            </w:pPr>
            <w:r w:rsidRPr="00A52AEE">
              <w:rPr>
                <w:lang w:eastAsia="en-GB"/>
              </w:rPr>
              <w:t>Male</w:t>
            </w:r>
          </w:p>
        </w:tc>
        <w:tc>
          <w:tcPr>
            <w:tcW w:w="1134" w:type="dxa"/>
            <w:tcBorders>
              <w:top w:val="nil"/>
              <w:left w:val="nil"/>
              <w:bottom w:val="single" w:sz="8" w:space="0" w:color="auto"/>
              <w:right w:val="single" w:sz="8" w:space="0" w:color="auto"/>
            </w:tcBorders>
            <w:shd w:val="clear" w:color="auto" w:fill="auto"/>
            <w:noWrap/>
            <w:vAlign w:val="center"/>
            <w:hideMark/>
          </w:tcPr>
          <w:p w14:paraId="53270FCD" w14:textId="77777777" w:rsidR="00DB7B3A" w:rsidRPr="00A52AEE" w:rsidRDefault="00DB7B3A" w:rsidP="00FE68E8">
            <w:pPr>
              <w:jc w:val="right"/>
              <w:rPr>
                <w:lang w:eastAsia="en-GB"/>
              </w:rPr>
            </w:pPr>
            <w:r w:rsidRPr="00A52AEE">
              <w:rPr>
                <w:lang w:eastAsia="en-GB"/>
              </w:rPr>
              <w:t>31%</w:t>
            </w:r>
          </w:p>
        </w:tc>
        <w:tc>
          <w:tcPr>
            <w:tcW w:w="1134" w:type="dxa"/>
            <w:tcBorders>
              <w:top w:val="nil"/>
              <w:left w:val="nil"/>
              <w:bottom w:val="single" w:sz="8" w:space="0" w:color="auto"/>
              <w:right w:val="single" w:sz="8" w:space="0" w:color="auto"/>
            </w:tcBorders>
            <w:shd w:val="clear" w:color="auto" w:fill="auto"/>
            <w:noWrap/>
            <w:vAlign w:val="center"/>
            <w:hideMark/>
          </w:tcPr>
          <w:p w14:paraId="1C9611E7" w14:textId="77777777" w:rsidR="00DB7B3A" w:rsidRPr="00A52AEE" w:rsidRDefault="00DB7B3A" w:rsidP="00FE68E8">
            <w:pPr>
              <w:jc w:val="right"/>
              <w:rPr>
                <w:lang w:eastAsia="en-GB"/>
              </w:rPr>
            </w:pPr>
            <w:r w:rsidRPr="00A52AEE">
              <w:rPr>
                <w:lang w:eastAsia="en-GB"/>
              </w:rPr>
              <w:t>32%</w:t>
            </w:r>
          </w:p>
        </w:tc>
        <w:tc>
          <w:tcPr>
            <w:tcW w:w="1134" w:type="dxa"/>
            <w:tcBorders>
              <w:top w:val="nil"/>
              <w:left w:val="nil"/>
              <w:bottom w:val="single" w:sz="8" w:space="0" w:color="auto"/>
              <w:right w:val="single" w:sz="8" w:space="0" w:color="auto"/>
            </w:tcBorders>
            <w:shd w:val="clear" w:color="auto" w:fill="auto"/>
            <w:noWrap/>
            <w:vAlign w:val="center"/>
            <w:hideMark/>
          </w:tcPr>
          <w:p w14:paraId="44398A02" w14:textId="77777777" w:rsidR="00DB7B3A" w:rsidRPr="00A52AEE" w:rsidRDefault="00DB7B3A" w:rsidP="00FE68E8">
            <w:pPr>
              <w:jc w:val="right"/>
              <w:rPr>
                <w:lang w:eastAsia="en-GB"/>
              </w:rPr>
            </w:pPr>
            <w:r w:rsidRPr="00A52AEE">
              <w:rPr>
                <w:lang w:eastAsia="en-GB"/>
              </w:rPr>
              <w:t>34%</w:t>
            </w:r>
          </w:p>
        </w:tc>
        <w:tc>
          <w:tcPr>
            <w:tcW w:w="1276" w:type="dxa"/>
            <w:tcBorders>
              <w:top w:val="nil"/>
              <w:left w:val="nil"/>
              <w:bottom w:val="single" w:sz="8" w:space="0" w:color="auto"/>
              <w:right w:val="single" w:sz="8" w:space="0" w:color="auto"/>
            </w:tcBorders>
            <w:shd w:val="clear" w:color="auto" w:fill="auto"/>
            <w:noWrap/>
            <w:vAlign w:val="center"/>
            <w:hideMark/>
          </w:tcPr>
          <w:p w14:paraId="6E704651" w14:textId="77777777" w:rsidR="00DB7B3A" w:rsidRPr="00A52AEE" w:rsidRDefault="00DB7B3A" w:rsidP="00FE68E8">
            <w:pPr>
              <w:jc w:val="right"/>
              <w:rPr>
                <w:lang w:eastAsia="en-GB"/>
              </w:rPr>
            </w:pPr>
            <w:r w:rsidRPr="00A52AEE">
              <w:rPr>
                <w:lang w:eastAsia="en-GB"/>
              </w:rPr>
              <w:t>32%</w:t>
            </w:r>
          </w:p>
        </w:tc>
        <w:tc>
          <w:tcPr>
            <w:tcW w:w="1233" w:type="dxa"/>
            <w:tcBorders>
              <w:top w:val="nil"/>
              <w:left w:val="nil"/>
              <w:bottom w:val="single" w:sz="8" w:space="0" w:color="auto"/>
              <w:right w:val="single" w:sz="8" w:space="0" w:color="auto"/>
            </w:tcBorders>
            <w:shd w:val="clear" w:color="auto" w:fill="auto"/>
            <w:noWrap/>
            <w:vAlign w:val="center"/>
            <w:hideMark/>
          </w:tcPr>
          <w:p w14:paraId="6446783A" w14:textId="77777777" w:rsidR="00DB7B3A" w:rsidRPr="00A52AEE" w:rsidRDefault="00DB7B3A" w:rsidP="00FE68E8">
            <w:pPr>
              <w:jc w:val="right"/>
              <w:rPr>
                <w:lang w:eastAsia="en-GB"/>
              </w:rPr>
            </w:pPr>
            <w:r w:rsidRPr="00A52AEE">
              <w:rPr>
                <w:lang w:eastAsia="en-GB"/>
              </w:rPr>
              <w:t>31%</w:t>
            </w:r>
          </w:p>
        </w:tc>
      </w:tr>
      <w:tr w:rsidR="00DB7B3A" w:rsidRPr="00FE68E8" w14:paraId="22F8A729" w14:textId="77777777" w:rsidTr="00FE68E8">
        <w:trPr>
          <w:trHeight w:val="109"/>
        </w:trPr>
        <w:tc>
          <w:tcPr>
            <w:tcW w:w="9020" w:type="dxa"/>
            <w:gridSpan w:val="7"/>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6FA18859" w14:textId="77777777" w:rsidR="00DB7B3A" w:rsidRPr="00FE68E8" w:rsidRDefault="00DB7B3A" w:rsidP="00FE68E8">
            <w:pPr>
              <w:jc w:val="right"/>
              <w:rPr>
                <w:sz w:val="4"/>
                <w:lang w:eastAsia="en-GB"/>
              </w:rPr>
            </w:pPr>
            <w:r w:rsidRPr="00FE68E8">
              <w:rPr>
                <w:sz w:val="4"/>
                <w:lang w:eastAsia="en-GB"/>
              </w:rPr>
              <w:t> </w:t>
            </w:r>
          </w:p>
        </w:tc>
      </w:tr>
      <w:tr w:rsidR="00DB7B3A" w:rsidRPr="00A52AEE" w14:paraId="3BBC8C54" w14:textId="77777777" w:rsidTr="0036229E">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3187DE" w14:textId="77777777" w:rsidR="00DB7B3A" w:rsidRPr="00A52AEE" w:rsidRDefault="00DB7B3A" w:rsidP="00A52AEE">
            <w:pPr>
              <w:rPr>
                <w:sz w:val="20"/>
                <w:lang w:eastAsia="en-GB"/>
              </w:rPr>
            </w:pPr>
            <w:r w:rsidRPr="00A52AEE">
              <w:rPr>
                <w:lang w:eastAsia="en-GB"/>
              </w:rPr>
              <w:t>BTEC</w:t>
            </w:r>
          </w:p>
        </w:tc>
        <w:tc>
          <w:tcPr>
            <w:tcW w:w="992" w:type="dxa"/>
            <w:tcBorders>
              <w:top w:val="nil"/>
              <w:left w:val="nil"/>
              <w:bottom w:val="single" w:sz="8" w:space="0" w:color="auto"/>
              <w:right w:val="single" w:sz="8" w:space="0" w:color="auto"/>
            </w:tcBorders>
            <w:shd w:val="clear" w:color="auto" w:fill="auto"/>
            <w:noWrap/>
            <w:vAlign w:val="bottom"/>
            <w:hideMark/>
          </w:tcPr>
          <w:p w14:paraId="5F361D6C" w14:textId="77777777" w:rsidR="00DB7B3A" w:rsidRPr="00A52AEE" w:rsidRDefault="00DB7B3A" w:rsidP="00A52AEE">
            <w:pPr>
              <w:rPr>
                <w:lang w:eastAsia="en-GB"/>
              </w:rPr>
            </w:pPr>
            <w:r w:rsidRPr="00A52AEE">
              <w:rPr>
                <w:lang w:eastAsia="en-GB"/>
              </w:rPr>
              <w:t>Female</w:t>
            </w:r>
          </w:p>
        </w:tc>
        <w:tc>
          <w:tcPr>
            <w:tcW w:w="1134" w:type="dxa"/>
            <w:tcBorders>
              <w:top w:val="nil"/>
              <w:left w:val="nil"/>
              <w:bottom w:val="single" w:sz="8" w:space="0" w:color="auto"/>
              <w:right w:val="single" w:sz="8" w:space="0" w:color="auto"/>
            </w:tcBorders>
            <w:shd w:val="clear" w:color="auto" w:fill="auto"/>
            <w:noWrap/>
            <w:vAlign w:val="center"/>
            <w:hideMark/>
          </w:tcPr>
          <w:p w14:paraId="3A13A6E7" w14:textId="77777777" w:rsidR="00DB7B3A" w:rsidRPr="00A52AEE" w:rsidRDefault="00DB7B3A" w:rsidP="00FE68E8">
            <w:pPr>
              <w:jc w:val="right"/>
              <w:rPr>
                <w:lang w:eastAsia="en-GB"/>
              </w:rPr>
            </w:pPr>
            <w:r w:rsidRPr="00A52AEE">
              <w:rPr>
                <w:lang w:eastAsia="en-GB"/>
              </w:rPr>
              <w:t>47%</w:t>
            </w:r>
          </w:p>
        </w:tc>
        <w:tc>
          <w:tcPr>
            <w:tcW w:w="1134" w:type="dxa"/>
            <w:tcBorders>
              <w:top w:val="nil"/>
              <w:left w:val="nil"/>
              <w:bottom w:val="single" w:sz="8" w:space="0" w:color="auto"/>
              <w:right w:val="single" w:sz="8" w:space="0" w:color="auto"/>
            </w:tcBorders>
            <w:shd w:val="clear" w:color="auto" w:fill="auto"/>
            <w:noWrap/>
            <w:vAlign w:val="center"/>
            <w:hideMark/>
          </w:tcPr>
          <w:p w14:paraId="1EF6D0A0" w14:textId="77777777" w:rsidR="00DB7B3A" w:rsidRPr="00A52AEE" w:rsidRDefault="00DB7B3A" w:rsidP="00FE68E8">
            <w:pPr>
              <w:jc w:val="right"/>
              <w:rPr>
                <w:lang w:eastAsia="en-GB"/>
              </w:rPr>
            </w:pPr>
            <w:r w:rsidRPr="00A52AEE">
              <w:rPr>
                <w:lang w:eastAsia="en-GB"/>
              </w:rPr>
              <w:t>46%</w:t>
            </w:r>
          </w:p>
        </w:tc>
        <w:tc>
          <w:tcPr>
            <w:tcW w:w="1134" w:type="dxa"/>
            <w:tcBorders>
              <w:top w:val="nil"/>
              <w:left w:val="nil"/>
              <w:bottom w:val="single" w:sz="8" w:space="0" w:color="auto"/>
              <w:right w:val="single" w:sz="8" w:space="0" w:color="auto"/>
            </w:tcBorders>
            <w:shd w:val="clear" w:color="auto" w:fill="auto"/>
            <w:noWrap/>
            <w:vAlign w:val="center"/>
            <w:hideMark/>
          </w:tcPr>
          <w:p w14:paraId="7DAE4265" w14:textId="77777777" w:rsidR="00DB7B3A" w:rsidRPr="00A52AEE" w:rsidRDefault="00DB7B3A" w:rsidP="00FE68E8">
            <w:pPr>
              <w:jc w:val="right"/>
              <w:rPr>
                <w:lang w:eastAsia="en-GB"/>
              </w:rPr>
            </w:pPr>
            <w:r w:rsidRPr="00A52AEE">
              <w:rPr>
                <w:lang w:eastAsia="en-GB"/>
              </w:rPr>
              <w:t>47%</w:t>
            </w:r>
          </w:p>
        </w:tc>
        <w:tc>
          <w:tcPr>
            <w:tcW w:w="1276" w:type="dxa"/>
            <w:tcBorders>
              <w:top w:val="nil"/>
              <w:left w:val="nil"/>
              <w:bottom w:val="single" w:sz="8" w:space="0" w:color="auto"/>
              <w:right w:val="single" w:sz="8" w:space="0" w:color="auto"/>
            </w:tcBorders>
            <w:shd w:val="clear" w:color="auto" w:fill="auto"/>
            <w:noWrap/>
            <w:vAlign w:val="center"/>
            <w:hideMark/>
          </w:tcPr>
          <w:p w14:paraId="21360658" w14:textId="77777777" w:rsidR="00DB7B3A" w:rsidRPr="00A52AEE" w:rsidRDefault="00DB7B3A" w:rsidP="00FE68E8">
            <w:pPr>
              <w:jc w:val="right"/>
              <w:rPr>
                <w:lang w:eastAsia="en-GB"/>
              </w:rPr>
            </w:pPr>
            <w:r w:rsidRPr="00A52AEE">
              <w:rPr>
                <w:lang w:eastAsia="en-GB"/>
              </w:rPr>
              <w:t>50%</w:t>
            </w:r>
          </w:p>
        </w:tc>
        <w:tc>
          <w:tcPr>
            <w:tcW w:w="1233" w:type="dxa"/>
            <w:tcBorders>
              <w:top w:val="nil"/>
              <w:left w:val="nil"/>
              <w:bottom w:val="single" w:sz="8" w:space="0" w:color="auto"/>
              <w:right w:val="single" w:sz="8" w:space="0" w:color="auto"/>
            </w:tcBorders>
            <w:shd w:val="clear" w:color="auto" w:fill="auto"/>
            <w:noWrap/>
            <w:vAlign w:val="center"/>
            <w:hideMark/>
          </w:tcPr>
          <w:p w14:paraId="309E15F1" w14:textId="77777777" w:rsidR="00DB7B3A" w:rsidRPr="00A52AEE" w:rsidRDefault="00DB7B3A" w:rsidP="00FE68E8">
            <w:pPr>
              <w:jc w:val="right"/>
              <w:rPr>
                <w:lang w:eastAsia="en-GB"/>
              </w:rPr>
            </w:pPr>
            <w:r w:rsidRPr="00A52AEE">
              <w:rPr>
                <w:lang w:eastAsia="en-GB"/>
              </w:rPr>
              <w:t>52%</w:t>
            </w:r>
          </w:p>
        </w:tc>
      </w:tr>
      <w:tr w:rsidR="00DB7B3A" w:rsidRPr="00A52AEE" w14:paraId="649275DD" w14:textId="77777777" w:rsidTr="0036229E">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4B603AD2" w14:textId="77777777" w:rsidR="00DB7B3A" w:rsidRPr="00A52AEE" w:rsidRDefault="00DB7B3A" w:rsidP="00A52AEE">
            <w:pPr>
              <w:rPr>
                <w:lang w:eastAsia="en-GB"/>
              </w:rPr>
            </w:pPr>
          </w:p>
        </w:tc>
        <w:tc>
          <w:tcPr>
            <w:tcW w:w="992" w:type="dxa"/>
            <w:tcBorders>
              <w:top w:val="nil"/>
              <w:left w:val="nil"/>
              <w:bottom w:val="single" w:sz="8" w:space="0" w:color="auto"/>
              <w:right w:val="single" w:sz="8" w:space="0" w:color="auto"/>
            </w:tcBorders>
            <w:shd w:val="clear" w:color="auto" w:fill="auto"/>
            <w:noWrap/>
            <w:vAlign w:val="bottom"/>
            <w:hideMark/>
          </w:tcPr>
          <w:p w14:paraId="45BD6EFE" w14:textId="77777777" w:rsidR="00DB7B3A" w:rsidRPr="00A52AEE" w:rsidRDefault="00DB7B3A" w:rsidP="00A52AEE">
            <w:pPr>
              <w:rPr>
                <w:lang w:eastAsia="en-GB"/>
              </w:rPr>
            </w:pPr>
            <w:r w:rsidRPr="00A52AEE">
              <w:rPr>
                <w:lang w:eastAsia="en-GB"/>
              </w:rPr>
              <w:t>Male</w:t>
            </w:r>
          </w:p>
        </w:tc>
        <w:tc>
          <w:tcPr>
            <w:tcW w:w="1134" w:type="dxa"/>
            <w:tcBorders>
              <w:top w:val="nil"/>
              <w:left w:val="nil"/>
              <w:bottom w:val="single" w:sz="8" w:space="0" w:color="auto"/>
              <w:right w:val="single" w:sz="8" w:space="0" w:color="auto"/>
            </w:tcBorders>
            <w:shd w:val="clear" w:color="auto" w:fill="auto"/>
            <w:noWrap/>
            <w:vAlign w:val="center"/>
            <w:hideMark/>
          </w:tcPr>
          <w:p w14:paraId="0F57E4E9" w14:textId="77777777" w:rsidR="00DB7B3A" w:rsidRPr="00A52AEE" w:rsidRDefault="00DB7B3A" w:rsidP="00FE68E8">
            <w:pPr>
              <w:jc w:val="right"/>
              <w:rPr>
                <w:lang w:eastAsia="en-GB"/>
              </w:rPr>
            </w:pPr>
            <w:r w:rsidRPr="00A52AEE">
              <w:rPr>
                <w:lang w:eastAsia="en-GB"/>
              </w:rPr>
              <w:t>53%</w:t>
            </w:r>
          </w:p>
        </w:tc>
        <w:tc>
          <w:tcPr>
            <w:tcW w:w="1134" w:type="dxa"/>
            <w:tcBorders>
              <w:top w:val="nil"/>
              <w:left w:val="nil"/>
              <w:bottom w:val="single" w:sz="8" w:space="0" w:color="auto"/>
              <w:right w:val="single" w:sz="8" w:space="0" w:color="auto"/>
            </w:tcBorders>
            <w:shd w:val="clear" w:color="auto" w:fill="auto"/>
            <w:noWrap/>
            <w:vAlign w:val="center"/>
            <w:hideMark/>
          </w:tcPr>
          <w:p w14:paraId="39F581EE" w14:textId="77777777" w:rsidR="00DB7B3A" w:rsidRPr="00A52AEE" w:rsidRDefault="00DB7B3A" w:rsidP="00FE68E8">
            <w:pPr>
              <w:jc w:val="right"/>
              <w:rPr>
                <w:lang w:eastAsia="en-GB"/>
              </w:rPr>
            </w:pPr>
            <w:r w:rsidRPr="00A52AEE">
              <w:rPr>
                <w:lang w:eastAsia="en-GB"/>
              </w:rPr>
              <w:t>54%</w:t>
            </w:r>
          </w:p>
        </w:tc>
        <w:tc>
          <w:tcPr>
            <w:tcW w:w="1134" w:type="dxa"/>
            <w:tcBorders>
              <w:top w:val="nil"/>
              <w:left w:val="nil"/>
              <w:bottom w:val="single" w:sz="8" w:space="0" w:color="auto"/>
              <w:right w:val="single" w:sz="8" w:space="0" w:color="auto"/>
            </w:tcBorders>
            <w:shd w:val="clear" w:color="auto" w:fill="auto"/>
            <w:noWrap/>
            <w:vAlign w:val="center"/>
            <w:hideMark/>
          </w:tcPr>
          <w:p w14:paraId="1A8665A6" w14:textId="77777777" w:rsidR="00DB7B3A" w:rsidRPr="00A52AEE" w:rsidRDefault="00DB7B3A" w:rsidP="00FE68E8">
            <w:pPr>
              <w:jc w:val="right"/>
              <w:rPr>
                <w:lang w:eastAsia="en-GB"/>
              </w:rPr>
            </w:pPr>
            <w:r w:rsidRPr="00A52AEE">
              <w:rPr>
                <w:lang w:eastAsia="en-GB"/>
              </w:rPr>
              <w:t>53%</w:t>
            </w:r>
          </w:p>
        </w:tc>
        <w:tc>
          <w:tcPr>
            <w:tcW w:w="1276" w:type="dxa"/>
            <w:tcBorders>
              <w:top w:val="nil"/>
              <w:left w:val="nil"/>
              <w:bottom w:val="single" w:sz="8" w:space="0" w:color="auto"/>
              <w:right w:val="single" w:sz="8" w:space="0" w:color="auto"/>
            </w:tcBorders>
            <w:shd w:val="clear" w:color="auto" w:fill="auto"/>
            <w:noWrap/>
            <w:vAlign w:val="center"/>
            <w:hideMark/>
          </w:tcPr>
          <w:p w14:paraId="30F65125" w14:textId="77777777" w:rsidR="00DB7B3A" w:rsidRPr="00A52AEE" w:rsidRDefault="00DB7B3A" w:rsidP="00FE68E8">
            <w:pPr>
              <w:jc w:val="right"/>
              <w:rPr>
                <w:lang w:eastAsia="en-GB"/>
              </w:rPr>
            </w:pPr>
            <w:r w:rsidRPr="00A52AEE">
              <w:rPr>
                <w:lang w:eastAsia="en-GB"/>
              </w:rPr>
              <w:t>50%</w:t>
            </w:r>
          </w:p>
        </w:tc>
        <w:tc>
          <w:tcPr>
            <w:tcW w:w="1233" w:type="dxa"/>
            <w:tcBorders>
              <w:top w:val="nil"/>
              <w:left w:val="nil"/>
              <w:bottom w:val="single" w:sz="8" w:space="0" w:color="auto"/>
              <w:right w:val="single" w:sz="8" w:space="0" w:color="auto"/>
            </w:tcBorders>
            <w:shd w:val="clear" w:color="auto" w:fill="auto"/>
            <w:noWrap/>
            <w:vAlign w:val="center"/>
            <w:hideMark/>
          </w:tcPr>
          <w:p w14:paraId="7493C8FD" w14:textId="77777777" w:rsidR="00DB7B3A" w:rsidRPr="00A52AEE" w:rsidRDefault="00DB7B3A" w:rsidP="00FE68E8">
            <w:pPr>
              <w:jc w:val="right"/>
              <w:rPr>
                <w:lang w:eastAsia="en-GB"/>
              </w:rPr>
            </w:pPr>
            <w:r w:rsidRPr="00A52AEE">
              <w:rPr>
                <w:lang w:eastAsia="en-GB"/>
              </w:rPr>
              <w:t>48%</w:t>
            </w:r>
          </w:p>
        </w:tc>
      </w:tr>
      <w:tr w:rsidR="00DB7B3A" w:rsidRPr="00FE68E8" w14:paraId="31BF7D9B" w14:textId="77777777" w:rsidTr="00FE68E8">
        <w:trPr>
          <w:trHeight w:val="60"/>
        </w:trPr>
        <w:tc>
          <w:tcPr>
            <w:tcW w:w="9020" w:type="dxa"/>
            <w:gridSpan w:val="7"/>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61C0851C" w14:textId="77777777" w:rsidR="00DB7B3A" w:rsidRPr="00FE68E8" w:rsidRDefault="00DB7B3A" w:rsidP="00FE68E8">
            <w:pPr>
              <w:jc w:val="right"/>
              <w:rPr>
                <w:sz w:val="4"/>
                <w:lang w:eastAsia="en-GB"/>
              </w:rPr>
            </w:pPr>
            <w:r w:rsidRPr="00FE68E8">
              <w:rPr>
                <w:sz w:val="4"/>
                <w:lang w:eastAsia="en-GB"/>
              </w:rPr>
              <w:t> </w:t>
            </w:r>
          </w:p>
        </w:tc>
      </w:tr>
      <w:tr w:rsidR="00DB7B3A" w:rsidRPr="00A52AEE" w14:paraId="3B4B537D" w14:textId="77777777" w:rsidTr="0036229E">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427582" w14:textId="272539FD" w:rsidR="00DB7B3A" w:rsidRPr="00A52AEE" w:rsidRDefault="00DB7B3A" w:rsidP="00A52AEE">
            <w:pPr>
              <w:rPr>
                <w:sz w:val="20"/>
                <w:lang w:eastAsia="en-GB"/>
              </w:rPr>
            </w:pPr>
            <w:r w:rsidRPr="00A52AEE">
              <w:rPr>
                <w:lang w:eastAsia="en-GB"/>
              </w:rPr>
              <w:t xml:space="preserve">A </w:t>
            </w:r>
            <w:r w:rsidR="0021637B" w:rsidRPr="00A52AEE">
              <w:rPr>
                <w:lang w:eastAsia="en-GB"/>
              </w:rPr>
              <w:t>Level</w:t>
            </w:r>
          </w:p>
        </w:tc>
        <w:tc>
          <w:tcPr>
            <w:tcW w:w="992" w:type="dxa"/>
            <w:tcBorders>
              <w:top w:val="nil"/>
              <w:left w:val="nil"/>
              <w:bottom w:val="single" w:sz="8" w:space="0" w:color="auto"/>
              <w:right w:val="single" w:sz="8" w:space="0" w:color="auto"/>
            </w:tcBorders>
            <w:shd w:val="clear" w:color="auto" w:fill="auto"/>
            <w:noWrap/>
            <w:vAlign w:val="bottom"/>
            <w:hideMark/>
          </w:tcPr>
          <w:p w14:paraId="02A2B9AC" w14:textId="77777777" w:rsidR="00DB7B3A" w:rsidRPr="00A52AEE" w:rsidRDefault="00DB7B3A" w:rsidP="00A52AEE">
            <w:pPr>
              <w:rPr>
                <w:lang w:eastAsia="en-GB"/>
              </w:rPr>
            </w:pPr>
            <w:r w:rsidRPr="00A52AEE">
              <w:rPr>
                <w:lang w:eastAsia="en-GB"/>
              </w:rPr>
              <w:t>Female</w:t>
            </w:r>
          </w:p>
        </w:tc>
        <w:tc>
          <w:tcPr>
            <w:tcW w:w="1134" w:type="dxa"/>
            <w:tcBorders>
              <w:top w:val="nil"/>
              <w:left w:val="nil"/>
              <w:bottom w:val="single" w:sz="8" w:space="0" w:color="auto"/>
              <w:right w:val="single" w:sz="8" w:space="0" w:color="auto"/>
            </w:tcBorders>
            <w:shd w:val="clear" w:color="auto" w:fill="auto"/>
            <w:noWrap/>
            <w:vAlign w:val="center"/>
            <w:hideMark/>
          </w:tcPr>
          <w:p w14:paraId="37B9ACDD" w14:textId="77777777" w:rsidR="00DB7B3A" w:rsidRPr="00A52AEE" w:rsidRDefault="00DB7B3A" w:rsidP="00FE68E8">
            <w:pPr>
              <w:jc w:val="right"/>
              <w:rPr>
                <w:lang w:eastAsia="en-GB"/>
              </w:rPr>
            </w:pPr>
            <w:r w:rsidRPr="00A52AEE">
              <w:rPr>
                <w:lang w:eastAsia="en-GB"/>
              </w:rPr>
              <w:t>58%</w:t>
            </w:r>
          </w:p>
        </w:tc>
        <w:tc>
          <w:tcPr>
            <w:tcW w:w="1134" w:type="dxa"/>
            <w:tcBorders>
              <w:top w:val="nil"/>
              <w:left w:val="nil"/>
              <w:bottom w:val="single" w:sz="8" w:space="0" w:color="auto"/>
              <w:right w:val="single" w:sz="8" w:space="0" w:color="auto"/>
            </w:tcBorders>
            <w:shd w:val="clear" w:color="auto" w:fill="auto"/>
            <w:noWrap/>
            <w:vAlign w:val="center"/>
            <w:hideMark/>
          </w:tcPr>
          <w:p w14:paraId="692968A9" w14:textId="77777777" w:rsidR="00DB7B3A" w:rsidRPr="00A52AEE" w:rsidRDefault="00DB7B3A" w:rsidP="00FE68E8">
            <w:pPr>
              <w:jc w:val="right"/>
              <w:rPr>
                <w:lang w:eastAsia="en-GB"/>
              </w:rPr>
            </w:pPr>
            <w:r w:rsidRPr="00A52AEE">
              <w:rPr>
                <w:lang w:eastAsia="en-GB"/>
              </w:rPr>
              <w:t>59%</w:t>
            </w:r>
          </w:p>
        </w:tc>
        <w:tc>
          <w:tcPr>
            <w:tcW w:w="1134" w:type="dxa"/>
            <w:tcBorders>
              <w:top w:val="nil"/>
              <w:left w:val="nil"/>
              <w:bottom w:val="single" w:sz="8" w:space="0" w:color="auto"/>
              <w:right w:val="single" w:sz="8" w:space="0" w:color="auto"/>
            </w:tcBorders>
            <w:shd w:val="clear" w:color="auto" w:fill="auto"/>
            <w:noWrap/>
            <w:vAlign w:val="center"/>
            <w:hideMark/>
          </w:tcPr>
          <w:p w14:paraId="74A10C15" w14:textId="77777777" w:rsidR="00DB7B3A" w:rsidRPr="00A52AEE" w:rsidRDefault="00DB7B3A" w:rsidP="00FE68E8">
            <w:pPr>
              <w:jc w:val="right"/>
              <w:rPr>
                <w:lang w:eastAsia="en-GB"/>
              </w:rPr>
            </w:pPr>
            <w:r w:rsidRPr="00A52AEE">
              <w:rPr>
                <w:lang w:eastAsia="en-GB"/>
              </w:rPr>
              <w:t>60%</w:t>
            </w:r>
          </w:p>
        </w:tc>
        <w:tc>
          <w:tcPr>
            <w:tcW w:w="1276" w:type="dxa"/>
            <w:tcBorders>
              <w:top w:val="nil"/>
              <w:left w:val="nil"/>
              <w:bottom w:val="single" w:sz="8" w:space="0" w:color="auto"/>
              <w:right w:val="single" w:sz="8" w:space="0" w:color="auto"/>
            </w:tcBorders>
            <w:shd w:val="clear" w:color="auto" w:fill="auto"/>
            <w:noWrap/>
            <w:vAlign w:val="center"/>
            <w:hideMark/>
          </w:tcPr>
          <w:p w14:paraId="61598906" w14:textId="77777777" w:rsidR="00DB7B3A" w:rsidRPr="00A52AEE" w:rsidRDefault="00DB7B3A" w:rsidP="00FE68E8">
            <w:pPr>
              <w:jc w:val="right"/>
              <w:rPr>
                <w:lang w:eastAsia="en-GB"/>
              </w:rPr>
            </w:pPr>
            <w:r w:rsidRPr="00A52AEE">
              <w:rPr>
                <w:lang w:eastAsia="en-GB"/>
              </w:rPr>
              <w:t>61%</w:t>
            </w:r>
          </w:p>
        </w:tc>
        <w:tc>
          <w:tcPr>
            <w:tcW w:w="1233" w:type="dxa"/>
            <w:tcBorders>
              <w:top w:val="nil"/>
              <w:left w:val="nil"/>
              <w:bottom w:val="single" w:sz="8" w:space="0" w:color="auto"/>
              <w:right w:val="single" w:sz="8" w:space="0" w:color="auto"/>
            </w:tcBorders>
            <w:shd w:val="clear" w:color="auto" w:fill="auto"/>
            <w:noWrap/>
            <w:vAlign w:val="center"/>
            <w:hideMark/>
          </w:tcPr>
          <w:p w14:paraId="42EA8DB6" w14:textId="77777777" w:rsidR="00DB7B3A" w:rsidRPr="00A52AEE" w:rsidRDefault="00DB7B3A" w:rsidP="00FE68E8">
            <w:pPr>
              <w:jc w:val="right"/>
              <w:rPr>
                <w:lang w:eastAsia="en-GB"/>
              </w:rPr>
            </w:pPr>
            <w:r w:rsidRPr="00A52AEE">
              <w:rPr>
                <w:lang w:eastAsia="en-GB"/>
              </w:rPr>
              <w:t>60%</w:t>
            </w:r>
          </w:p>
        </w:tc>
      </w:tr>
      <w:tr w:rsidR="00DB7B3A" w:rsidRPr="00A52AEE" w14:paraId="712BE743" w14:textId="77777777" w:rsidTr="0036229E">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53CEAA1E" w14:textId="77777777" w:rsidR="00DB7B3A" w:rsidRPr="00A52AEE" w:rsidRDefault="00DB7B3A" w:rsidP="00A52AEE">
            <w:pPr>
              <w:rPr>
                <w:lang w:eastAsia="en-GB"/>
              </w:rPr>
            </w:pPr>
          </w:p>
        </w:tc>
        <w:tc>
          <w:tcPr>
            <w:tcW w:w="992" w:type="dxa"/>
            <w:tcBorders>
              <w:top w:val="nil"/>
              <w:left w:val="nil"/>
              <w:bottom w:val="single" w:sz="8" w:space="0" w:color="auto"/>
              <w:right w:val="single" w:sz="8" w:space="0" w:color="auto"/>
            </w:tcBorders>
            <w:shd w:val="clear" w:color="auto" w:fill="auto"/>
            <w:noWrap/>
            <w:vAlign w:val="bottom"/>
            <w:hideMark/>
          </w:tcPr>
          <w:p w14:paraId="3A611438" w14:textId="77777777" w:rsidR="00DB7B3A" w:rsidRPr="00A52AEE" w:rsidRDefault="00DB7B3A" w:rsidP="00A52AEE">
            <w:pPr>
              <w:rPr>
                <w:lang w:eastAsia="en-GB"/>
              </w:rPr>
            </w:pPr>
            <w:r w:rsidRPr="00A52AEE">
              <w:rPr>
                <w:lang w:eastAsia="en-GB"/>
              </w:rPr>
              <w:t>Male</w:t>
            </w:r>
          </w:p>
        </w:tc>
        <w:tc>
          <w:tcPr>
            <w:tcW w:w="1134" w:type="dxa"/>
            <w:tcBorders>
              <w:top w:val="nil"/>
              <w:left w:val="nil"/>
              <w:bottom w:val="single" w:sz="8" w:space="0" w:color="auto"/>
              <w:right w:val="single" w:sz="8" w:space="0" w:color="auto"/>
            </w:tcBorders>
            <w:shd w:val="clear" w:color="auto" w:fill="auto"/>
            <w:noWrap/>
            <w:vAlign w:val="center"/>
            <w:hideMark/>
          </w:tcPr>
          <w:p w14:paraId="39518196" w14:textId="77777777" w:rsidR="00DB7B3A" w:rsidRPr="00A52AEE" w:rsidRDefault="00DB7B3A" w:rsidP="00FE68E8">
            <w:pPr>
              <w:jc w:val="right"/>
              <w:rPr>
                <w:lang w:eastAsia="en-GB"/>
              </w:rPr>
            </w:pPr>
            <w:r w:rsidRPr="00A52AEE">
              <w:rPr>
                <w:lang w:eastAsia="en-GB"/>
              </w:rPr>
              <w:t>42%</w:t>
            </w:r>
          </w:p>
        </w:tc>
        <w:tc>
          <w:tcPr>
            <w:tcW w:w="1134" w:type="dxa"/>
            <w:tcBorders>
              <w:top w:val="nil"/>
              <w:left w:val="nil"/>
              <w:bottom w:val="single" w:sz="8" w:space="0" w:color="auto"/>
              <w:right w:val="single" w:sz="8" w:space="0" w:color="auto"/>
            </w:tcBorders>
            <w:shd w:val="clear" w:color="auto" w:fill="auto"/>
            <w:noWrap/>
            <w:vAlign w:val="center"/>
            <w:hideMark/>
          </w:tcPr>
          <w:p w14:paraId="06E517C9" w14:textId="77777777" w:rsidR="00DB7B3A" w:rsidRPr="00A52AEE" w:rsidRDefault="00DB7B3A" w:rsidP="00FE68E8">
            <w:pPr>
              <w:jc w:val="right"/>
              <w:rPr>
                <w:lang w:eastAsia="en-GB"/>
              </w:rPr>
            </w:pPr>
            <w:r w:rsidRPr="00A52AEE">
              <w:rPr>
                <w:lang w:eastAsia="en-GB"/>
              </w:rPr>
              <w:t>41%</w:t>
            </w:r>
          </w:p>
        </w:tc>
        <w:tc>
          <w:tcPr>
            <w:tcW w:w="1134" w:type="dxa"/>
            <w:tcBorders>
              <w:top w:val="nil"/>
              <w:left w:val="nil"/>
              <w:bottom w:val="single" w:sz="8" w:space="0" w:color="auto"/>
              <w:right w:val="single" w:sz="8" w:space="0" w:color="auto"/>
            </w:tcBorders>
            <w:shd w:val="clear" w:color="auto" w:fill="auto"/>
            <w:noWrap/>
            <w:vAlign w:val="center"/>
            <w:hideMark/>
          </w:tcPr>
          <w:p w14:paraId="1DCE27A7" w14:textId="77777777" w:rsidR="00DB7B3A" w:rsidRPr="00A52AEE" w:rsidRDefault="00DB7B3A" w:rsidP="00FE68E8">
            <w:pPr>
              <w:jc w:val="right"/>
              <w:rPr>
                <w:lang w:eastAsia="en-GB"/>
              </w:rPr>
            </w:pPr>
            <w:r w:rsidRPr="00A52AEE">
              <w:rPr>
                <w:lang w:eastAsia="en-GB"/>
              </w:rPr>
              <w:t>40%</w:t>
            </w:r>
          </w:p>
        </w:tc>
        <w:tc>
          <w:tcPr>
            <w:tcW w:w="1276" w:type="dxa"/>
            <w:tcBorders>
              <w:top w:val="nil"/>
              <w:left w:val="nil"/>
              <w:bottom w:val="single" w:sz="8" w:space="0" w:color="auto"/>
              <w:right w:val="single" w:sz="8" w:space="0" w:color="auto"/>
            </w:tcBorders>
            <w:shd w:val="clear" w:color="auto" w:fill="auto"/>
            <w:noWrap/>
            <w:vAlign w:val="center"/>
            <w:hideMark/>
          </w:tcPr>
          <w:p w14:paraId="08D3FCE6" w14:textId="77777777" w:rsidR="00DB7B3A" w:rsidRPr="00A52AEE" w:rsidRDefault="00DB7B3A" w:rsidP="00FE68E8">
            <w:pPr>
              <w:jc w:val="right"/>
              <w:rPr>
                <w:lang w:eastAsia="en-GB"/>
              </w:rPr>
            </w:pPr>
            <w:r w:rsidRPr="00A52AEE">
              <w:rPr>
                <w:lang w:eastAsia="en-GB"/>
              </w:rPr>
              <w:t>39%</w:t>
            </w:r>
          </w:p>
        </w:tc>
        <w:tc>
          <w:tcPr>
            <w:tcW w:w="1233" w:type="dxa"/>
            <w:tcBorders>
              <w:top w:val="nil"/>
              <w:left w:val="nil"/>
              <w:bottom w:val="single" w:sz="8" w:space="0" w:color="auto"/>
              <w:right w:val="single" w:sz="8" w:space="0" w:color="auto"/>
            </w:tcBorders>
            <w:shd w:val="clear" w:color="auto" w:fill="auto"/>
            <w:noWrap/>
            <w:vAlign w:val="center"/>
            <w:hideMark/>
          </w:tcPr>
          <w:p w14:paraId="4799C51E" w14:textId="77777777" w:rsidR="00DB7B3A" w:rsidRPr="00A52AEE" w:rsidRDefault="00DB7B3A" w:rsidP="00FE68E8">
            <w:pPr>
              <w:jc w:val="right"/>
              <w:rPr>
                <w:lang w:eastAsia="en-GB"/>
              </w:rPr>
            </w:pPr>
            <w:r w:rsidRPr="00A52AEE">
              <w:rPr>
                <w:lang w:eastAsia="en-GB"/>
              </w:rPr>
              <w:t>40%</w:t>
            </w:r>
          </w:p>
        </w:tc>
      </w:tr>
      <w:tr w:rsidR="00DB7B3A" w:rsidRPr="00FE68E8" w14:paraId="28026D0F" w14:textId="77777777" w:rsidTr="00FE68E8">
        <w:trPr>
          <w:trHeight w:val="75"/>
        </w:trPr>
        <w:tc>
          <w:tcPr>
            <w:tcW w:w="2117" w:type="dxa"/>
            <w:tcBorders>
              <w:top w:val="nil"/>
              <w:left w:val="single" w:sz="8" w:space="0" w:color="auto"/>
              <w:bottom w:val="single" w:sz="8" w:space="0" w:color="auto"/>
              <w:right w:val="nil"/>
            </w:tcBorders>
            <w:shd w:val="clear" w:color="auto" w:fill="9CC2E5" w:themeFill="accent1" w:themeFillTint="99"/>
            <w:noWrap/>
            <w:vAlign w:val="center"/>
            <w:hideMark/>
          </w:tcPr>
          <w:p w14:paraId="3C53ED9A" w14:textId="77777777" w:rsidR="00DB7B3A" w:rsidRPr="00FE68E8" w:rsidRDefault="00DB7B3A" w:rsidP="00A52AEE">
            <w:pPr>
              <w:rPr>
                <w:sz w:val="4"/>
                <w:lang w:eastAsia="en-GB"/>
              </w:rPr>
            </w:pPr>
            <w:r w:rsidRPr="00FE68E8">
              <w:rPr>
                <w:sz w:val="4"/>
                <w:lang w:eastAsia="en-GB"/>
              </w:rPr>
              <w:t> </w:t>
            </w:r>
          </w:p>
        </w:tc>
        <w:tc>
          <w:tcPr>
            <w:tcW w:w="992" w:type="dxa"/>
            <w:tcBorders>
              <w:top w:val="nil"/>
              <w:left w:val="nil"/>
              <w:bottom w:val="single" w:sz="8" w:space="0" w:color="auto"/>
              <w:right w:val="nil"/>
            </w:tcBorders>
            <w:shd w:val="clear" w:color="auto" w:fill="9CC2E5" w:themeFill="accent1" w:themeFillTint="99"/>
            <w:noWrap/>
            <w:vAlign w:val="bottom"/>
            <w:hideMark/>
          </w:tcPr>
          <w:p w14:paraId="7ACEF4F3" w14:textId="77777777" w:rsidR="00DB7B3A" w:rsidRPr="00FE68E8" w:rsidRDefault="00DB7B3A" w:rsidP="00A52AEE">
            <w:pPr>
              <w:rPr>
                <w:sz w:val="4"/>
                <w:lang w:eastAsia="en-GB"/>
              </w:rPr>
            </w:pPr>
            <w:r w:rsidRPr="00FE68E8">
              <w:rPr>
                <w:sz w:val="4"/>
                <w:lang w:eastAsia="en-GB"/>
              </w:rPr>
              <w:t> </w:t>
            </w:r>
          </w:p>
        </w:tc>
        <w:tc>
          <w:tcPr>
            <w:tcW w:w="1134" w:type="dxa"/>
            <w:tcBorders>
              <w:top w:val="nil"/>
              <w:left w:val="nil"/>
              <w:bottom w:val="single" w:sz="8" w:space="0" w:color="auto"/>
              <w:right w:val="nil"/>
            </w:tcBorders>
            <w:shd w:val="clear" w:color="auto" w:fill="9CC2E5" w:themeFill="accent1" w:themeFillTint="99"/>
            <w:noWrap/>
            <w:vAlign w:val="center"/>
            <w:hideMark/>
          </w:tcPr>
          <w:p w14:paraId="7097FD78" w14:textId="77777777" w:rsidR="00DB7B3A" w:rsidRPr="00FE68E8" w:rsidRDefault="00DB7B3A" w:rsidP="00FE68E8">
            <w:pPr>
              <w:jc w:val="right"/>
              <w:rPr>
                <w:sz w:val="4"/>
                <w:lang w:eastAsia="en-GB"/>
              </w:rPr>
            </w:pPr>
            <w:r w:rsidRPr="00FE68E8">
              <w:rPr>
                <w:sz w:val="4"/>
                <w:lang w:eastAsia="en-GB"/>
              </w:rPr>
              <w:t> </w:t>
            </w:r>
          </w:p>
        </w:tc>
        <w:tc>
          <w:tcPr>
            <w:tcW w:w="1134" w:type="dxa"/>
            <w:tcBorders>
              <w:top w:val="nil"/>
              <w:left w:val="nil"/>
              <w:bottom w:val="single" w:sz="8" w:space="0" w:color="auto"/>
              <w:right w:val="nil"/>
            </w:tcBorders>
            <w:shd w:val="clear" w:color="auto" w:fill="9CC2E5" w:themeFill="accent1" w:themeFillTint="99"/>
            <w:noWrap/>
            <w:vAlign w:val="center"/>
            <w:hideMark/>
          </w:tcPr>
          <w:p w14:paraId="11E3D3B7" w14:textId="77777777" w:rsidR="00DB7B3A" w:rsidRPr="00FE68E8" w:rsidRDefault="00DB7B3A" w:rsidP="00FE68E8">
            <w:pPr>
              <w:jc w:val="right"/>
              <w:rPr>
                <w:sz w:val="4"/>
                <w:lang w:eastAsia="en-GB"/>
              </w:rPr>
            </w:pPr>
            <w:r w:rsidRPr="00FE68E8">
              <w:rPr>
                <w:sz w:val="4"/>
                <w:lang w:eastAsia="en-GB"/>
              </w:rPr>
              <w:t> </w:t>
            </w:r>
          </w:p>
        </w:tc>
        <w:tc>
          <w:tcPr>
            <w:tcW w:w="1134" w:type="dxa"/>
            <w:tcBorders>
              <w:top w:val="nil"/>
              <w:left w:val="nil"/>
              <w:bottom w:val="single" w:sz="8" w:space="0" w:color="auto"/>
              <w:right w:val="nil"/>
            </w:tcBorders>
            <w:shd w:val="clear" w:color="auto" w:fill="9CC2E5" w:themeFill="accent1" w:themeFillTint="99"/>
            <w:noWrap/>
            <w:vAlign w:val="center"/>
            <w:hideMark/>
          </w:tcPr>
          <w:p w14:paraId="6C3DD557" w14:textId="77777777" w:rsidR="00DB7B3A" w:rsidRPr="00FE68E8" w:rsidRDefault="00DB7B3A" w:rsidP="00FE68E8">
            <w:pPr>
              <w:jc w:val="right"/>
              <w:rPr>
                <w:sz w:val="4"/>
                <w:lang w:eastAsia="en-GB"/>
              </w:rPr>
            </w:pPr>
            <w:r w:rsidRPr="00FE68E8">
              <w:rPr>
                <w:sz w:val="4"/>
                <w:lang w:eastAsia="en-GB"/>
              </w:rPr>
              <w:t> </w:t>
            </w:r>
          </w:p>
        </w:tc>
        <w:tc>
          <w:tcPr>
            <w:tcW w:w="1276" w:type="dxa"/>
            <w:tcBorders>
              <w:top w:val="nil"/>
              <w:left w:val="nil"/>
              <w:bottom w:val="single" w:sz="8" w:space="0" w:color="auto"/>
              <w:right w:val="nil"/>
            </w:tcBorders>
            <w:shd w:val="clear" w:color="auto" w:fill="9CC2E5" w:themeFill="accent1" w:themeFillTint="99"/>
            <w:noWrap/>
            <w:vAlign w:val="center"/>
            <w:hideMark/>
          </w:tcPr>
          <w:p w14:paraId="1B2E5DD9" w14:textId="77777777" w:rsidR="00DB7B3A" w:rsidRPr="00FE68E8" w:rsidRDefault="00DB7B3A" w:rsidP="00FE68E8">
            <w:pPr>
              <w:jc w:val="right"/>
              <w:rPr>
                <w:sz w:val="4"/>
                <w:lang w:eastAsia="en-GB"/>
              </w:rPr>
            </w:pPr>
            <w:r w:rsidRPr="00FE68E8">
              <w:rPr>
                <w:sz w:val="4"/>
                <w:lang w:eastAsia="en-GB"/>
              </w:rPr>
              <w:t> </w:t>
            </w:r>
          </w:p>
        </w:tc>
        <w:tc>
          <w:tcPr>
            <w:tcW w:w="1233" w:type="dxa"/>
            <w:tcBorders>
              <w:top w:val="nil"/>
              <w:left w:val="nil"/>
              <w:bottom w:val="single" w:sz="8" w:space="0" w:color="auto"/>
              <w:right w:val="single" w:sz="8" w:space="0" w:color="auto"/>
            </w:tcBorders>
            <w:shd w:val="clear" w:color="auto" w:fill="9CC2E5" w:themeFill="accent1" w:themeFillTint="99"/>
            <w:noWrap/>
            <w:vAlign w:val="center"/>
            <w:hideMark/>
          </w:tcPr>
          <w:p w14:paraId="5CD30F65" w14:textId="77777777" w:rsidR="00DB7B3A" w:rsidRPr="00FE68E8" w:rsidRDefault="00DB7B3A" w:rsidP="00FE68E8">
            <w:pPr>
              <w:jc w:val="right"/>
              <w:rPr>
                <w:sz w:val="4"/>
                <w:lang w:eastAsia="en-GB"/>
              </w:rPr>
            </w:pPr>
            <w:r w:rsidRPr="00FE68E8">
              <w:rPr>
                <w:sz w:val="4"/>
                <w:lang w:eastAsia="en-GB"/>
              </w:rPr>
              <w:t> </w:t>
            </w:r>
          </w:p>
        </w:tc>
      </w:tr>
      <w:tr w:rsidR="00DB7B3A" w:rsidRPr="00A52AEE" w14:paraId="389D907A" w14:textId="77777777" w:rsidTr="0036229E">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1EAA5A" w14:textId="77777777" w:rsidR="00DB7B3A" w:rsidRPr="00A52AEE" w:rsidRDefault="00DB7B3A" w:rsidP="00A52AEE">
            <w:pPr>
              <w:rPr>
                <w:sz w:val="20"/>
                <w:lang w:eastAsia="en-GB"/>
              </w:rPr>
            </w:pPr>
            <w:r w:rsidRPr="00A52AEE">
              <w:rPr>
                <w:lang w:eastAsia="en-GB"/>
              </w:rPr>
              <w:t>NVQ</w:t>
            </w:r>
          </w:p>
        </w:tc>
        <w:tc>
          <w:tcPr>
            <w:tcW w:w="992" w:type="dxa"/>
            <w:tcBorders>
              <w:top w:val="nil"/>
              <w:left w:val="nil"/>
              <w:bottom w:val="single" w:sz="8" w:space="0" w:color="auto"/>
              <w:right w:val="single" w:sz="8" w:space="0" w:color="auto"/>
            </w:tcBorders>
            <w:shd w:val="clear" w:color="auto" w:fill="auto"/>
            <w:noWrap/>
            <w:vAlign w:val="bottom"/>
            <w:hideMark/>
          </w:tcPr>
          <w:p w14:paraId="3379E044" w14:textId="77777777" w:rsidR="00DB7B3A" w:rsidRPr="00A52AEE" w:rsidRDefault="00DB7B3A" w:rsidP="00A52AEE">
            <w:pPr>
              <w:rPr>
                <w:lang w:eastAsia="en-GB"/>
              </w:rPr>
            </w:pPr>
            <w:r w:rsidRPr="00A52AEE">
              <w:rPr>
                <w:lang w:eastAsia="en-GB"/>
              </w:rPr>
              <w:t>Female</w:t>
            </w:r>
          </w:p>
        </w:tc>
        <w:tc>
          <w:tcPr>
            <w:tcW w:w="1134" w:type="dxa"/>
            <w:tcBorders>
              <w:top w:val="nil"/>
              <w:left w:val="nil"/>
              <w:bottom w:val="single" w:sz="8" w:space="0" w:color="auto"/>
              <w:right w:val="single" w:sz="8" w:space="0" w:color="auto"/>
            </w:tcBorders>
            <w:shd w:val="clear" w:color="auto" w:fill="auto"/>
            <w:noWrap/>
            <w:vAlign w:val="center"/>
            <w:hideMark/>
          </w:tcPr>
          <w:p w14:paraId="659D5291" w14:textId="77777777" w:rsidR="00DB7B3A" w:rsidRPr="00A52AEE" w:rsidRDefault="00DB7B3A" w:rsidP="00FE68E8">
            <w:pPr>
              <w:jc w:val="right"/>
              <w:rPr>
                <w:lang w:eastAsia="en-GB"/>
              </w:rPr>
            </w:pPr>
            <w:r w:rsidRPr="00A52AEE">
              <w:rPr>
                <w:lang w:eastAsia="en-GB"/>
              </w:rPr>
              <w:t>76%</w:t>
            </w:r>
          </w:p>
        </w:tc>
        <w:tc>
          <w:tcPr>
            <w:tcW w:w="1134" w:type="dxa"/>
            <w:tcBorders>
              <w:top w:val="nil"/>
              <w:left w:val="nil"/>
              <w:bottom w:val="single" w:sz="8" w:space="0" w:color="auto"/>
              <w:right w:val="single" w:sz="8" w:space="0" w:color="auto"/>
            </w:tcBorders>
            <w:shd w:val="clear" w:color="auto" w:fill="auto"/>
            <w:noWrap/>
            <w:vAlign w:val="center"/>
            <w:hideMark/>
          </w:tcPr>
          <w:p w14:paraId="5F755FF0" w14:textId="77777777" w:rsidR="00DB7B3A" w:rsidRPr="00A52AEE" w:rsidRDefault="00DB7B3A" w:rsidP="00FE68E8">
            <w:pPr>
              <w:jc w:val="right"/>
              <w:rPr>
                <w:lang w:eastAsia="en-GB"/>
              </w:rPr>
            </w:pPr>
            <w:r w:rsidRPr="00A52AEE">
              <w:rPr>
                <w:lang w:eastAsia="en-GB"/>
              </w:rPr>
              <w:t>71%</w:t>
            </w:r>
          </w:p>
        </w:tc>
        <w:tc>
          <w:tcPr>
            <w:tcW w:w="1134" w:type="dxa"/>
            <w:tcBorders>
              <w:top w:val="nil"/>
              <w:left w:val="nil"/>
              <w:bottom w:val="single" w:sz="8" w:space="0" w:color="auto"/>
              <w:right w:val="single" w:sz="8" w:space="0" w:color="auto"/>
            </w:tcBorders>
            <w:shd w:val="clear" w:color="auto" w:fill="auto"/>
            <w:noWrap/>
            <w:vAlign w:val="center"/>
            <w:hideMark/>
          </w:tcPr>
          <w:p w14:paraId="34EE5D2B" w14:textId="77777777" w:rsidR="00DB7B3A" w:rsidRPr="00A52AEE" w:rsidRDefault="00DB7B3A" w:rsidP="00FE68E8">
            <w:pPr>
              <w:jc w:val="right"/>
              <w:rPr>
                <w:lang w:eastAsia="en-GB"/>
              </w:rPr>
            </w:pPr>
            <w:r w:rsidRPr="00A52AEE">
              <w:rPr>
                <w:lang w:eastAsia="en-GB"/>
              </w:rPr>
              <w:t>61%</w:t>
            </w:r>
          </w:p>
        </w:tc>
        <w:tc>
          <w:tcPr>
            <w:tcW w:w="1276" w:type="dxa"/>
            <w:tcBorders>
              <w:top w:val="nil"/>
              <w:left w:val="nil"/>
              <w:bottom w:val="single" w:sz="8" w:space="0" w:color="auto"/>
              <w:right w:val="single" w:sz="8" w:space="0" w:color="auto"/>
            </w:tcBorders>
            <w:shd w:val="clear" w:color="auto" w:fill="auto"/>
            <w:noWrap/>
            <w:vAlign w:val="center"/>
            <w:hideMark/>
          </w:tcPr>
          <w:p w14:paraId="37791270" w14:textId="77777777" w:rsidR="00DB7B3A" w:rsidRPr="00A52AEE" w:rsidRDefault="00DB7B3A" w:rsidP="00FE68E8">
            <w:pPr>
              <w:jc w:val="right"/>
              <w:rPr>
                <w:lang w:eastAsia="en-GB"/>
              </w:rPr>
            </w:pPr>
            <w:r w:rsidRPr="00A52AEE">
              <w:rPr>
                <w:lang w:eastAsia="en-GB"/>
              </w:rPr>
              <w:t>60%</w:t>
            </w:r>
          </w:p>
        </w:tc>
        <w:tc>
          <w:tcPr>
            <w:tcW w:w="1233" w:type="dxa"/>
            <w:tcBorders>
              <w:top w:val="nil"/>
              <w:left w:val="nil"/>
              <w:bottom w:val="single" w:sz="8" w:space="0" w:color="auto"/>
              <w:right w:val="single" w:sz="8" w:space="0" w:color="auto"/>
            </w:tcBorders>
            <w:shd w:val="clear" w:color="auto" w:fill="auto"/>
            <w:noWrap/>
            <w:vAlign w:val="center"/>
            <w:hideMark/>
          </w:tcPr>
          <w:p w14:paraId="3AC52808" w14:textId="77777777" w:rsidR="00DB7B3A" w:rsidRPr="00A52AEE" w:rsidRDefault="00DB7B3A" w:rsidP="00FE68E8">
            <w:pPr>
              <w:jc w:val="right"/>
              <w:rPr>
                <w:lang w:eastAsia="en-GB"/>
              </w:rPr>
            </w:pPr>
            <w:r w:rsidRPr="00A52AEE">
              <w:rPr>
                <w:lang w:eastAsia="en-GB"/>
              </w:rPr>
              <w:t>56%</w:t>
            </w:r>
          </w:p>
        </w:tc>
      </w:tr>
      <w:tr w:rsidR="00DB7B3A" w:rsidRPr="00A52AEE" w14:paraId="695E4E11" w14:textId="77777777" w:rsidTr="0036229E">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0FBC5C6F" w14:textId="77777777" w:rsidR="00DB7B3A" w:rsidRPr="00A52AEE" w:rsidRDefault="00DB7B3A" w:rsidP="00A52AEE">
            <w:pPr>
              <w:rPr>
                <w:lang w:eastAsia="en-GB"/>
              </w:rPr>
            </w:pPr>
          </w:p>
        </w:tc>
        <w:tc>
          <w:tcPr>
            <w:tcW w:w="992" w:type="dxa"/>
            <w:tcBorders>
              <w:top w:val="nil"/>
              <w:left w:val="nil"/>
              <w:bottom w:val="single" w:sz="8" w:space="0" w:color="auto"/>
              <w:right w:val="single" w:sz="8" w:space="0" w:color="auto"/>
            </w:tcBorders>
            <w:shd w:val="clear" w:color="auto" w:fill="auto"/>
            <w:noWrap/>
            <w:vAlign w:val="bottom"/>
            <w:hideMark/>
          </w:tcPr>
          <w:p w14:paraId="4832C612" w14:textId="77777777" w:rsidR="00DB7B3A" w:rsidRPr="00A52AEE" w:rsidRDefault="00DB7B3A" w:rsidP="00A52AEE">
            <w:pPr>
              <w:rPr>
                <w:lang w:eastAsia="en-GB"/>
              </w:rPr>
            </w:pPr>
            <w:r w:rsidRPr="00A52AEE">
              <w:rPr>
                <w:lang w:eastAsia="en-GB"/>
              </w:rPr>
              <w:t>Male</w:t>
            </w:r>
          </w:p>
        </w:tc>
        <w:tc>
          <w:tcPr>
            <w:tcW w:w="1134" w:type="dxa"/>
            <w:tcBorders>
              <w:top w:val="nil"/>
              <w:left w:val="nil"/>
              <w:bottom w:val="single" w:sz="8" w:space="0" w:color="auto"/>
              <w:right w:val="single" w:sz="8" w:space="0" w:color="auto"/>
            </w:tcBorders>
            <w:shd w:val="clear" w:color="auto" w:fill="auto"/>
            <w:noWrap/>
            <w:vAlign w:val="center"/>
            <w:hideMark/>
          </w:tcPr>
          <w:p w14:paraId="5EE57FC5" w14:textId="77777777" w:rsidR="00DB7B3A" w:rsidRPr="00A52AEE" w:rsidRDefault="00DB7B3A" w:rsidP="00FE68E8">
            <w:pPr>
              <w:jc w:val="right"/>
              <w:rPr>
                <w:lang w:eastAsia="en-GB"/>
              </w:rPr>
            </w:pPr>
            <w:r w:rsidRPr="00A52AEE">
              <w:rPr>
                <w:lang w:eastAsia="en-GB"/>
              </w:rPr>
              <w:t>24%</w:t>
            </w:r>
          </w:p>
        </w:tc>
        <w:tc>
          <w:tcPr>
            <w:tcW w:w="1134" w:type="dxa"/>
            <w:tcBorders>
              <w:top w:val="nil"/>
              <w:left w:val="nil"/>
              <w:bottom w:val="single" w:sz="8" w:space="0" w:color="auto"/>
              <w:right w:val="single" w:sz="8" w:space="0" w:color="auto"/>
            </w:tcBorders>
            <w:shd w:val="clear" w:color="auto" w:fill="auto"/>
            <w:noWrap/>
            <w:vAlign w:val="center"/>
            <w:hideMark/>
          </w:tcPr>
          <w:p w14:paraId="2563A39A" w14:textId="77777777" w:rsidR="00DB7B3A" w:rsidRPr="00A52AEE" w:rsidRDefault="00DB7B3A" w:rsidP="00FE68E8">
            <w:pPr>
              <w:jc w:val="right"/>
              <w:rPr>
                <w:lang w:eastAsia="en-GB"/>
              </w:rPr>
            </w:pPr>
            <w:r w:rsidRPr="00A52AEE">
              <w:rPr>
                <w:lang w:eastAsia="en-GB"/>
              </w:rPr>
              <w:t>29%</w:t>
            </w:r>
          </w:p>
        </w:tc>
        <w:tc>
          <w:tcPr>
            <w:tcW w:w="1134" w:type="dxa"/>
            <w:tcBorders>
              <w:top w:val="nil"/>
              <w:left w:val="nil"/>
              <w:bottom w:val="single" w:sz="8" w:space="0" w:color="auto"/>
              <w:right w:val="single" w:sz="8" w:space="0" w:color="auto"/>
            </w:tcBorders>
            <w:shd w:val="clear" w:color="auto" w:fill="auto"/>
            <w:noWrap/>
            <w:vAlign w:val="center"/>
            <w:hideMark/>
          </w:tcPr>
          <w:p w14:paraId="7A880829" w14:textId="77777777" w:rsidR="00DB7B3A" w:rsidRPr="00A52AEE" w:rsidRDefault="00DB7B3A" w:rsidP="00FE68E8">
            <w:pPr>
              <w:jc w:val="right"/>
              <w:rPr>
                <w:lang w:eastAsia="en-GB"/>
              </w:rPr>
            </w:pPr>
            <w:r w:rsidRPr="00A52AEE">
              <w:rPr>
                <w:lang w:eastAsia="en-GB"/>
              </w:rPr>
              <w:t>39%</w:t>
            </w:r>
          </w:p>
        </w:tc>
        <w:tc>
          <w:tcPr>
            <w:tcW w:w="1276" w:type="dxa"/>
            <w:tcBorders>
              <w:top w:val="nil"/>
              <w:left w:val="nil"/>
              <w:bottom w:val="single" w:sz="8" w:space="0" w:color="auto"/>
              <w:right w:val="single" w:sz="8" w:space="0" w:color="auto"/>
            </w:tcBorders>
            <w:shd w:val="clear" w:color="auto" w:fill="auto"/>
            <w:noWrap/>
            <w:vAlign w:val="center"/>
            <w:hideMark/>
          </w:tcPr>
          <w:p w14:paraId="4FADF618" w14:textId="77777777" w:rsidR="00DB7B3A" w:rsidRPr="00A52AEE" w:rsidRDefault="00DB7B3A" w:rsidP="00FE68E8">
            <w:pPr>
              <w:jc w:val="right"/>
              <w:rPr>
                <w:lang w:eastAsia="en-GB"/>
              </w:rPr>
            </w:pPr>
            <w:r w:rsidRPr="00A52AEE">
              <w:rPr>
                <w:lang w:eastAsia="en-GB"/>
              </w:rPr>
              <w:t>40%</w:t>
            </w:r>
          </w:p>
        </w:tc>
        <w:tc>
          <w:tcPr>
            <w:tcW w:w="1233" w:type="dxa"/>
            <w:tcBorders>
              <w:top w:val="nil"/>
              <w:left w:val="nil"/>
              <w:bottom w:val="single" w:sz="8" w:space="0" w:color="auto"/>
              <w:right w:val="single" w:sz="8" w:space="0" w:color="auto"/>
            </w:tcBorders>
            <w:shd w:val="clear" w:color="auto" w:fill="auto"/>
            <w:noWrap/>
            <w:vAlign w:val="center"/>
            <w:hideMark/>
          </w:tcPr>
          <w:p w14:paraId="5FC6D175" w14:textId="77777777" w:rsidR="00DB7B3A" w:rsidRPr="00A52AEE" w:rsidRDefault="00DB7B3A" w:rsidP="00FE68E8">
            <w:pPr>
              <w:jc w:val="right"/>
              <w:rPr>
                <w:lang w:eastAsia="en-GB"/>
              </w:rPr>
            </w:pPr>
            <w:r w:rsidRPr="00A52AEE">
              <w:rPr>
                <w:lang w:eastAsia="en-GB"/>
              </w:rPr>
              <w:t>44%</w:t>
            </w:r>
          </w:p>
        </w:tc>
      </w:tr>
      <w:tr w:rsidR="00DB7B3A" w:rsidRPr="00FE68E8" w14:paraId="496FC8D3" w14:textId="77777777" w:rsidTr="00FE68E8">
        <w:trPr>
          <w:trHeight w:val="60"/>
        </w:trPr>
        <w:tc>
          <w:tcPr>
            <w:tcW w:w="9020" w:type="dxa"/>
            <w:gridSpan w:val="7"/>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61E5D6D6" w14:textId="77777777" w:rsidR="00DB7B3A" w:rsidRPr="00FE68E8" w:rsidRDefault="00DB7B3A" w:rsidP="00FE68E8">
            <w:pPr>
              <w:jc w:val="right"/>
              <w:rPr>
                <w:sz w:val="4"/>
                <w:lang w:eastAsia="en-GB"/>
              </w:rPr>
            </w:pPr>
            <w:r w:rsidRPr="00FE68E8">
              <w:rPr>
                <w:sz w:val="4"/>
                <w:lang w:eastAsia="en-GB"/>
              </w:rPr>
              <w:t> </w:t>
            </w:r>
          </w:p>
        </w:tc>
      </w:tr>
      <w:tr w:rsidR="00DB7B3A" w:rsidRPr="00A52AEE" w14:paraId="0A1A4C33" w14:textId="77777777" w:rsidTr="0036229E">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7834DF" w14:textId="53C903CC" w:rsidR="00DB7B3A" w:rsidRPr="00771DD0" w:rsidRDefault="0036229E" w:rsidP="00A52AEE">
            <w:pPr>
              <w:rPr>
                <w:b/>
                <w:sz w:val="20"/>
                <w:lang w:eastAsia="en-GB"/>
              </w:rPr>
            </w:pPr>
            <w:r w:rsidRPr="00771DD0">
              <w:rPr>
                <w:b/>
                <w:lang w:eastAsia="en-GB"/>
              </w:rPr>
              <w:t>Other V</w:t>
            </w:r>
            <w:r w:rsidR="00DB7B3A" w:rsidRPr="00771DD0">
              <w:rPr>
                <w:b/>
                <w:lang w:eastAsia="en-GB"/>
              </w:rPr>
              <w:t>ocational</w:t>
            </w:r>
          </w:p>
        </w:tc>
        <w:tc>
          <w:tcPr>
            <w:tcW w:w="992" w:type="dxa"/>
            <w:tcBorders>
              <w:top w:val="nil"/>
              <w:left w:val="nil"/>
              <w:bottom w:val="single" w:sz="8" w:space="0" w:color="auto"/>
              <w:right w:val="single" w:sz="8" w:space="0" w:color="auto"/>
            </w:tcBorders>
            <w:shd w:val="clear" w:color="auto" w:fill="auto"/>
            <w:noWrap/>
            <w:vAlign w:val="bottom"/>
            <w:hideMark/>
          </w:tcPr>
          <w:p w14:paraId="7E913044" w14:textId="77777777" w:rsidR="00DB7B3A" w:rsidRPr="00A52AEE" w:rsidRDefault="00DB7B3A" w:rsidP="00A52AEE">
            <w:pPr>
              <w:rPr>
                <w:lang w:eastAsia="en-GB"/>
              </w:rPr>
            </w:pPr>
            <w:r w:rsidRPr="00A52AEE">
              <w:rPr>
                <w:lang w:eastAsia="en-GB"/>
              </w:rPr>
              <w:t>Female</w:t>
            </w:r>
          </w:p>
        </w:tc>
        <w:tc>
          <w:tcPr>
            <w:tcW w:w="1134" w:type="dxa"/>
            <w:tcBorders>
              <w:top w:val="nil"/>
              <w:left w:val="nil"/>
              <w:bottom w:val="single" w:sz="8" w:space="0" w:color="auto"/>
              <w:right w:val="single" w:sz="8" w:space="0" w:color="auto"/>
            </w:tcBorders>
            <w:shd w:val="clear" w:color="auto" w:fill="auto"/>
            <w:noWrap/>
            <w:vAlign w:val="center"/>
            <w:hideMark/>
          </w:tcPr>
          <w:p w14:paraId="22F59811" w14:textId="77777777" w:rsidR="00DB7B3A" w:rsidRPr="00A52AEE" w:rsidRDefault="00DB7B3A" w:rsidP="00FE68E8">
            <w:pPr>
              <w:jc w:val="right"/>
              <w:rPr>
                <w:lang w:eastAsia="en-GB"/>
              </w:rPr>
            </w:pPr>
            <w:r w:rsidRPr="00A52AEE">
              <w:rPr>
                <w:lang w:eastAsia="en-GB"/>
              </w:rPr>
              <w:t>53%</w:t>
            </w:r>
          </w:p>
        </w:tc>
        <w:tc>
          <w:tcPr>
            <w:tcW w:w="1134" w:type="dxa"/>
            <w:tcBorders>
              <w:top w:val="nil"/>
              <w:left w:val="nil"/>
              <w:bottom w:val="single" w:sz="8" w:space="0" w:color="auto"/>
              <w:right w:val="single" w:sz="8" w:space="0" w:color="auto"/>
            </w:tcBorders>
            <w:shd w:val="clear" w:color="auto" w:fill="auto"/>
            <w:noWrap/>
            <w:vAlign w:val="center"/>
            <w:hideMark/>
          </w:tcPr>
          <w:p w14:paraId="42D7854A" w14:textId="77777777" w:rsidR="00DB7B3A" w:rsidRPr="00A52AEE" w:rsidRDefault="00DB7B3A" w:rsidP="00FE68E8">
            <w:pPr>
              <w:jc w:val="right"/>
              <w:rPr>
                <w:lang w:eastAsia="en-GB"/>
              </w:rPr>
            </w:pPr>
            <w:r w:rsidRPr="00A52AEE">
              <w:rPr>
                <w:lang w:eastAsia="en-GB"/>
              </w:rPr>
              <w:t>49%</w:t>
            </w:r>
          </w:p>
        </w:tc>
        <w:tc>
          <w:tcPr>
            <w:tcW w:w="1134" w:type="dxa"/>
            <w:tcBorders>
              <w:top w:val="nil"/>
              <w:left w:val="nil"/>
              <w:bottom w:val="single" w:sz="8" w:space="0" w:color="auto"/>
              <w:right w:val="single" w:sz="8" w:space="0" w:color="auto"/>
            </w:tcBorders>
            <w:shd w:val="clear" w:color="auto" w:fill="auto"/>
            <w:noWrap/>
            <w:vAlign w:val="center"/>
            <w:hideMark/>
          </w:tcPr>
          <w:p w14:paraId="61213BCD" w14:textId="77777777" w:rsidR="00DB7B3A" w:rsidRPr="00A52AEE" w:rsidRDefault="00DB7B3A" w:rsidP="00FE68E8">
            <w:pPr>
              <w:jc w:val="right"/>
              <w:rPr>
                <w:lang w:eastAsia="en-GB"/>
              </w:rPr>
            </w:pPr>
            <w:r w:rsidRPr="00A52AEE">
              <w:rPr>
                <w:lang w:eastAsia="en-GB"/>
              </w:rPr>
              <w:t>49%</w:t>
            </w:r>
          </w:p>
        </w:tc>
        <w:tc>
          <w:tcPr>
            <w:tcW w:w="1276" w:type="dxa"/>
            <w:tcBorders>
              <w:top w:val="nil"/>
              <w:left w:val="nil"/>
              <w:bottom w:val="single" w:sz="8" w:space="0" w:color="auto"/>
              <w:right w:val="single" w:sz="8" w:space="0" w:color="auto"/>
            </w:tcBorders>
            <w:shd w:val="clear" w:color="auto" w:fill="auto"/>
            <w:noWrap/>
            <w:vAlign w:val="center"/>
            <w:hideMark/>
          </w:tcPr>
          <w:p w14:paraId="53001218" w14:textId="77777777" w:rsidR="00DB7B3A" w:rsidRPr="00A52AEE" w:rsidRDefault="00DB7B3A" w:rsidP="00FE68E8">
            <w:pPr>
              <w:jc w:val="right"/>
              <w:rPr>
                <w:lang w:eastAsia="en-GB"/>
              </w:rPr>
            </w:pPr>
            <w:r w:rsidRPr="00A52AEE">
              <w:rPr>
                <w:lang w:eastAsia="en-GB"/>
              </w:rPr>
              <w:t>47%</w:t>
            </w:r>
          </w:p>
        </w:tc>
        <w:tc>
          <w:tcPr>
            <w:tcW w:w="1233" w:type="dxa"/>
            <w:tcBorders>
              <w:top w:val="nil"/>
              <w:left w:val="nil"/>
              <w:bottom w:val="single" w:sz="8" w:space="0" w:color="auto"/>
              <w:right w:val="single" w:sz="8" w:space="0" w:color="auto"/>
            </w:tcBorders>
            <w:shd w:val="clear" w:color="auto" w:fill="auto"/>
            <w:noWrap/>
            <w:vAlign w:val="center"/>
            <w:hideMark/>
          </w:tcPr>
          <w:p w14:paraId="44C30EC4" w14:textId="77777777" w:rsidR="00DB7B3A" w:rsidRPr="00A52AEE" w:rsidRDefault="00DB7B3A" w:rsidP="00FE68E8">
            <w:pPr>
              <w:jc w:val="right"/>
              <w:rPr>
                <w:lang w:eastAsia="en-GB"/>
              </w:rPr>
            </w:pPr>
            <w:r w:rsidRPr="00A52AEE">
              <w:rPr>
                <w:lang w:eastAsia="en-GB"/>
              </w:rPr>
              <w:t>54%</w:t>
            </w:r>
          </w:p>
        </w:tc>
      </w:tr>
      <w:tr w:rsidR="00DB7B3A" w:rsidRPr="00A52AEE" w14:paraId="21D4D447" w14:textId="77777777" w:rsidTr="0036229E">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2DE9EF95" w14:textId="77777777" w:rsidR="00DB7B3A" w:rsidRPr="00A52AEE" w:rsidRDefault="00DB7B3A" w:rsidP="00A52AEE">
            <w:pPr>
              <w:rPr>
                <w:lang w:eastAsia="en-GB"/>
              </w:rPr>
            </w:pPr>
          </w:p>
        </w:tc>
        <w:tc>
          <w:tcPr>
            <w:tcW w:w="992" w:type="dxa"/>
            <w:tcBorders>
              <w:top w:val="nil"/>
              <w:left w:val="nil"/>
              <w:bottom w:val="single" w:sz="8" w:space="0" w:color="auto"/>
              <w:right w:val="single" w:sz="8" w:space="0" w:color="auto"/>
            </w:tcBorders>
            <w:shd w:val="clear" w:color="auto" w:fill="auto"/>
            <w:noWrap/>
            <w:vAlign w:val="bottom"/>
            <w:hideMark/>
          </w:tcPr>
          <w:p w14:paraId="029903AB" w14:textId="77777777" w:rsidR="00DB7B3A" w:rsidRPr="00A52AEE" w:rsidRDefault="00DB7B3A" w:rsidP="00A52AEE">
            <w:pPr>
              <w:rPr>
                <w:lang w:eastAsia="en-GB"/>
              </w:rPr>
            </w:pPr>
            <w:r w:rsidRPr="00A52AEE">
              <w:rPr>
                <w:lang w:eastAsia="en-GB"/>
              </w:rPr>
              <w:t>Male</w:t>
            </w:r>
          </w:p>
        </w:tc>
        <w:tc>
          <w:tcPr>
            <w:tcW w:w="1134" w:type="dxa"/>
            <w:tcBorders>
              <w:top w:val="nil"/>
              <w:left w:val="nil"/>
              <w:bottom w:val="single" w:sz="8" w:space="0" w:color="auto"/>
              <w:right w:val="single" w:sz="8" w:space="0" w:color="auto"/>
            </w:tcBorders>
            <w:shd w:val="clear" w:color="auto" w:fill="auto"/>
            <w:noWrap/>
            <w:vAlign w:val="center"/>
            <w:hideMark/>
          </w:tcPr>
          <w:p w14:paraId="432E771C" w14:textId="77777777" w:rsidR="00DB7B3A" w:rsidRPr="00A52AEE" w:rsidRDefault="00DB7B3A" w:rsidP="00FE68E8">
            <w:pPr>
              <w:jc w:val="right"/>
              <w:rPr>
                <w:lang w:eastAsia="en-GB"/>
              </w:rPr>
            </w:pPr>
            <w:r w:rsidRPr="00A52AEE">
              <w:rPr>
                <w:lang w:eastAsia="en-GB"/>
              </w:rPr>
              <w:t>47%</w:t>
            </w:r>
          </w:p>
        </w:tc>
        <w:tc>
          <w:tcPr>
            <w:tcW w:w="1134" w:type="dxa"/>
            <w:tcBorders>
              <w:top w:val="nil"/>
              <w:left w:val="nil"/>
              <w:bottom w:val="single" w:sz="8" w:space="0" w:color="auto"/>
              <w:right w:val="single" w:sz="8" w:space="0" w:color="auto"/>
            </w:tcBorders>
            <w:shd w:val="clear" w:color="auto" w:fill="auto"/>
            <w:noWrap/>
            <w:vAlign w:val="center"/>
            <w:hideMark/>
          </w:tcPr>
          <w:p w14:paraId="689C4BA8" w14:textId="77777777" w:rsidR="00DB7B3A" w:rsidRPr="00A52AEE" w:rsidRDefault="00DB7B3A" w:rsidP="00FE68E8">
            <w:pPr>
              <w:jc w:val="right"/>
              <w:rPr>
                <w:lang w:eastAsia="en-GB"/>
              </w:rPr>
            </w:pPr>
            <w:r w:rsidRPr="00A52AEE">
              <w:rPr>
                <w:lang w:eastAsia="en-GB"/>
              </w:rPr>
              <w:t>51%</w:t>
            </w:r>
          </w:p>
        </w:tc>
        <w:tc>
          <w:tcPr>
            <w:tcW w:w="1134" w:type="dxa"/>
            <w:tcBorders>
              <w:top w:val="nil"/>
              <w:left w:val="nil"/>
              <w:bottom w:val="single" w:sz="8" w:space="0" w:color="auto"/>
              <w:right w:val="single" w:sz="8" w:space="0" w:color="auto"/>
            </w:tcBorders>
            <w:shd w:val="clear" w:color="auto" w:fill="auto"/>
            <w:noWrap/>
            <w:vAlign w:val="center"/>
            <w:hideMark/>
          </w:tcPr>
          <w:p w14:paraId="4F0F5EBF" w14:textId="77777777" w:rsidR="00DB7B3A" w:rsidRPr="00A52AEE" w:rsidRDefault="00DB7B3A" w:rsidP="00FE68E8">
            <w:pPr>
              <w:jc w:val="right"/>
              <w:rPr>
                <w:lang w:eastAsia="en-GB"/>
              </w:rPr>
            </w:pPr>
            <w:r w:rsidRPr="00A52AEE">
              <w:rPr>
                <w:lang w:eastAsia="en-GB"/>
              </w:rPr>
              <w:t>51%</w:t>
            </w:r>
          </w:p>
        </w:tc>
        <w:tc>
          <w:tcPr>
            <w:tcW w:w="1276" w:type="dxa"/>
            <w:tcBorders>
              <w:top w:val="nil"/>
              <w:left w:val="nil"/>
              <w:bottom w:val="single" w:sz="8" w:space="0" w:color="auto"/>
              <w:right w:val="single" w:sz="8" w:space="0" w:color="auto"/>
            </w:tcBorders>
            <w:shd w:val="clear" w:color="auto" w:fill="auto"/>
            <w:noWrap/>
            <w:vAlign w:val="center"/>
            <w:hideMark/>
          </w:tcPr>
          <w:p w14:paraId="1BB2A2C0" w14:textId="77777777" w:rsidR="00DB7B3A" w:rsidRPr="00A52AEE" w:rsidRDefault="00DB7B3A" w:rsidP="00FE68E8">
            <w:pPr>
              <w:jc w:val="right"/>
              <w:rPr>
                <w:lang w:eastAsia="en-GB"/>
              </w:rPr>
            </w:pPr>
            <w:r w:rsidRPr="00A52AEE">
              <w:rPr>
                <w:lang w:eastAsia="en-GB"/>
              </w:rPr>
              <w:t>53%</w:t>
            </w:r>
          </w:p>
        </w:tc>
        <w:tc>
          <w:tcPr>
            <w:tcW w:w="1233" w:type="dxa"/>
            <w:tcBorders>
              <w:top w:val="nil"/>
              <w:left w:val="nil"/>
              <w:bottom w:val="single" w:sz="8" w:space="0" w:color="auto"/>
              <w:right w:val="single" w:sz="8" w:space="0" w:color="auto"/>
            </w:tcBorders>
            <w:shd w:val="clear" w:color="auto" w:fill="auto"/>
            <w:noWrap/>
            <w:vAlign w:val="center"/>
            <w:hideMark/>
          </w:tcPr>
          <w:p w14:paraId="2F1A5FAA" w14:textId="77777777" w:rsidR="00DB7B3A" w:rsidRPr="00A52AEE" w:rsidRDefault="00DB7B3A" w:rsidP="00FE68E8">
            <w:pPr>
              <w:jc w:val="right"/>
              <w:rPr>
                <w:lang w:eastAsia="en-GB"/>
              </w:rPr>
            </w:pPr>
            <w:r w:rsidRPr="00A52AEE">
              <w:rPr>
                <w:lang w:eastAsia="en-GB"/>
              </w:rPr>
              <w:t>46%</w:t>
            </w:r>
          </w:p>
        </w:tc>
      </w:tr>
    </w:tbl>
    <w:p w14:paraId="3E7F4D44" w14:textId="77777777" w:rsidR="00305EFC" w:rsidRDefault="00305EFC" w:rsidP="008D527A">
      <w:pPr>
        <w:pStyle w:val="Heading2"/>
      </w:pPr>
    </w:p>
    <w:p w14:paraId="7222AAE3" w14:textId="4FC690F0" w:rsidR="00DB7B3A" w:rsidRPr="00A52AEE" w:rsidRDefault="00771DD0" w:rsidP="008D527A">
      <w:pPr>
        <w:pStyle w:val="Heading2"/>
      </w:pPr>
      <w:bookmarkStart w:id="80" w:name="_Toc429151310"/>
      <w:r>
        <w:t>4</w:t>
      </w:r>
      <w:r w:rsidR="0036229E" w:rsidRPr="00A52AEE">
        <w:t>.6</w:t>
      </w:r>
      <w:r w:rsidR="007F7A33">
        <w:tab/>
      </w:r>
      <w:r w:rsidR="00DB7B3A" w:rsidRPr="00A52AEE">
        <w:t>FE Institution Type</w:t>
      </w:r>
      <w:bookmarkEnd w:id="80"/>
    </w:p>
    <w:p w14:paraId="7E30BB06" w14:textId="7C198CB0" w:rsidR="00DB7B3A" w:rsidRPr="00A52AEE" w:rsidRDefault="00DB7B3A" w:rsidP="00A52AEE">
      <w:r w:rsidRPr="00A52AEE">
        <w:t xml:space="preserve">Table 6 shows that students in </w:t>
      </w:r>
      <w:r w:rsidR="0076166E" w:rsidRPr="00A52AEE">
        <w:t>London FE C</w:t>
      </w:r>
      <w:r w:rsidRPr="00A52AEE">
        <w:t xml:space="preserve">olleges and Sixth Form Colleges grew at a similar rate with </w:t>
      </w:r>
      <w:r w:rsidR="0082463B" w:rsidRPr="00A52AEE">
        <w:t>Sixth Form C</w:t>
      </w:r>
      <w:r w:rsidRPr="00A52AEE">
        <w:t>olleges seeing slightly higher growth in numbers.</w:t>
      </w:r>
    </w:p>
    <w:p w14:paraId="2E83CAF8" w14:textId="77777777" w:rsidR="00DB7B3A" w:rsidRPr="00A52AEE" w:rsidRDefault="00DB7B3A" w:rsidP="00A52AEE"/>
    <w:p w14:paraId="110E5441" w14:textId="32CEA25E" w:rsidR="00DB7B3A" w:rsidRPr="00305EFC" w:rsidRDefault="00DB7B3A" w:rsidP="00A52AEE">
      <w:pPr>
        <w:rPr>
          <w:b/>
        </w:rPr>
      </w:pPr>
      <w:r w:rsidRPr="00305EFC">
        <w:rPr>
          <w:b/>
        </w:rPr>
        <w:t>Table 6</w:t>
      </w:r>
      <w:r w:rsidR="0036229E" w:rsidRPr="00305EFC">
        <w:rPr>
          <w:b/>
        </w:rPr>
        <w:t xml:space="preserve">: </w:t>
      </w:r>
      <w:r w:rsidR="00167733" w:rsidRPr="00305EFC">
        <w:rPr>
          <w:b/>
        </w:rPr>
        <w:t>Share of the cohorts coming from</w:t>
      </w:r>
      <w:r w:rsidRPr="00305EFC">
        <w:rPr>
          <w:b/>
        </w:rPr>
        <w:t xml:space="preserve"> FE Colleges and Sixth Form Colleges</w:t>
      </w:r>
    </w:p>
    <w:p w14:paraId="19B120F7" w14:textId="77777777" w:rsidR="0036229E" w:rsidRPr="00A52AEE" w:rsidRDefault="0036229E" w:rsidP="00A52AEE"/>
    <w:tbl>
      <w:tblPr>
        <w:tblW w:w="5057" w:type="pct"/>
        <w:tblLook w:val="04A0" w:firstRow="1" w:lastRow="0" w:firstColumn="1" w:lastColumn="0" w:noHBand="0" w:noVBand="1"/>
      </w:tblPr>
      <w:tblGrid>
        <w:gridCol w:w="2486"/>
        <w:gridCol w:w="1190"/>
        <w:gridCol w:w="1191"/>
        <w:gridCol w:w="1191"/>
        <w:gridCol w:w="1191"/>
        <w:gridCol w:w="1195"/>
        <w:gridCol w:w="1226"/>
      </w:tblGrid>
      <w:tr w:rsidR="0036229E" w:rsidRPr="00305EFC" w14:paraId="593504AE" w14:textId="77777777" w:rsidTr="0036229E">
        <w:trPr>
          <w:trHeight w:val="313"/>
        </w:trPr>
        <w:tc>
          <w:tcPr>
            <w:tcW w:w="1285"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6DC2F204" w14:textId="77777777" w:rsidR="00DB7B3A" w:rsidRPr="00305EFC" w:rsidRDefault="00DB7B3A" w:rsidP="00A52AEE">
            <w:pPr>
              <w:rPr>
                <w:b/>
                <w:color w:val="FFFFFF" w:themeColor="background1"/>
              </w:rPr>
            </w:pPr>
            <w:r w:rsidRPr="00305EFC">
              <w:rPr>
                <w:b/>
                <w:color w:val="FFFFFF" w:themeColor="background1"/>
              </w:rPr>
              <w:t>Provider type</w:t>
            </w:r>
          </w:p>
        </w:tc>
        <w:tc>
          <w:tcPr>
            <w:tcW w:w="3034" w:type="pct"/>
            <w:gridSpan w:val="5"/>
            <w:tcBorders>
              <w:top w:val="single" w:sz="8" w:space="0" w:color="auto"/>
              <w:left w:val="nil"/>
              <w:bottom w:val="single" w:sz="8" w:space="0" w:color="auto"/>
              <w:right w:val="single" w:sz="8" w:space="0" w:color="000000"/>
            </w:tcBorders>
            <w:shd w:val="clear" w:color="auto" w:fill="1F4E79" w:themeFill="accent1" w:themeFillShade="80"/>
            <w:vAlign w:val="bottom"/>
            <w:hideMark/>
          </w:tcPr>
          <w:p w14:paraId="6ACB6A54" w14:textId="77777777" w:rsidR="00DB7B3A" w:rsidRPr="00305EFC" w:rsidRDefault="00DB7B3A" w:rsidP="004E52FE">
            <w:pPr>
              <w:jc w:val="center"/>
              <w:rPr>
                <w:b/>
                <w:color w:val="FFFFFF" w:themeColor="background1"/>
              </w:rPr>
            </w:pPr>
            <w:r w:rsidRPr="00305EFC">
              <w:rPr>
                <w:b/>
                <w:color w:val="FFFFFF" w:themeColor="background1"/>
              </w:rPr>
              <w:t>Level 3 cohort population</w:t>
            </w:r>
          </w:p>
        </w:tc>
        <w:tc>
          <w:tcPr>
            <w:tcW w:w="681" w:type="pct"/>
            <w:vMerge w:val="restart"/>
            <w:tcBorders>
              <w:top w:val="single" w:sz="8" w:space="0" w:color="auto"/>
              <w:left w:val="nil"/>
              <w:bottom w:val="single" w:sz="8" w:space="0" w:color="000000"/>
              <w:right w:val="single" w:sz="8" w:space="0" w:color="000000"/>
            </w:tcBorders>
            <w:shd w:val="clear" w:color="auto" w:fill="1F4E79" w:themeFill="accent1" w:themeFillShade="80"/>
            <w:vAlign w:val="bottom"/>
            <w:hideMark/>
          </w:tcPr>
          <w:p w14:paraId="18BB017E" w14:textId="77777777" w:rsidR="00DB7B3A" w:rsidRPr="00305EFC" w:rsidRDefault="00DB7B3A" w:rsidP="004E52FE">
            <w:pPr>
              <w:jc w:val="center"/>
              <w:rPr>
                <w:b/>
                <w:color w:val="FFFFFF" w:themeColor="background1"/>
              </w:rPr>
            </w:pPr>
            <w:r w:rsidRPr="00305EFC">
              <w:rPr>
                <w:b/>
                <w:color w:val="FFFFFF" w:themeColor="background1"/>
              </w:rPr>
              <w:t>% growth 2007-2011</w:t>
            </w:r>
          </w:p>
        </w:tc>
      </w:tr>
      <w:tr w:rsidR="0036229E" w:rsidRPr="00305EFC" w14:paraId="23839FAE" w14:textId="77777777" w:rsidTr="0036229E">
        <w:trPr>
          <w:trHeight w:val="330"/>
        </w:trPr>
        <w:tc>
          <w:tcPr>
            <w:tcW w:w="1229"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201731B" w14:textId="77777777" w:rsidR="00DB7B3A" w:rsidRPr="00305EFC" w:rsidRDefault="00DB7B3A" w:rsidP="00A52AEE">
            <w:pPr>
              <w:rPr>
                <w:b/>
                <w:color w:val="FFFFFF" w:themeColor="background1"/>
              </w:rPr>
            </w:pPr>
          </w:p>
        </w:tc>
        <w:tc>
          <w:tcPr>
            <w:tcW w:w="615" w:type="pct"/>
            <w:tcBorders>
              <w:top w:val="nil"/>
              <w:left w:val="nil"/>
              <w:bottom w:val="single" w:sz="8" w:space="0" w:color="auto"/>
              <w:right w:val="single" w:sz="8" w:space="0" w:color="auto"/>
            </w:tcBorders>
            <w:shd w:val="clear" w:color="auto" w:fill="1F4E79" w:themeFill="accent1" w:themeFillShade="80"/>
            <w:noWrap/>
            <w:vAlign w:val="center"/>
            <w:hideMark/>
          </w:tcPr>
          <w:p w14:paraId="6CA9C239" w14:textId="77777777" w:rsidR="00DB7B3A" w:rsidRPr="00305EFC" w:rsidRDefault="00DB7B3A" w:rsidP="004E52FE">
            <w:pPr>
              <w:jc w:val="center"/>
              <w:rPr>
                <w:b/>
                <w:color w:val="FFFFFF" w:themeColor="background1"/>
              </w:rPr>
            </w:pPr>
            <w:r w:rsidRPr="00305EFC">
              <w:rPr>
                <w:b/>
                <w:color w:val="FFFFFF" w:themeColor="background1"/>
              </w:rPr>
              <w:t>2007-08</w:t>
            </w:r>
          </w:p>
        </w:tc>
        <w:tc>
          <w:tcPr>
            <w:tcW w:w="616" w:type="pct"/>
            <w:tcBorders>
              <w:top w:val="nil"/>
              <w:left w:val="nil"/>
              <w:bottom w:val="single" w:sz="8" w:space="0" w:color="auto"/>
              <w:right w:val="single" w:sz="8" w:space="0" w:color="auto"/>
            </w:tcBorders>
            <w:shd w:val="clear" w:color="auto" w:fill="1F4E79" w:themeFill="accent1" w:themeFillShade="80"/>
            <w:noWrap/>
            <w:vAlign w:val="center"/>
            <w:hideMark/>
          </w:tcPr>
          <w:p w14:paraId="478D08BB" w14:textId="77777777" w:rsidR="00DB7B3A" w:rsidRPr="00305EFC" w:rsidRDefault="00DB7B3A" w:rsidP="004E52FE">
            <w:pPr>
              <w:jc w:val="center"/>
              <w:rPr>
                <w:b/>
                <w:color w:val="FFFFFF" w:themeColor="background1"/>
              </w:rPr>
            </w:pPr>
            <w:r w:rsidRPr="00305EFC">
              <w:rPr>
                <w:b/>
                <w:color w:val="FFFFFF" w:themeColor="background1"/>
              </w:rPr>
              <w:t>2008-09</w:t>
            </w:r>
          </w:p>
        </w:tc>
        <w:tc>
          <w:tcPr>
            <w:tcW w:w="616" w:type="pct"/>
            <w:tcBorders>
              <w:top w:val="nil"/>
              <w:left w:val="nil"/>
              <w:bottom w:val="single" w:sz="8" w:space="0" w:color="auto"/>
              <w:right w:val="single" w:sz="8" w:space="0" w:color="auto"/>
            </w:tcBorders>
            <w:shd w:val="clear" w:color="auto" w:fill="1F4E79" w:themeFill="accent1" w:themeFillShade="80"/>
            <w:noWrap/>
            <w:vAlign w:val="center"/>
            <w:hideMark/>
          </w:tcPr>
          <w:p w14:paraId="0894C9E0" w14:textId="77777777" w:rsidR="00DB7B3A" w:rsidRPr="00305EFC" w:rsidRDefault="00DB7B3A" w:rsidP="004E52FE">
            <w:pPr>
              <w:jc w:val="center"/>
              <w:rPr>
                <w:b/>
                <w:color w:val="FFFFFF" w:themeColor="background1"/>
              </w:rPr>
            </w:pPr>
            <w:r w:rsidRPr="00305EFC">
              <w:rPr>
                <w:b/>
                <w:color w:val="FFFFFF" w:themeColor="background1"/>
              </w:rPr>
              <w:t>2009-10</w:t>
            </w:r>
          </w:p>
        </w:tc>
        <w:tc>
          <w:tcPr>
            <w:tcW w:w="616" w:type="pct"/>
            <w:tcBorders>
              <w:top w:val="nil"/>
              <w:left w:val="nil"/>
              <w:bottom w:val="single" w:sz="8" w:space="0" w:color="auto"/>
              <w:right w:val="single" w:sz="8" w:space="0" w:color="auto"/>
            </w:tcBorders>
            <w:shd w:val="clear" w:color="auto" w:fill="1F4E79" w:themeFill="accent1" w:themeFillShade="80"/>
            <w:noWrap/>
            <w:vAlign w:val="center"/>
            <w:hideMark/>
          </w:tcPr>
          <w:p w14:paraId="4F1144FB" w14:textId="77777777" w:rsidR="00DB7B3A" w:rsidRPr="00305EFC" w:rsidRDefault="00DB7B3A" w:rsidP="004E52FE">
            <w:pPr>
              <w:jc w:val="center"/>
              <w:rPr>
                <w:b/>
                <w:color w:val="FFFFFF" w:themeColor="background1"/>
              </w:rPr>
            </w:pPr>
            <w:r w:rsidRPr="00305EFC">
              <w:rPr>
                <w:b/>
                <w:color w:val="FFFFFF" w:themeColor="background1"/>
              </w:rPr>
              <w:t>2010-11</w:t>
            </w:r>
          </w:p>
        </w:tc>
        <w:tc>
          <w:tcPr>
            <w:tcW w:w="618" w:type="pct"/>
            <w:tcBorders>
              <w:top w:val="nil"/>
              <w:left w:val="nil"/>
              <w:bottom w:val="single" w:sz="8" w:space="0" w:color="auto"/>
              <w:right w:val="single" w:sz="8" w:space="0" w:color="auto"/>
            </w:tcBorders>
            <w:shd w:val="clear" w:color="auto" w:fill="1F4E79" w:themeFill="accent1" w:themeFillShade="80"/>
            <w:noWrap/>
            <w:vAlign w:val="center"/>
            <w:hideMark/>
          </w:tcPr>
          <w:p w14:paraId="64902A45" w14:textId="77777777" w:rsidR="00DB7B3A" w:rsidRPr="00305EFC" w:rsidRDefault="00DB7B3A" w:rsidP="004E52FE">
            <w:pPr>
              <w:jc w:val="center"/>
              <w:rPr>
                <w:b/>
                <w:color w:val="FFFFFF" w:themeColor="background1"/>
              </w:rPr>
            </w:pPr>
            <w:r w:rsidRPr="00305EFC">
              <w:rPr>
                <w:b/>
                <w:color w:val="FFFFFF" w:themeColor="background1"/>
              </w:rPr>
              <w:t>2011-12</w:t>
            </w:r>
          </w:p>
        </w:tc>
        <w:tc>
          <w:tcPr>
            <w:tcW w:w="692" w:type="pct"/>
            <w:vMerge/>
            <w:tcBorders>
              <w:top w:val="single" w:sz="8" w:space="0" w:color="auto"/>
              <w:left w:val="nil"/>
              <w:bottom w:val="single" w:sz="8" w:space="0" w:color="000000"/>
              <w:right w:val="single" w:sz="8" w:space="0" w:color="000000"/>
            </w:tcBorders>
            <w:shd w:val="clear" w:color="auto" w:fill="1F4E79" w:themeFill="accent1" w:themeFillShade="80"/>
            <w:vAlign w:val="bottom"/>
            <w:hideMark/>
          </w:tcPr>
          <w:p w14:paraId="09B29826" w14:textId="77777777" w:rsidR="00DB7B3A" w:rsidRPr="00305EFC" w:rsidRDefault="00DB7B3A" w:rsidP="00A52AEE">
            <w:pPr>
              <w:rPr>
                <w:b/>
                <w:color w:val="FFFFFF" w:themeColor="background1"/>
              </w:rPr>
            </w:pPr>
          </w:p>
        </w:tc>
      </w:tr>
      <w:tr w:rsidR="00DB7B3A" w:rsidRPr="00A52AEE" w14:paraId="1EB6FC05" w14:textId="77777777" w:rsidTr="00DD24BB">
        <w:trPr>
          <w:trHeight w:val="315"/>
        </w:trPr>
        <w:tc>
          <w:tcPr>
            <w:tcW w:w="1229" w:type="pct"/>
            <w:tcBorders>
              <w:top w:val="nil"/>
              <w:left w:val="single" w:sz="8" w:space="0" w:color="auto"/>
              <w:bottom w:val="single" w:sz="8" w:space="0" w:color="auto"/>
              <w:right w:val="single" w:sz="8" w:space="0" w:color="auto"/>
            </w:tcBorders>
            <w:shd w:val="clear" w:color="auto" w:fill="auto"/>
            <w:noWrap/>
            <w:vAlign w:val="center"/>
            <w:hideMark/>
          </w:tcPr>
          <w:p w14:paraId="0B91A0B1" w14:textId="77777777" w:rsidR="00DB7B3A" w:rsidRPr="00A52AEE" w:rsidRDefault="00DB7B3A" w:rsidP="00A52AEE">
            <w:r w:rsidRPr="00A52AEE">
              <w:t>FE College</w:t>
            </w:r>
          </w:p>
        </w:tc>
        <w:tc>
          <w:tcPr>
            <w:tcW w:w="615" w:type="pct"/>
            <w:tcBorders>
              <w:top w:val="nil"/>
              <w:left w:val="nil"/>
              <w:bottom w:val="single" w:sz="8" w:space="0" w:color="auto"/>
              <w:right w:val="single" w:sz="8" w:space="0" w:color="auto"/>
            </w:tcBorders>
            <w:shd w:val="clear" w:color="auto" w:fill="auto"/>
            <w:noWrap/>
            <w:vAlign w:val="center"/>
            <w:hideMark/>
          </w:tcPr>
          <w:p w14:paraId="6CCE6EE7" w14:textId="18017459" w:rsidR="00DB7B3A" w:rsidRPr="00A52AEE" w:rsidRDefault="00DB7B3A" w:rsidP="00FE68E8">
            <w:pPr>
              <w:jc w:val="right"/>
              <w:rPr>
                <w:rFonts w:eastAsia="Calibri"/>
              </w:rPr>
            </w:pPr>
            <w:r w:rsidRPr="00A52AEE">
              <w:t>35305</w:t>
            </w:r>
          </w:p>
        </w:tc>
        <w:tc>
          <w:tcPr>
            <w:tcW w:w="616" w:type="pct"/>
            <w:tcBorders>
              <w:top w:val="nil"/>
              <w:left w:val="nil"/>
              <w:bottom w:val="single" w:sz="8" w:space="0" w:color="auto"/>
              <w:right w:val="single" w:sz="8" w:space="0" w:color="auto"/>
            </w:tcBorders>
            <w:shd w:val="clear" w:color="auto" w:fill="auto"/>
            <w:noWrap/>
            <w:vAlign w:val="center"/>
            <w:hideMark/>
          </w:tcPr>
          <w:p w14:paraId="4681947F" w14:textId="4C14E976" w:rsidR="00DB7B3A" w:rsidRPr="00A52AEE" w:rsidRDefault="00DB7B3A" w:rsidP="00FE68E8">
            <w:pPr>
              <w:jc w:val="right"/>
              <w:rPr>
                <w:rFonts w:eastAsia="Calibri"/>
              </w:rPr>
            </w:pPr>
            <w:r w:rsidRPr="00A52AEE">
              <w:t>37370</w:t>
            </w:r>
          </w:p>
        </w:tc>
        <w:tc>
          <w:tcPr>
            <w:tcW w:w="616" w:type="pct"/>
            <w:tcBorders>
              <w:top w:val="nil"/>
              <w:left w:val="nil"/>
              <w:bottom w:val="single" w:sz="8" w:space="0" w:color="auto"/>
              <w:right w:val="single" w:sz="8" w:space="0" w:color="auto"/>
            </w:tcBorders>
            <w:shd w:val="clear" w:color="auto" w:fill="auto"/>
            <w:noWrap/>
            <w:vAlign w:val="center"/>
            <w:hideMark/>
          </w:tcPr>
          <w:p w14:paraId="742A9A49" w14:textId="015AE4DE" w:rsidR="00DB7B3A" w:rsidRPr="00A52AEE" w:rsidRDefault="00DB7B3A" w:rsidP="00FE68E8">
            <w:pPr>
              <w:jc w:val="right"/>
              <w:rPr>
                <w:rFonts w:eastAsia="Calibri"/>
              </w:rPr>
            </w:pPr>
            <w:r w:rsidRPr="00A52AEE">
              <w:t>39290</w:t>
            </w:r>
          </w:p>
        </w:tc>
        <w:tc>
          <w:tcPr>
            <w:tcW w:w="616" w:type="pct"/>
            <w:tcBorders>
              <w:top w:val="nil"/>
              <w:left w:val="nil"/>
              <w:bottom w:val="single" w:sz="8" w:space="0" w:color="auto"/>
              <w:right w:val="single" w:sz="8" w:space="0" w:color="auto"/>
            </w:tcBorders>
            <w:shd w:val="clear" w:color="auto" w:fill="auto"/>
            <w:noWrap/>
            <w:vAlign w:val="center"/>
            <w:hideMark/>
          </w:tcPr>
          <w:p w14:paraId="216DCDAB" w14:textId="166500DC" w:rsidR="00DB7B3A" w:rsidRPr="00A52AEE" w:rsidRDefault="00DB7B3A" w:rsidP="00FE68E8">
            <w:pPr>
              <w:jc w:val="right"/>
              <w:rPr>
                <w:rFonts w:eastAsia="Calibri"/>
              </w:rPr>
            </w:pPr>
            <w:r w:rsidRPr="00A52AEE">
              <w:t>35245</w:t>
            </w:r>
          </w:p>
        </w:tc>
        <w:tc>
          <w:tcPr>
            <w:tcW w:w="618" w:type="pct"/>
            <w:tcBorders>
              <w:top w:val="nil"/>
              <w:left w:val="nil"/>
              <w:bottom w:val="single" w:sz="8" w:space="0" w:color="auto"/>
              <w:right w:val="single" w:sz="8" w:space="0" w:color="auto"/>
            </w:tcBorders>
            <w:shd w:val="clear" w:color="auto" w:fill="auto"/>
            <w:noWrap/>
            <w:vAlign w:val="center"/>
            <w:hideMark/>
          </w:tcPr>
          <w:p w14:paraId="0C77E95F" w14:textId="684CAAB2" w:rsidR="00DB7B3A" w:rsidRPr="00A52AEE" w:rsidRDefault="00DB7B3A" w:rsidP="00FE68E8">
            <w:pPr>
              <w:jc w:val="right"/>
              <w:rPr>
                <w:rFonts w:eastAsia="Calibri"/>
              </w:rPr>
            </w:pPr>
            <w:r w:rsidRPr="00A52AEE">
              <w:t>38810</w:t>
            </w:r>
          </w:p>
        </w:tc>
        <w:tc>
          <w:tcPr>
            <w:tcW w:w="692" w:type="pct"/>
            <w:tcBorders>
              <w:top w:val="nil"/>
              <w:left w:val="nil"/>
              <w:bottom w:val="single" w:sz="8" w:space="0" w:color="auto"/>
              <w:right w:val="single" w:sz="8" w:space="0" w:color="auto"/>
            </w:tcBorders>
            <w:shd w:val="clear" w:color="auto" w:fill="auto"/>
            <w:vAlign w:val="center"/>
            <w:hideMark/>
          </w:tcPr>
          <w:p w14:paraId="6F40A997" w14:textId="2BC55B02" w:rsidR="00DB7B3A" w:rsidRPr="00A52AEE" w:rsidRDefault="00DB7B3A" w:rsidP="00FE68E8">
            <w:pPr>
              <w:jc w:val="right"/>
            </w:pPr>
            <w:r w:rsidRPr="00A52AEE">
              <w:t>10%</w:t>
            </w:r>
          </w:p>
        </w:tc>
      </w:tr>
      <w:tr w:rsidR="00DB7B3A" w:rsidRPr="00A52AEE" w14:paraId="22E89FE0" w14:textId="77777777" w:rsidTr="00DB7B3A">
        <w:trPr>
          <w:trHeight w:val="31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6CEF1086" w14:textId="77777777" w:rsidR="00DB7B3A" w:rsidRPr="00A52AEE" w:rsidRDefault="00DB7B3A" w:rsidP="00A52AEE">
            <w:r w:rsidRPr="00A52AEE">
              <w:t>Sixth Form College</w:t>
            </w:r>
          </w:p>
        </w:tc>
        <w:tc>
          <w:tcPr>
            <w:tcW w:w="606" w:type="pct"/>
            <w:tcBorders>
              <w:top w:val="nil"/>
              <w:left w:val="nil"/>
              <w:bottom w:val="single" w:sz="8" w:space="0" w:color="auto"/>
              <w:right w:val="single" w:sz="8" w:space="0" w:color="auto"/>
            </w:tcBorders>
            <w:shd w:val="clear" w:color="auto" w:fill="auto"/>
            <w:noWrap/>
            <w:vAlign w:val="center"/>
            <w:hideMark/>
          </w:tcPr>
          <w:p w14:paraId="2A59D42D" w14:textId="585ABCBC" w:rsidR="00DB7B3A" w:rsidRPr="00A52AEE" w:rsidRDefault="00DB7B3A" w:rsidP="00FE68E8">
            <w:pPr>
              <w:jc w:val="right"/>
              <w:rPr>
                <w:rFonts w:eastAsia="Calibri"/>
              </w:rPr>
            </w:pPr>
            <w:r w:rsidRPr="00A52AEE">
              <w:t>6755</w:t>
            </w:r>
          </w:p>
        </w:tc>
        <w:tc>
          <w:tcPr>
            <w:tcW w:w="607" w:type="pct"/>
            <w:tcBorders>
              <w:top w:val="nil"/>
              <w:left w:val="nil"/>
              <w:bottom w:val="single" w:sz="8" w:space="0" w:color="auto"/>
              <w:right w:val="single" w:sz="8" w:space="0" w:color="auto"/>
            </w:tcBorders>
            <w:shd w:val="clear" w:color="auto" w:fill="auto"/>
            <w:noWrap/>
            <w:vAlign w:val="center"/>
            <w:hideMark/>
          </w:tcPr>
          <w:p w14:paraId="532D809D" w14:textId="3456474E" w:rsidR="00DB7B3A" w:rsidRPr="00A52AEE" w:rsidRDefault="00DB7B3A" w:rsidP="00FE68E8">
            <w:pPr>
              <w:jc w:val="right"/>
              <w:rPr>
                <w:rFonts w:eastAsia="Calibri"/>
              </w:rPr>
            </w:pPr>
            <w:r w:rsidRPr="00A52AEE">
              <w:t>6770</w:t>
            </w:r>
          </w:p>
        </w:tc>
        <w:tc>
          <w:tcPr>
            <w:tcW w:w="607" w:type="pct"/>
            <w:tcBorders>
              <w:top w:val="nil"/>
              <w:left w:val="nil"/>
              <w:bottom w:val="single" w:sz="8" w:space="0" w:color="auto"/>
              <w:right w:val="single" w:sz="8" w:space="0" w:color="auto"/>
            </w:tcBorders>
            <w:shd w:val="clear" w:color="auto" w:fill="auto"/>
            <w:noWrap/>
            <w:vAlign w:val="center"/>
            <w:hideMark/>
          </w:tcPr>
          <w:p w14:paraId="13ABDEB4" w14:textId="5815EE60" w:rsidR="00DB7B3A" w:rsidRPr="00A52AEE" w:rsidRDefault="00DB7B3A" w:rsidP="00FE68E8">
            <w:pPr>
              <w:jc w:val="right"/>
              <w:rPr>
                <w:rFonts w:eastAsia="Calibri"/>
              </w:rPr>
            </w:pPr>
            <w:r w:rsidRPr="00A52AEE">
              <w:t>6795</w:t>
            </w:r>
          </w:p>
        </w:tc>
        <w:tc>
          <w:tcPr>
            <w:tcW w:w="607" w:type="pct"/>
            <w:tcBorders>
              <w:top w:val="nil"/>
              <w:left w:val="nil"/>
              <w:bottom w:val="single" w:sz="8" w:space="0" w:color="auto"/>
              <w:right w:val="single" w:sz="8" w:space="0" w:color="auto"/>
            </w:tcBorders>
            <w:shd w:val="clear" w:color="auto" w:fill="auto"/>
            <w:noWrap/>
            <w:vAlign w:val="center"/>
            <w:hideMark/>
          </w:tcPr>
          <w:p w14:paraId="438B66CC" w14:textId="6D0ACF52" w:rsidR="00DB7B3A" w:rsidRPr="00A52AEE" w:rsidRDefault="00DB7B3A" w:rsidP="00FE68E8">
            <w:pPr>
              <w:jc w:val="right"/>
              <w:rPr>
                <w:rFonts w:eastAsia="Calibri"/>
              </w:rPr>
            </w:pPr>
            <w:r w:rsidRPr="00A52AEE">
              <w:t>7590</w:t>
            </w:r>
          </w:p>
        </w:tc>
        <w:tc>
          <w:tcPr>
            <w:tcW w:w="608" w:type="pct"/>
            <w:tcBorders>
              <w:top w:val="nil"/>
              <w:left w:val="nil"/>
              <w:bottom w:val="single" w:sz="8" w:space="0" w:color="auto"/>
              <w:right w:val="single" w:sz="8" w:space="0" w:color="auto"/>
            </w:tcBorders>
            <w:shd w:val="clear" w:color="auto" w:fill="auto"/>
            <w:noWrap/>
            <w:vAlign w:val="center"/>
            <w:hideMark/>
          </w:tcPr>
          <w:p w14:paraId="55F37DEB" w14:textId="39DED82E" w:rsidR="00DB7B3A" w:rsidRPr="00A52AEE" w:rsidRDefault="00DB7B3A" w:rsidP="00FE68E8">
            <w:pPr>
              <w:jc w:val="right"/>
              <w:rPr>
                <w:rFonts w:eastAsia="Calibri"/>
              </w:rPr>
            </w:pPr>
            <w:r w:rsidRPr="00A52AEE">
              <w:t>7575</w:t>
            </w:r>
          </w:p>
        </w:tc>
        <w:tc>
          <w:tcPr>
            <w:tcW w:w="681" w:type="pct"/>
            <w:tcBorders>
              <w:top w:val="nil"/>
              <w:left w:val="nil"/>
              <w:bottom w:val="single" w:sz="8" w:space="0" w:color="auto"/>
              <w:right w:val="single" w:sz="8" w:space="0" w:color="auto"/>
            </w:tcBorders>
            <w:shd w:val="clear" w:color="auto" w:fill="auto"/>
            <w:vAlign w:val="center"/>
            <w:hideMark/>
          </w:tcPr>
          <w:p w14:paraId="79328A17" w14:textId="7E086459" w:rsidR="00DB7B3A" w:rsidRPr="00A52AEE" w:rsidRDefault="00DB7B3A" w:rsidP="00FE68E8">
            <w:pPr>
              <w:jc w:val="right"/>
            </w:pPr>
            <w:r w:rsidRPr="00A52AEE">
              <w:t>12%</w:t>
            </w:r>
          </w:p>
        </w:tc>
      </w:tr>
      <w:tr w:rsidR="00DB7B3A" w:rsidRPr="00A52AEE" w14:paraId="0B4ABFAE" w14:textId="77777777" w:rsidTr="00DB7B3A">
        <w:trPr>
          <w:trHeight w:val="31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14A103E" w14:textId="1539EF6B" w:rsidR="00DB7B3A" w:rsidRPr="00A52AEE" w:rsidRDefault="0082463B" w:rsidP="00A52AEE">
            <w:r w:rsidRPr="00A52AEE">
              <w:t>T</w:t>
            </w:r>
            <w:r w:rsidR="00DB7B3A" w:rsidRPr="00A52AEE">
              <w:t>otal</w:t>
            </w:r>
          </w:p>
        </w:tc>
        <w:tc>
          <w:tcPr>
            <w:tcW w:w="606" w:type="pct"/>
            <w:tcBorders>
              <w:top w:val="nil"/>
              <w:left w:val="nil"/>
              <w:bottom w:val="single" w:sz="8" w:space="0" w:color="auto"/>
              <w:right w:val="single" w:sz="8" w:space="0" w:color="auto"/>
            </w:tcBorders>
            <w:shd w:val="clear" w:color="auto" w:fill="auto"/>
            <w:noWrap/>
            <w:vAlign w:val="center"/>
            <w:hideMark/>
          </w:tcPr>
          <w:p w14:paraId="215DF963" w14:textId="1C65D82D" w:rsidR="00DB7B3A" w:rsidRPr="00A52AEE" w:rsidRDefault="00DB7B3A" w:rsidP="00FE68E8">
            <w:pPr>
              <w:jc w:val="right"/>
              <w:rPr>
                <w:rFonts w:eastAsia="Calibri"/>
              </w:rPr>
            </w:pPr>
            <w:r w:rsidRPr="00A52AEE">
              <w:t>42060</w:t>
            </w:r>
          </w:p>
        </w:tc>
        <w:tc>
          <w:tcPr>
            <w:tcW w:w="607" w:type="pct"/>
            <w:tcBorders>
              <w:top w:val="nil"/>
              <w:left w:val="nil"/>
              <w:bottom w:val="single" w:sz="8" w:space="0" w:color="auto"/>
              <w:right w:val="single" w:sz="8" w:space="0" w:color="auto"/>
            </w:tcBorders>
            <w:shd w:val="clear" w:color="auto" w:fill="auto"/>
            <w:noWrap/>
            <w:vAlign w:val="center"/>
            <w:hideMark/>
          </w:tcPr>
          <w:p w14:paraId="2D34FCCB" w14:textId="78F82F3E" w:rsidR="00DB7B3A" w:rsidRPr="00A52AEE" w:rsidRDefault="00DB7B3A" w:rsidP="00FE68E8">
            <w:pPr>
              <w:jc w:val="right"/>
              <w:rPr>
                <w:rFonts w:eastAsia="Calibri"/>
              </w:rPr>
            </w:pPr>
            <w:r w:rsidRPr="00A52AEE">
              <w:t>44140</w:t>
            </w:r>
          </w:p>
        </w:tc>
        <w:tc>
          <w:tcPr>
            <w:tcW w:w="607" w:type="pct"/>
            <w:tcBorders>
              <w:top w:val="nil"/>
              <w:left w:val="nil"/>
              <w:bottom w:val="single" w:sz="8" w:space="0" w:color="auto"/>
              <w:right w:val="single" w:sz="8" w:space="0" w:color="auto"/>
            </w:tcBorders>
            <w:shd w:val="clear" w:color="auto" w:fill="auto"/>
            <w:noWrap/>
            <w:vAlign w:val="center"/>
            <w:hideMark/>
          </w:tcPr>
          <w:p w14:paraId="64D2C991" w14:textId="07745E41" w:rsidR="00DB7B3A" w:rsidRPr="00A52AEE" w:rsidRDefault="00DB7B3A" w:rsidP="00FE68E8">
            <w:pPr>
              <w:jc w:val="right"/>
              <w:rPr>
                <w:rFonts w:eastAsia="Calibri"/>
              </w:rPr>
            </w:pPr>
            <w:r w:rsidRPr="00A52AEE">
              <w:t>46085</w:t>
            </w:r>
          </w:p>
        </w:tc>
        <w:tc>
          <w:tcPr>
            <w:tcW w:w="607" w:type="pct"/>
            <w:tcBorders>
              <w:top w:val="nil"/>
              <w:left w:val="nil"/>
              <w:bottom w:val="single" w:sz="8" w:space="0" w:color="auto"/>
              <w:right w:val="single" w:sz="8" w:space="0" w:color="auto"/>
            </w:tcBorders>
            <w:shd w:val="clear" w:color="auto" w:fill="auto"/>
            <w:noWrap/>
            <w:vAlign w:val="center"/>
            <w:hideMark/>
          </w:tcPr>
          <w:p w14:paraId="058BA701" w14:textId="2E95A9F3" w:rsidR="00DB7B3A" w:rsidRPr="00A52AEE" w:rsidRDefault="00DB7B3A" w:rsidP="00FE68E8">
            <w:pPr>
              <w:jc w:val="right"/>
              <w:rPr>
                <w:rFonts w:eastAsia="Calibri"/>
              </w:rPr>
            </w:pPr>
            <w:r w:rsidRPr="00A52AEE">
              <w:t>42835</w:t>
            </w:r>
          </w:p>
        </w:tc>
        <w:tc>
          <w:tcPr>
            <w:tcW w:w="608" w:type="pct"/>
            <w:tcBorders>
              <w:top w:val="nil"/>
              <w:left w:val="nil"/>
              <w:bottom w:val="single" w:sz="8" w:space="0" w:color="auto"/>
              <w:right w:val="single" w:sz="8" w:space="0" w:color="auto"/>
            </w:tcBorders>
            <w:shd w:val="clear" w:color="auto" w:fill="auto"/>
            <w:noWrap/>
            <w:vAlign w:val="center"/>
            <w:hideMark/>
          </w:tcPr>
          <w:p w14:paraId="59929758" w14:textId="61D6B5BB" w:rsidR="00DB7B3A" w:rsidRPr="00A52AEE" w:rsidRDefault="00C51CA7" w:rsidP="00FE68E8">
            <w:pPr>
              <w:jc w:val="right"/>
              <w:rPr>
                <w:rFonts w:eastAsia="Calibri"/>
              </w:rPr>
            </w:pPr>
            <w:r>
              <w:fldChar w:fldCharType="begin"/>
            </w:r>
            <w:r>
              <w:instrText xml:space="preserve"> =SUM(ABOVE) </w:instrText>
            </w:r>
            <w:r>
              <w:fldChar w:fldCharType="separate"/>
            </w:r>
            <w:r>
              <w:rPr>
                <w:noProof/>
              </w:rPr>
              <w:t>46385</w:t>
            </w:r>
            <w:r>
              <w:fldChar w:fldCharType="end"/>
            </w:r>
          </w:p>
        </w:tc>
        <w:tc>
          <w:tcPr>
            <w:tcW w:w="681" w:type="pct"/>
            <w:tcBorders>
              <w:top w:val="nil"/>
              <w:left w:val="nil"/>
              <w:bottom w:val="single" w:sz="8" w:space="0" w:color="auto"/>
              <w:right w:val="single" w:sz="8" w:space="0" w:color="auto"/>
            </w:tcBorders>
            <w:shd w:val="clear" w:color="auto" w:fill="auto"/>
            <w:vAlign w:val="center"/>
            <w:hideMark/>
          </w:tcPr>
          <w:p w14:paraId="67C4FDD5" w14:textId="56AB5332" w:rsidR="00DB7B3A" w:rsidRPr="00A52AEE" w:rsidRDefault="00DB7B3A" w:rsidP="00FE68E8">
            <w:pPr>
              <w:jc w:val="right"/>
            </w:pPr>
            <w:r w:rsidRPr="00A52AEE">
              <w:t>10%</w:t>
            </w:r>
          </w:p>
        </w:tc>
      </w:tr>
    </w:tbl>
    <w:p w14:paraId="4DA82DE2" w14:textId="31B1ACC8" w:rsidR="00DB7B3A" w:rsidRPr="00A52AEE" w:rsidRDefault="00DB7B3A" w:rsidP="00A52AEE"/>
    <w:p w14:paraId="54E3E305" w14:textId="3DD010B2" w:rsidR="00DB7B3A" w:rsidRPr="00A52AEE" w:rsidRDefault="00DB7B3A" w:rsidP="00A52AEE">
      <w:r w:rsidRPr="00A52AEE">
        <w:t xml:space="preserve">Figure 1 illustrates the </w:t>
      </w:r>
      <w:r w:rsidR="0021637B" w:rsidRPr="00A52AEE">
        <w:t>Level</w:t>
      </w:r>
      <w:r w:rsidRPr="00A52AEE">
        <w:t xml:space="preserve"> 3 course breakdown by institution type, showing that tracked cohorts in </w:t>
      </w:r>
      <w:r w:rsidR="0076166E" w:rsidRPr="00A52AEE">
        <w:t>London</w:t>
      </w:r>
      <w:r w:rsidRPr="00A52AEE">
        <w:t xml:space="preserve"> colleges were studying a whole range of </w:t>
      </w:r>
      <w:r w:rsidR="0021637B" w:rsidRPr="00A52AEE">
        <w:t>Level</w:t>
      </w:r>
      <w:r w:rsidRPr="00A52AEE">
        <w:t xml:space="preserve"> 3 courses</w:t>
      </w:r>
      <w:r w:rsidR="0014706B" w:rsidRPr="00A52AEE">
        <w:t xml:space="preserve"> whilst students in Sixth Form Colleges were studying mainly BTEC and A </w:t>
      </w:r>
      <w:r w:rsidR="0021637B" w:rsidRPr="00A52AEE">
        <w:t>Level</w:t>
      </w:r>
      <w:r w:rsidRPr="00A52AEE">
        <w:t xml:space="preserve">. It is also notable that BTEC </w:t>
      </w:r>
      <w:r w:rsidR="00BD5EF5" w:rsidRPr="00A52AEE">
        <w:t>numbers</w:t>
      </w:r>
      <w:r w:rsidRPr="00A52AEE">
        <w:t xml:space="preserve"> in both institution types grew considerably between the earliest and latest cohorts. </w:t>
      </w:r>
    </w:p>
    <w:p w14:paraId="458924E3" w14:textId="77777777" w:rsidR="00DB7B3A" w:rsidRPr="00A52AEE" w:rsidRDefault="00DB7B3A" w:rsidP="00A52AEE"/>
    <w:p w14:paraId="2EC3D522" w14:textId="77777777" w:rsidR="0036229E" w:rsidRPr="00A52AEE" w:rsidRDefault="0036229E" w:rsidP="00A52AEE"/>
    <w:p w14:paraId="721D5647" w14:textId="77777777" w:rsidR="00BD5EF5" w:rsidRPr="00A52AEE" w:rsidRDefault="00BD5EF5" w:rsidP="00A52AEE"/>
    <w:p w14:paraId="1D3D214D" w14:textId="77777777" w:rsidR="00FE68E8" w:rsidRDefault="00FE68E8" w:rsidP="00A52AEE">
      <w:pPr>
        <w:rPr>
          <w:b/>
        </w:rPr>
      </w:pPr>
    </w:p>
    <w:p w14:paraId="1F84E3BE" w14:textId="77777777" w:rsidR="00FE68E8" w:rsidRDefault="00FE68E8" w:rsidP="00A52AEE">
      <w:pPr>
        <w:rPr>
          <w:b/>
        </w:rPr>
      </w:pPr>
    </w:p>
    <w:p w14:paraId="69BB7924" w14:textId="77777777" w:rsidR="00FE68E8" w:rsidRDefault="00FE68E8" w:rsidP="00A52AEE">
      <w:pPr>
        <w:rPr>
          <w:b/>
        </w:rPr>
      </w:pPr>
    </w:p>
    <w:p w14:paraId="2DBD4264" w14:textId="77777777" w:rsidR="004E52FE" w:rsidRDefault="004E52FE" w:rsidP="00A52AEE">
      <w:pPr>
        <w:rPr>
          <w:b/>
        </w:rPr>
      </w:pPr>
    </w:p>
    <w:p w14:paraId="3958EBC9" w14:textId="75ABE5D8" w:rsidR="00DB7B3A" w:rsidRPr="00305EFC" w:rsidRDefault="00DB7B3A" w:rsidP="00A52AEE">
      <w:pPr>
        <w:rPr>
          <w:b/>
        </w:rPr>
      </w:pPr>
      <w:r w:rsidRPr="00305EFC">
        <w:rPr>
          <w:b/>
        </w:rPr>
        <w:lastRenderedPageBreak/>
        <w:t xml:space="preserve">Figure 1:  Chart </w:t>
      </w:r>
      <w:r w:rsidR="0021637B" w:rsidRPr="00305EFC">
        <w:rPr>
          <w:b/>
        </w:rPr>
        <w:t xml:space="preserve">showing breakdown of </w:t>
      </w:r>
      <w:r w:rsidR="00167733" w:rsidRPr="00305EFC">
        <w:rPr>
          <w:b/>
        </w:rPr>
        <w:t xml:space="preserve">the </w:t>
      </w:r>
      <w:r w:rsidR="0021637B" w:rsidRPr="00305EFC">
        <w:rPr>
          <w:b/>
        </w:rPr>
        <w:t>cohort</w:t>
      </w:r>
      <w:r w:rsidR="00167733" w:rsidRPr="00305EFC">
        <w:rPr>
          <w:b/>
        </w:rPr>
        <w:t>s</w:t>
      </w:r>
      <w:r w:rsidR="0021637B" w:rsidRPr="00305EFC">
        <w:rPr>
          <w:b/>
        </w:rPr>
        <w:t xml:space="preserve"> by i</w:t>
      </w:r>
      <w:r w:rsidRPr="00305EFC">
        <w:rPr>
          <w:b/>
        </w:rPr>
        <w:t xml:space="preserve">nstitution type and </w:t>
      </w:r>
      <w:r w:rsidR="0021637B" w:rsidRPr="00305EFC">
        <w:rPr>
          <w:b/>
        </w:rPr>
        <w:t>Level</w:t>
      </w:r>
      <w:r w:rsidRPr="00305EFC">
        <w:rPr>
          <w:b/>
        </w:rPr>
        <w:t xml:space="preserve"> 3 </w:t>
      </w:r>
      <w:r w:rsidR="00167733" w:rsidRPr="00305EFC">
        <w:rPr>
          <w:b/>
        </w:rPr>
        <w:t>qualification studied</w:t>
      </w:r>
    </w:p>
    <w:p w14:paraId="29D4470E" w14:textId="77777777" w:rsidR="0036229E" w:rsidRPr="00A52AEE" w:rsidRDefault="0036229E" w:rsidP="00A52AEE"/>
    <w:p w14:paraId="12A3D1BB" w14:textId="7A2528A5" w:rsidR="00DB7B3A" w:rsidRPr="00A52AEE" w:rsidRDefault="00B720B5" w:rsidP="00A52AEE">
      <w:pPr>
        <w:rPr>
          <w:rFonts w:cs="Arial"/>
        </w:rPr>
      </w:pPr>
      <w:r w:rsidRPr="00A52AEE">
        <w:rPr>
          <w:noProof/>
          <w:bdr w:val="single" w:sz="4" w:space="0" w:color="auto"/>
          <w:lang w:eastAsia="en-GB"/>
        </w:rPr>
        <w:drawing>
          <wp:inline distT="0" distB="0" distL="0" distR="0" wp14:anchorId="7E9534A7" wp14:editId="15B92A7B">
            <wp:extent cx="6048375" cy="4495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31C7F9" w14:textId="77777777" w:rsidR="002C6E12" w:rsidRPr="00A52AEE" w:rsidRDefault="002C6E12" w:rsidP="008D527A">
      <w:pPr>
        <w:pStyle w:val="Heading2"/>
      </w:pPr>
    </w:p>
    <w:p w14:paraId="552CE758" w14:textId="15A952C7" w:rsidR="002C6E12" w:rsidRPr="00A52AEE" w:rsidRDefault="00771DD0" w:rsidP="008D527A">
      <w:pPr>
        <w:pStyle w:val="Heading2"/>
      </w:pPr>
      <w:bookmarkStart w:id="81" w:name="_Toc429151311"/>
      <w:r>
        <w:t>4</w:t>
      </w:r>
      <w:r w:rsidR="00E012DF" w:rsidRPr="00A52AEE">
        <w:t>.7</w:t>
      </w:r>
      <w:r w:rsidR="00E012DF" w:rsidRPr="00A52AEE">
        <w:tab/>
      </w:r>
      <w:r w:rsidR="00167733" w:rsidRPr="00A52AEE">
        <w:t xml:space="preserve">Breakdown of the </w:t>
      </w:r>
      <w:r w:rsidR="00E012DF" w:rsidRPr="00A52AEE">
        <w:t>cohort figures</w:t>
      </w:r>
      <w:r w:rsidR="00167733" w:rsidRPr="00A52AEE">
        <w:t xml:space="preserve"> by individual college</w:t>
      </w:r>
      <w:bookmarkEnd w:id="81"/>
    </w:p>
    <w:p w14:paraId="36B3FA94" w14:textId="520D263F" w:rsidR="002C6E12" w:rsidRPr="00A52AEE" w:rsidRDefault="00A54AE3" w:rsidP="00A52AEE">
      <w:r>
        <w:t xml:space="preserve">Table 7 </w:t>
      </w:r>
      <w:r w:rsidR="002C6E12" w:rsidRPr="00A52AEE">
        <w:t>provides a breakdown of the tracked cohort by institution.</w:t>
      </w:r>
      <w:r w:rsidR="00305EFC">
        <w:t xml:space="preserve">  During the period this report spans, some colleges have merged.  The college listings give the data for colleges reported in the ILRs for the cohort years.</w:t>
      </w:r>
    </w:p>
    <w:p w14:paraId="31A0D0EA" w14:textId="77777777" w:rsidR="002C6E12" w:rsidRPr="00A52AEE" w:rsidRDefault="002C6E12" w:rsidP="00A52AEE"/>
    <w:p w14:paraId="017B6FFD" w14:textId="68918450" w:rsidR="002C6E12" w:rsidRPr="00305EFC" w:rsidRDefault="002C6E12" w:rsidP="00A52AEE">
      <w:pPr>
        <w:rPr>
          <w:b/>
        </w:rPr>
      </w:pPr>
      <w:r w:rsidRPr="00305EFC">
        <w:rPr>
          <w:b/>
        </w:rPr>
        <w:t xml:space="preserve">Table 7: Cohort breakdown by </w:t>
      </w:r>
      <w:r w:rsidR="00E012DF" w:rsidRPr="00305EFC">
        <w:rPr>
          <w:b/>
        </w:rPr>
        <w:t>i</w:t>
      </w:r>
      <w:r w:rsidRPr="00305EFC">
        <w:rPr>
          <w:b/>
        </w:rPr>
        <w:t>nstitution</w:t>
      </w:r>
    </w:p>
    <w:p w14:paraId="6C3B5D1E" w14:textId="77777777" w:rsidR="00E012DF" w:rsidRPr="00A52AEE" w:rsidRDefault="00E012DF" w:rsidP="00A52AEE"/>
    <w:tbl>
      <w:tblPr>
        <w:tblW w:w="5043" w:type="pct"/>
        <w:tblLayout w:type="fixed"/>
        <w:tblLook w:val="04A0" w:firstRow="1" w:lastRow="0" w:firstColumn="1" w:lastColumn="0" w:noHBand="0" w:noVBand="1"/>
      </w:tblPr>
      <w:tblGrid>
        <w:gridCol w:w="2739"/>
        <w:gridCol w:w="830"/>
        <w:gridCol w:w="554"/>
        <w:gridCol w:w="830"/>
        <w:gridCol w:w="554"/>
        <w:gridCol w:w="830"/>
        <w:gridCol w:w="556"/>
        <w:gridCol w:w="830"/>
        <w:gridCol w:w="554"/>
        <w:gridCol w:w="830"/>
        <w:gridCol w:w="546"/>
      </w:tblGrid>
      <w:tr w:rsidR="00855E4A" w:rsidRPr="00305EFC" w14:paraId="14036BD8" w14:textId="77777777" w:rsidTr="00855E4A">
        <w:trPr>
          <w:trHeight w:val="407"/>
          <w:tblHeader/>
        </w:trPr>
        <w:tc>
          <w:tcPr>
            <w:tcW w:w="1418"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B8ECD65" w14:textId="51BE80C4" w:rsidR="002C6E12" w:rsidRPr="00305EFC" w:rsidRDefault="00E012DF" w:rsidP="00A52AEE">
            <w:pPr>
              <w:rPr>
                <w:b/>
                <w:color w:val="FFFFFF" w:themeColor="background1"/>
                <w:lang w:eastAsia="en-GB"/>
              </w:rPr>
            </w:pPr>
            <w:r w:rsidRPr="00305EFC">
              <w:rPr>
                <w:b/>
                <w:color w:val="FFFFFF" w:themeColor="background1"/>
                <w:lang w:eastAsia="en-GB"/>
              </w:rPr>
              <w:t>Institution </w:t>
            </w:r>
          </w:p>
        </w:tc>
        <w:tc>
          <w:tcPr>
            <w:tcW w:w="717"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06A898A" w14:textId="77777777" w:rsidR="002C6E12" w:rsidRPr="00305EFC" w:rsidRDefault="002C6E12" w:rsidP="00A52AEE">
            <w:pPr>
              <w:rPr>
                <w:b/>
                <w:color w:val="FFFFFF" w:themeColor="background1"/>
                <w:lang w:eastAsia="en-GB"/>
              </w:rPr>
            </w:pPr>
            <w:r w:rsidRPr="00305EFC">
              <w:rPr>
                <w:b/>
                <w:color w:val="FFFFFF" w:themeColor="background1"/>
                <w:lang w:eastAsia="en-GB"/>
              </w:rPr>
              <w:t>2007-08</w:t>
            </w:r>
          </w:p>
        </w:tc>
        <w:tc>
          <w:tcPr>
            <w:tcW w:w="717"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E18AD77" w14:textId="04DB3452" w:rsidR="00855E4A" w:rsidRPr="00305EFC" w:rsidRDefault="002C6E12" w:rsidP="00855E4A">
            <w:pPr>
              <w:rPr>
                <w:b/>
                <w:color w:val="FFFFFF" w:themeColor="background1"/>
                <w:lang w:eastAsia="en-GB"/>
              </w:rPr>
            </w:pPr>
            <w:r w:rsidRPr="00305EFC">
              <w:rPr>
                <w:b/>
                <w:color w:val="FFFFFF" w:themeColor="background1"/>
                <w:lang w:eastAsia="en-GB"/>
              </w:rPr>
              <w:t>2008-09</w:t>
            </w:r>
          </w:p>
        </w:tc>
        <w:tc>
          <w:tcPr>
            <w:tcW w:w="718"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3C36D66" w14:textId="77777777" w:rsidR="002C6E12" w:rsidRPr="00305EFC" w:rsidRDefault="002C6E12" w:rsidP="00A52AEE">
            <w:pPr>
              <w:rPr>
                <w:b/>
                <w:color w:val="FFFFFF" w:themeColor="background1"/>
                <w:lang w:eastAsia="en-GB"/>
              </w:rPr>
            </w:pPr>
            <w:r w:rsidRPr="00305EFC">
              <w:rPr>
                <w:b/>
                <w:color w:val="FFFFFF" w:themeColor="background1"/>
                <w:lang w:eastAsia="en-GB"/>
              </w:rPr>
              <w:t>2009-10</w:t>
            </w:r>
          </w:p>
        </w:tc>
        <w:tc>
          <w:tcPr>
            <w:tcW w:w="717"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B489A3F" w14:textId="77777777" w:rsidR="002C6E12" w:rsidRPr="00305EFC" w:rsidRDefault="002C6E12" w:rsidP="00A52AEE">
            <w:pPr>
              <w:rPr>
                <w:b/>
                <w:color w:val="FFFFFF" w:themeColor="background1"/>
                <w:lang w:eastAsia="en-GB"/>
              </w:rPr>
            </w:pPr>
            <w:r w:rsidRPr="00305EFC">
              <w:rPr>
                <w:b/>
                <w:color w:val="FFFFFF" w:themeColor="background1"/>
                <w:lang w:eastAsia="en-GB"/>
              </w:rPr>
              <w:t>2010-11</w:t>
            </w:r>
          </w:p>
        </w:tc>
        <w:tc>
          <w:tcPr>
            <w:tcW w:w="713"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B526BEF" w14:textId="77777777" w:rsidR="002C6E12" w:rsidRPr="00305EFC" w:rsidRDefault="002C6E12" w:rsidP="00A52AEE">
            <w:pPr>
              <w:rPr>
                <w:b/>
                <w:color w:val="FFFFFF" w:themeColor="background1"/>
                <w:lang w:eastAsia="en-GB"/>
              </w:rPr>
            </w:pPr>
            <w:r w:rsidRPr="00305EFC">
              <w:rPr>
                <w:b/>
                <w:color w:val="FFFFFF" w:themeColor="background1"/>
                <w:lang w:eastAsia="en-GB"/>
              </w:rPr>
              <w:t>2011-12</w:t>
            </w:r>
          </w:p>
        </w:tc>
      </w:tr>
      <w:tr w:rsidR="00305EFC" w:rsidRPr="00305EFC" w14:paraId="59F569CC" w14:textId="77777777" w:rsidTr="00855E4A">
        <w:trPr>
          <w:cantSplit/>
          <w:trHeight w:val="1199"/>
          <w:tblHeader/>
        </w:trPr>
        <w:tc>
          <w:tcPr>
            <w:tcW w:w="1418"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24D03E6" w14:textId="77777777" w:rsidR="002C6E12" w:rsidRPr="00305EFC" w:rsidRDefault="002C6E12" w:rsidP="00A52AEE">
            <w:pPr>
              <w:rPr>
                <w:b/>
                <w:color w:val="FFFFFF" w:themeColor="background1"/>
                <w:lang w:eastAsia="en-GB"/>
              </w:rPr>
            </w:pPr>
          </w:p>
        </w:tc>
        <w:tc>
          <w:tcPr>
            <w:tcW w:w="43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3F9B84DE"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Number</w:t>
            </w:r>
          </w:p>
        </w:tc>
        <w:tc>
          <w:tcPr>
            <w:tcW w:w="287"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4C450B38"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 of Total</w:t>
            </w:r>
          </w:p>
        </w:tc>
        <w:tc>
          <w:tcPr>
            <w:tcW w:w="43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0FCC43A1"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Number</w:t>
            </w:r>
          </w:p>
        </w:tc>
        <w:tc>
          <w:tcPr>
            <w:tcW w:w="287"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2A4B3AA0"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 of Total</w:t>
            </w:r>
          </w:p>
        </w:tc>
        <w:tc>
          <w:tcPr>
            <w:tcW w:w="43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2314DC60"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Number</w:t>
            </w:r>
          </w:p>
        </w:tc>
        <w:tc>
          <w:tcPr>
            <w:tcW w:w="288"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725716F4"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 of Total</w:t>
            </w:r>
          </w:p>
        </w:tc>
        <w:tc>
          <w:tcPr>
            <w:tcW w:w="43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121884CE"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Number</w:t>
            </w:r>
          </w:p>
        </w:tc>
        <w:tc>
          <w:tcPr>
            <w:tcW w:w="287"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51AB978B"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 of Total</w:t>
            </w:r>
          </w:p>
        </w:tc>
        <w:tc>
          <w:tcPr>
            <w:tcW w:w="43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3EE19EFD"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Number</w:t>
            </w:r>
          </w:p>
        </w:tc>
        <w:tc>
          <w:tcPr>
            <w:tcW w:w="283"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709D3489" w14:textId="77777777" w:rsidR="002C6E12" w:rsidRPr="00305EFC" w:rsidRDefault="002C6E12" w:rsidP="00305EFC">
            <w:pPr>
              <w:jc w:val="center"/>
              <w:rPr>
                <w:b/>
                <w:color w:val="FFFFFF" w:themeColor="background1"/>
                <w:lang w:eastAsia="en-GB"/>
              </w:rPr>
            </w:pPr>
            <w:r w:rsidRPr="00305EFC">
              <w:rPr>
                <w:b/>
                <w:color w:val="FFFFFF" w:themeColor="background1"/>
                <w:lang w:eastAsia="en-GB"/>
              </w:rPr>
              <w:t>% of Total</w:t>
            </w:r>
          </w:p>
        </w:tc>
      </w:tr>
      <w:tr w:rsidR="00BD5EF5" w:rsidRPr="00A52AEE" w14:paraId="74F0E76E" w14:textId="77777777" w:rsidTr="00BD5EF5">
        <w:trPr>
          <w:trHeight w:val="27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36E8A508" w14:textId="33222214" w:rsidR="002C6E12" w:rsidRPr="00855E4A" w:rsidRDefault="00E012DF" w:rsidP="00A52AEE">
            <w:pPr>
              <w:rPr>
                <w:sz w:val="22"/>
                <w:lang w:eastAsia="en-GB"/>
              </w:rPr>
            </w:pPr>
            <w:r w:rsidRPr="00855E4A">
              <w:rPr>
                <w:sz w:val="22"/>
                <w:lang w:eastAsia="en-GB"/>
              </w:rPr>
              <w:t>Barking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160FE94B" w14:textId="77777777" w:rsidR="002C6E12" w:rsidRPr="00A52AEE" w:rsidRDefault="002C6E12" w:rsidP="00FE68E8">
            <w:pPr>
              <w:jc w:val="right"/>
              <w:rPr>
                <w:lang w:eastAsia="en-GB"/>
              </w:rPr>
            </w:pPr>
            <w:r w:rsidRPr="00A52AEE">
              <w:rPr>
                <w:lang w:eastAsia="en-GB"/>
              </w:rPr>
              <w:t>1065</w:t>
            </w:r>
          </w:p>
        </w:tc>
        <w:tc>
          <w:tcPr>
            <w:tcW w:w="287" w:type="pct"/>
            <w:tcBorders>
              <w:top w:val="nil"/>
              <w:left w:val="nil"/>
              <w:bottom w:val="single" w:sz="4" w:space="0" w:color="auto"/>
              <w:right w:val="single" w:sz="4" w:space="0" w:color="auto"/>
            </w:tcBorders>
            <w:shd w:val="clear" w:color="000000" w:fill="FFFFFF"/>
            <w:noWrap/>
            <w:vAlign w:val="center"/>
            <w:hideMark/>
          </w:tcPr>
          <w:p w14:paraId="7B759D5C"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6A22DEAF" w14:textId="77777777" w:rsidR="002C6E12" w:rsidRPr="00A52AEE" w:rsidRDefault="002C6E12" w:rsidP="00FE68E8">
            <w:pPr>
              <w:jc w:val="right"/>
              <w:rPr>
                <w:lang w:eastAsia="en-GB"/>
              </w:rPr>
            </w:pPr>
            <w:r w:rsidRPr="00A52AEE">
              <w:rPr>
                <w:lang w:eastAsia="en-GB"/>
              </w:rPr>
              <w:t>1135</w:t>
            </w:r>
          </w:p>
        </w:tc>
        <w:tc>
          <w:tcPr>
            <w:tcW w:w="287" w:type="pct"/>
            <w:tcBorders>
              <w:top w:val="nil"/>
              <w:left w:val="nil"/>
              <w:bottom w:val="single" w:sz="4" w:space="0" w:color="auto"/>
              <w:right w:val="single" w:sz="4" w:space="0" w:color="auto"/>
            </w:tcBorders>
            <w:shd w:val="clear" w:color="000000" w:fill="FFFFFF"/>
            <w:noWrap/>
            <w:vAlign w:val="center"/>
            <w:hideMark/>
          </w:tcPr>
          <w:p w14:paraId="56C5E0F9"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0054A4E6" w14:textId="77777777" w:rsidR="002C6E12" w:rsidRPr="00A52AEE" w:rsidRDefault="002C6E12" w:rsidP="00FE68E8">
            <w:pPr>
              <w:jc w:val="right"/>
              <w:rPr>
                <w:lang w:eastAsia="en-GB"/>
              </w:rPr>
            </w:pPr>
            <w:r w:rsidRPr="00A52AEE">
              <w:rPr>
                <w:lang w:eastAsia="en-GB"/>
              </w:rPr>
              <w:t>1210</w:t>
            </w:r>
          </w:p>
        </w:tc>
        <w:tc>
          <w:tcPr>
            <w:tcW w:w="288" w:type="pct"/>
            <w:tcBorders>
              <w:top w:val="nil"/>
              <w:left w:val="nil"/>
              <w:bottom w:val="single" w:sz="4" w:space="0" w:color="auto"/>
              <w:right w:val="single" w:sz="4" w:space="0" w:color="auto"/>
            </w:tcBorders>
            <w:shd w:val="clear" w:color="000000" w:fill="FFFFFF"/>
            <w:noWrap/>
            <w:vAlign w:val="center"/>
            <w:hideMark/>
          </w:tcPr>
          <w:p w14:paraId="4A46C95F"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18A815BC" w14:textId="77777777" w:rsidR="002C6E12" w:rsidRPr="00A52AEE" w:rsidRDefault="002C6E12" w:rsidP="00FE68E8">
            <w:pPr>
              <w:jc w:val="right"/>
              <w:rPr>
                <w:lang w:eastAsia="en-GB"/>
              </w:rPr>
            </w:pPr>
            <w:r w:rsidRPr="00A52AEE">
              <w:rPr>
                <w:lang w:eastAsia="en-GB"/>
              </w:rPr>
              <w:t>1055</w:t>
            </w:r>
          </w:p>
        </w:tc>
        <w:tc>
          <w:tcPr>
            <w:tcW w:w="287" w:type="pct"/>
            <w:tcBorders>
              <w:top w:val="nil"/>
              <w:left w:val="nil"/>
              <w:bottom w:val="single" w:sz="4" w:space="0" w:color="auto"/>
              <w:right w:val="single" w:sz="4" w:space="0" w:color="auto"/>
            </w:tcBorders>
            <w:shd w:val="clear" w:color="000000" w:fill="FFFFFF"/>
            <w:noWrap/>
            <w:vAlign w:val="center"/>
            <w:hideMark/>
          </w:tcPr>
          <w:p w14:paraId="03569575"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BB059E9" w14:textId="77777777" w:rsidR="002C6E12" w:rsidRPr="00A52AEE" w:rsidRDefault="002C6E12" w:rsidP="00FE68E8">
            <w:pPr>
              <w:jc w:val="right"/>
              <w:rPr>
                <w:lang w:eastAsia="en-GB"/>
              </w:rPr>
            </w:pPr>
            <w:r w:rsidRPr="00A52AEE">
              <w:rPr>
                <w:lang w:eastAsia="en-GB"/>
              </w:rPr>
              <w:t>1715</w:t>
            </w:r>
          </w:p>
        </w:tc>
        <w:tc>
          <w:tcPr>
            <w:tcW w:w="283" w:type="pct"/>
            <w:tcBorders>
              <w:top w:val="nil"/>
              <w:left w:val="nil"/>
              <w:bottom w:val="single" w:sz="4" w:space="0" w:color="auto"/>
              <w:right w:val="single" w:sz="4" w:space="0" w:color="auto"/>
            </w:tcBorders>
            <w:shd w:val="clear" w:color="000000" w:fill="FFFFFF"/>
            <w:noWrap/>
            <w:vAlign w:val="center"/>
            <w:hideMark/>
          </w:tcPr>
          <w:p w14:paraId="27760029" w14:textId="77777777" w:rsidR="002C6E12" w:rsidRPr="00A52AEE" w:rsidRDefault="002C6E12" w:rsidP="00FE68E8">
            <w:pPr>
              <w:jc w:val="right"/>
              <w:rPr>
                <w:lang w:eastAsia="en-GB"/>
              </w:rPr>
            </w:pPr>
            <w:r w:rsidRPr="00A52AEE">
              <w:rPr>
                <w:lang w:eastAsia="en-GB"/>
              </w:rPr>
              <w:t>4%</w:t>
            </w:r>
          </w:p>
        </w:tc>
      </w:tr>
      <w:tr w:rsidR="00BD5EF5" w:rsidRPr="00A52AEE" w14:paraId="228C1915"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8EB4C30" w14:textId="7CE49309" w:rsidR="002C6E12" w:rsidRPr="00855E4A" w:rsidRDefault="00E012DF" w:rsidP="00A52AEE">
            <w:pPr>
              <w:rPr>
                <w:sz w:val="22"/>
                <w:lang w:eastAsia="en-GB"/>
              </w:rPr>
            </w:pPr>
            <w:r w:rsidRPr="00855E4A">
              <w:rPr>
                <w:sz w:val="22"/>
                <w:lang w:eastAsia="en-GB"/>
              </w:rPr>
              <w:t>Barnet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55D6B690" w14:textId="77777777" w:rsidR="002C6E12" w:rsidRPr="00A52AEE" w:rsidRDefault="002C6E12" w:rsidP="00FE68E8">
            <w:pPr>
              <w:jc w:val="right"/>
              <w:rPr>
                <w:lang w:eastAsia="en-GB"/>
              </w:rPr>
            </w:pPr>
            <w:r w:rsidRPr="00A52AEE">
              <w:rPr>
                <w:lang w:eastAsia="en-GB"/>
              </w:rPr>
              <w:t>1750</w:t>
            </w:r>
          </w:p>
        </w:tc>
        <w:tc>
          <w:tcPr>
            <w:tcW w:w="287" w:type="pct"/>
            <w:tcBorders>
              <w:top w:val="nil"/>
              <w:left w:val="nil"/>
              <w:bottom w:val="single" w:sz="4" w:space="0" w:color="auto"/>
              <w:right w:val="single" w:sz="4" w:space="0" w:color="auto"/>
            </w:tcBorders>
            <w:shd w:val="clear" w:color="000000" w:fill="FFFFFF"/>
            <w:noWrap/>
            <w:vAlign w:val="center"/>
            <w:hideMark/>
          </w:tcPr>
          <w:p w14:paraId="29268616"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45F2B051" w14:textId="77777777" w:rsidR="002C6E12" w:rsidRPr="00A52AEE" w:rsidRDefault="002C6E12" w:rsidP="00FE68E8">
            <w:pPr>
              <w:jc w:val="right"/>
              <w:rPr>
                <w:lang w:eastAsia="en-GB"/>
              </w:rPr>
            </w:pPr>
            <w:r w:rsidRPr="00A52AEE">
              <w:rPr>
                <w:lang w:eastAsia="en-GB"/>
              </w:rPr>
              <w:t>2155</w:t>
            </w:r>
          </w:p>
        </w:tc>
        <w:tc>
          <w:tcPr>
            <w:tcW w:w="287" w:type="pct"/>
            <w:tcBorders>
              <w:top w:val="nil"/>
              <w:left w:val="nil"/>
              <w:bottom w:val="single" w:sz="4" w:space="0" w:color="auto"/>
              <w:right w:val="single" w:sz="4" w:space="0" w:color="auto"/>
            </w:tcBorders>
            <w:shd w:val="clear" w:color="000000" w:fill="FFFFFF"/>
            <w:noWrap/>
            <w:vAlign w:val="center"/>
            <w:hideMark/>
          </w:tcPr>
          <w:p w14:paraId="0A62E15B"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0E6C0FF1" w14:textId="77777777" w:rsidR="002C6E12" w:rsidRPr="00A52AEE" w:rsidRDefault="002C6E12" w:rsidP="00FE68E8">
            <w:pPr>
              <w:jc w:val="right"/>
              <w:rPr>
                <w:lang w:eastAsia="en-GB"/>
              </w:rPr>
            </w:pPr>
            <w:r w:rsidRPr="00A52AEE">
              <w:rPr>
                <w:lang w:eastAsia="en-GB"/>
              </w:rPr>
              <w:t>2280</w:t>
            </w:r>
          </w:p>
        </w:tc>
        <w:tc>
          <w:tcPr>
            <w:tcW w:w="288" w:type="pct"/>
            <w:tcBorders>
              <w:top w:val="nil"/>
              <w:left w:val="nil"/>
              <w:bottom w:val="single" w:sz="4" w:space="0" w:color="auto"/>
              <w:right w:val="single" w:sz="4" w:space="0" w:color="auto"/>
            </w:tcBorders>
            <w:shd w:val="clear" w:color="000000" w:fill="FFFFFF"/>
            <w:noWrap/>
            <w:vAlign w:val="center"/>
            <w:hideMark/>
          </w:tcPr>
          <w:p w14:paraId="62AC46A6"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061F2DB1" w14:textId="77777777" w:rsidR="002C6E12" w:rsidRPr="00A52AEE" w:rsidRDefault="002C6E12" w:rsidP="00FE68E8">
            <w:pPr>
              <w:jc w:val="right"/>
              <w:rPr>
                <w:lang w:eastAsia="en-GB"/>
              </w:rPr>
            </w:pPr>
            <w:r w:rsidRPr="00A52AEE">
              <w:rPr>
                <w:lang w:eastAsia="en-GB"/>
              </w:rPr>
              <w:t>2110</w:t>
            </w:r>
          </w:p>
        </w:tc>
        <w:tc>
          <w:tcPr>
            <w:tcW w:w="287" w:type="pct"/>
            <w:tcBorders>
              <w:top w:val="nil"/>
              <w:left w:val="nil"/>
              <w:bottom w:val="single" w:sz="4" w:space="0" w:color="auto"/>
              <w:right w:val="single" w:sz="4" w:space="0" w:color="auto"/>
            </w:tcBorders>
            <w:shd w:val="clear" w:color="000000" w:fill="FFFFFF"/>
            <w:noWrap/>
            <w:vAlign w:val="center"/>
            <w:hideMark/>
          </w:tcPr>
          <w:p w14:paraId="75289B8A"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31E3FED6" w14:textId="77777777" w:rsidR="002C6E12" w:rsidRPr="00A52AEE" w:rsidRDefault="002C6E12" w:rsidP="00FE68E8">
            <w:pPr>
              <w:jc w:val="right"/>
              <w:rPr>
                <w:lang w:eastAsia="en-GB"/>
              </w:rPr>
            </w:pPr>
            <w:r w:rsidRPr="00A52AEE">
              <w:rPr>
                <w:lang w:eastAsia="en-GB"/>
              </w:rPr>
              <w:t>1425</w:t>
            </w:r>
          </w:p>
        </w:tc>
        <w:tc>
          <w:tcPr>
            <w:tcW w:w="283" w:type="pct"/>
            <w:tcBorders>
              <w:top w:val="nil"/>
              <w:left w:val="nil"/>
              <w:bottom w:val="single" w:sz="4" w:space="0" w:color="auto"/>
              <w:right w:val="single" w:sz="4" w:space="0" w:color="auto"/>
            </w:tcBorders>
            <w:shd w:val="clear" w:color="000000" w:fill="FFFFFF"/>
            <w:noWrap/>
            <w:vAlign w:val="center"/>
            <w:hideMark/>
          </w:tcPr>
          <w:p w14:paraId="12B41B68" w14:textId="77777777" w:rsidR="002C6E12" w:rsidRPr="00A52AEE" w:rsidRDefault="002C6E12" w:rsidP="00FE68E8">
            <w:pPr>
              <w:jc w:val="right"/>
              <w:rPr>
                <w:lang w:eastAsia="en-GB"/>
              </w:rPr>
            </w:pPr>
            <w:r w:rsidRPr="00A52AEE">
              <w:rPr>
                <w:lang w:eastAsia="en-GB"/>
              </w:rPr>
              <w:t>3%</w:t>
            </w:r>
          </w:p>
        </w:tc>
      </w:tr>
      <w:tr w:rsidR="00BD5EF5" w:rsidRPr="00A52AEE" w14:paraId="5CADBFC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3AB0C39" w14:textId="0B958A36" w:rsidR="002C6E12" w:rsidRPr="00855E4A" w:rsidRDefault="00E012DF" w:rsidP="00A52AEE">
            <w:pPr>
              <w:rPr>
                <w:sz w:val="22"/>
                <w:lang w:eastAsia="en-GB"/>
              </w:rPr>
            </w:pPr>
            <w:r w:rsidRPr="00855E4A">
              <w:rPr>
                <w:sz w:val="22"/>
                <w:lang w:eastAsia="en-GB"/>
              </w:rPr>
              <w:t>Bexley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400DF7F" w14:textId="77777777" w:rsidR="002C6E12" w:rsidRPr="00A52AEE" w:rsidRDefault="002C6E12" w:rsidP="00FE68E8">
            <w:pPr>
              <w:jc w:val="right"/>
              <w:rPr>
                <w:lang w:eastAsia="en-GB"/>
              </w:rPr>
            </w:pPr>
            <w:r w:rsidRPr="00A52AEE">
              <w:rPr>
                <w:lang w:eastAsia="en-GB"/>
              </w:rPr>
              <w:t>525</w:t>
            </w:r>
          </w:p>
        </w:tc>
        <w:tc>
          <w:tcPr>
            <w:tcW w:w="287" w:type="pct"/>
            <w:tcBorders>
              <w:top w:val="nil"/>
              <w:left w:val="nil"/>
              <w:bottom w:val="single" w:sz="4" w:space="0" w:color="auto"/>
              <w:right w:val="single" w:sz="4" w:space="0" w:color="auto"/>
            </w:tcBorders>
            <w:shd w:val="clear" w:color="000000" w:fill="FFFFFF"/>
            <w:noWrap/>
            <w:vAlign w:val="center"/>
            <w:hideMark/>
          </w:tcPr>
          <w:p w14:paraId="308AB71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49FEBA3" w14:textId="77777777" w:rsidR="002C6E12" w:rsidRPr="00A52AEE" w:rsidRDefault="002C6E12" w:rsidP="00FE68E8">
            <w:pPr>
              <w:jc w:val="right"/>
              <w:rPr>
                <w:lang w:eastAsia="en-GB"/>
              </w:rPr>
            </w:pPr>
            <w:r w:rsidRPr="00A52AEE">
              <w:rPr>
                <w:lang w:eastAsia="en-GB"/>
              </w:rPr>
              <w:t>495</w:t>
            </w:r>
          </w:p>
        </w:tc>
        <w:tc>
          <w:tcPr>
            <w:tcW w:w="287" w:type="pct"/>
            <w:tcBorders>
              <w:top w:val="nil"/>
              <w:left w:val="nil"/>
              <w:bottom w:val="single" w:sz="4" w:space="0" w:color="auto"/>
              <w:right w:val="single" w:sz="4" w:space="0" w:color="auto"/>
            </w:tcBorders>
            <w:shd w:val="clear" w:color="000000" w:fill="FFFFFF"/>
            <w:noWrap/>
            <w:vAlign w:val="center"/>
            <w:hideMark/>
          </w:tcPr>
          <w:p w14:paraId="161FC21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B654863" w14:textId="77777777" w:rsidR="002C6E12" w:rsidRPr="00A52AEE" w:rsidRDefault="002C6E12" w:rsidP="00FE68E8">
            <w:pPr>
              <w:jc w:val="right"/>
              <w:rPr>
                <w:lang w:eastAsia="en-GB"/>
              </w:rPr>
            </w:pPr>
            <w:r w:rsidRPr="00A52AEE">
              <w:rPr>
                <w:lang w:eastAsia="en-GB"/>
              </w:rPr>
              <w:t>655</w:t>
            </w:r>
          </w:p>
        </w:tc>
        <w:tc>
          <w:tcPr>
            <w:tcW w:w="288" w:type="pct"/>
            <w:tcBorders>
              <w:top w:val="nil"/>
              <w:left w:val="nil"/>
              <w:bottom w:val="single" w:sz="4" w:space="0" w:color="auto"/>
              <w:right w:val="single" w:sz="4" w:space="0" w:color="auto"/>
            </w:tcBorders>
            <w:shd w:val="clear" w:color="000000" w:fill="FFFFFF"/>
            <w:noWrap/>
            <w:vAlign w:val="center"/>
            <w:hideMark/>
          </w:tcPr>
          <w:p w14:paraId="5796F6F9"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58D95B5" w14:textId="77777777" w:rsidR="002C6E12" w:rsidRPr="00A52AEE" w:rsidRDefault="002C6E12" w:rsidP="00FE68E8">
            <w:pPr>
              <w:jc w:val="right"/>
              <w:rPr>
                <w:lang w:eastAsia="en-GB"/>
              </w:rPr>
            </w:pPr>
            <w:r w:rsidRPr="00A52AEE">
              <w:rPr>
                <w:lang w:eastAsia="en-GB"/>
              </w:rPr>
              <w:t>380</w:t>
            </w:r>
          </w:p>
        </w:tc>
        <w:tc>
          <w:tcPr>
            <w:tcW w:w="287" w:type="pct"/>
            <w:tcBorders>
              <w:top w:val="nil"/>
              <w:left w:val="nil"/>
              <w:bottom w:val="single" w:sz="4" w:space="0" w:color="auto"/>
              <w:right w:val="single" w:sz="4" w:space="0" w:color="auto"/>
            </w:tcBorders>
            <w:shd w:val="clear" w:color="000000" w:fill="FFFFFF"/>
            <w:noWrap/>
            <w:vAlign w:val="center"/>
            <w:hideMark/>
          </w:tcPr>
          <w:p w14:paraId="33B5262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784B6F9" w14:textId="77777777" w:rsidR="002C6E12" w:rsidRPr="00A52AEE" w:rsidRDefault="002C6E12" w:rsidP="00FE68E8">
            <w:pPr>
              <w:jc w:val="right"/>
              <w:rPr>
                <w:lang w:eastAsia="en-GB"/>
              </w:rPr>
            </w:pPr>
            <w:r w:rsidRPr="00A52AEE">
              <w:rPr>
                <w:lang w:eastAsia="en-GB"/>
              </w:rPr>
              <w:t>395</w:t>
            </w:r>
          </w:p>
        </w:tc>
        <w:tc>
          <w:tcPr>
            <w:tcW w:w="283" w:type="pct"/>
            <w:tcBorders>
              <w:top w:val="nil"/>
              <w:left w:val="nil"/>
              <w:bottom w:val="single" w:sz="4" w:space="0" w:color="auto"/>
              <w:right w:val="single" w:sz="4" w:space="0" w:color="auto"/>
            </w:tcBorders>
            <w:shd w:val="clear" w:color="000000" w:fill="FFFFFF"/>
            <w:noWrap/>
            <w:vAlign w:val="center"/>
            <w:hideMark/>
          </w:tcPr>
          <w:p w14:paraId="496C5961" w14:textId="77777777" w:rsidR="002C6E12" w:rsidRPr="00A52AEE" w:rsidRDefault="002C6E12" w:rsidP="00FE68E8">
            <w:pPr>
              <w:jc w:val="right"/>
              <w:rPr>
                <w:lang w:eastAsia="en-GB"/>
              </w:rPr>
            </w:pPr>
            <w:r w:rsidRPr="00A52AEE">
              <w:rPr>
                <w:lang w:eastAsia="en-GB"/>
              </w:rPr>
              <w:t>1%</w:t>
            </w:r>
          </w:p>
        </w:tc>
      </w:tr>
      <w:tr w:rsidR="00BD5EF5" w:rsidRPr="00A52AEE" w14:paraId="0A9B076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0A3BB9F" w14:textId="7C3F6C92" w:rsidR="002C6E12" w:rsidRPr="00855E4A" w:rsidRDefault="00E012DF" w:rsidP="00A52AEE">
            <w:pPr>
              <w:rPr>
                <w:sz w:val="22"/>
                <w:lang w:eastAsia="en-GB"/>
              </w:rPr>
            </w:pPr>
            <w:r w:rsidRPr="00855E4A">
              <w:rPr>
                <w:sz w:val="22"/>
                <w:lang w:eastAsia="en-GB"/>
              </w:rPr>
              <w:t xml:space="preserve">Bromley College </w:t>
            </w:r>
          </w:p>
        </w:tc>
        <w:tc>
          <w:tcPr>
            <w:tcW w:w="430" w:type="pct"/>
            <w:tcBorders>
              <w:top w:val="nil"/>
              <w:left w:val="nil"/>
              <w:bottom w:val="single" w:sz="4" w:space="0" w:color="auto"/>
              <w:right w:val="single" w:sz="4" w:space="0" w:color="auto"/>
            </w:tcBorders>
            <w:shd w:val="clear" w:color="000000" w:fill="FFFFFF"/>
            <w:noWrap/>
            <w:vAlign w:val="center"/>
            <w:hideMark/>
          </w:tcPr>
          <w:p w14:paraId="74617350" w14:textId="77777777" w:rsidR="002C6E12" w:rsidRPr="00A52AEE" w:rsidRDefault="002C6E12" w:rsidP="00FE68E8">
            <w:pPr>
              <w:jc w:val="right"/>
              <w:rPr>
                <w:lang w:eastAsia="en-GB"/>
              </w:rPr>
            </w:pPr>
            <w:r w:rsidRPr="00A52AEE">
              <w:rPr>
                <w:lang w:eastAsia="en-GB"/>
              </w:rPr>
              <w:t>780</w:t>
            </w:r>
          </w:p>
        </w:tc>
        <w:tc>
          <w:tcPr>
            <w:tcW w:w="287" w:type="pct"/>
            <w:tcBorders>
              <w:top w:val="nil"/>
              <w:left w:val="nil"/>
              <w:bottom w:val="single" w:sz="4" w:space="0" w:color="auto"/>
              <w:right w:val="single" w:sz="4" w:space="0" w:color="auto"/>
            </w:tcBorders>
            <w:shd w:val="clear" w:color="000000" w:fill="FFFFFF"/>
            <w:noWrap/>
            <w:vAlign w:val="center"/>
            <w:hideMark/>
          </w:tcPr>
          <w:p w14:paraId="5991B8E0"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66E4A1B" w14:textId="77777777" w:rsidR="002C6E12" w:rsidRPr="00A52AEE" w:rsidRDefault="002C6E12" w:rsidP="00FE68E8">
            <w:pPr>
              <w:jc w:val="right"/>
              <w:rPr>
                <w:lang w:eastAsia="en-GB"/>
              </w:rPr>
            </w:pPr>
            <w:r w:rsidRPr="00A52AEE">
              <w:rPr>
                <w:lang w:eastAsia="en-GB"/>
              </w:rPr>
              <w:t>735</w:t>
            </w:r>
          </w:p>
        </w:tc>
        <w:tc>
          <w:tcPr>
            <w:tcW w:w="287" w:type="pct"/>
            <w:tcBorders>
              <w:top w:val="nil"/>
              <w:left w:val="nil"/>
              <w:bottom w:val="single" w:sz="4" w:space="0" w:color="auto"/>
              <w:right w:val="single" w:sz="4" w:space="0" w:color="auto"/>
            </w:tcBorders>
            <w:shd w:val="clear" w:color="000000" w:fill="FFFFFF"/>
            <w:noWrap/>
            <w:vAlign w:val="center"/>
            <w:hideMark/>
          </w:tcPr>
          <w:p w14:paraId="101DDAC2"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45DFBFF" w14:textId="77777777" w:rsidR="002C6E12" w:rsidRPr="00A52AEE" w:rsidRDefault="002C6E12" w:rsidP="00FE68E8">
            <w:pPr>
              <w:jc w:val="right"/>
              <w:rPr>
                <w:lang w:eastAsia="en-GB"/>
              </w:rPr>
            </w:pPr>
            <w:r w:rsidRPr="00A52AEE">
              <w:rPr>
                <w:lang w:eastAsia="en-GB"/>
              </w:rPr>
              <w:t>1100</w:t>
            </w:r>
          </w:p>
        </w:tc>
        <w:tc>
          <w:tcPr>
            <w:tcW w:w="288" w:type="pct"/>
            <w:tcBorders>
              <w:top w:val="nil"/>
              <w:left w:val="nil"/>
              <w:bottom w:val="single" w:sz="4" w:space="0" w:color="auto"/>
              <w:right w:val="single" w:sz="4" w:space="0" w:color="auto"/>
            </w:tcBorders>
            <w:shd w:val="clear" w:color="000000" w:fill="FFFFFF"/>
            <w:noWrap/>
            <w:vAlign w:val="center"/>
            <w:hideMark/>
          </w:tcPr>
          <w:p w14:paraId="04995655"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0991B58D" w14:textId="77777777" w:rsidR="002C6E12" w:rsidRPr="00A52AEE" w:rsidRDefault="002C6E12" w:rsidP="00FE68E8">
            <w:pPr>
              <w:jc w:val="right"/>
              <w:rPr>
                <w:lang w:eastAsia="en-GB"/>
              </w:rPr>
            </w:pPr>
            <w:r w:rsidRPr="00A52AEE">
              <w:rPr>
                <w:lang w:eastAsia="en-GB"/>
              </w:rPr>
              <w:t>800</w:t>
            </w:r>
          </w:p>
        </w:tc>
        <w:tc>
          <w:tcPr>
            <w:tcW w:w="287" w:type="pct"/>
            <w:tcBorders>
              <w:top w:val="nil"/>
              <w:left w:val="nil"/>
              <w:bottom w:val="single" w:sz="4" w:space="0" w:color="auto"/>
              <w:right w:val="single" w:sz="4" w:space="0" w:color="auto"/>
            </w:tcBorders>
            <w:shd w:val="clear" w:color="000000" w:fill="FFFFFF"/>
            <w:noWrap/>
            <w:vAlign w:val="center"/>
            <w:hideMark/>
          </w:tcPr>
          <w:p w14:paraId="35EE9E51"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E3C56D4" w14:textId="77777777" w:rsidR="002C6E12" w:rsidRPr="00A52AEE" w:rsidRDefault="002C6E12" w:rsidP="00FE68E8">
            <w:pPr>
              <w:jc w:val="right"/>
              <w:rPr>
                <w:lang w:eastAsia="en-GB"/>
              </w:rPr>
            </w:pPr>
            <w:r w:rsidRPr="00A52AEE">
              <w:rPr>
                <w:lang w:eastAsia="en-GB"/>
              </w:rPr>
              <w:t>1640</w:t>
            </w:r>
          </w:p>
        </w:tc>
        <w:tc>
          <w:tcPr>
            <w:tcW w:w="283" w:type="pct"/>
            <w:tcBorders>
              <w:top w:val="nil"/>
              <w:left w:val="nil"/>
              <w:bottom w:val="single" w:sz="4" w:space="0" w:color="auto"/>
              <w:right w:val="single" w:sz="4" w:space="0" w:color="auto"/>
            </w:tcBorders>
            <w:shd w:val="clear" w:color="000000" w:fill="FFFFFF"/>
            <w:noWrap/>
            <w:vAlign w:val="center"/>
            <w:hideMark/>
          </w:tcPr>
          <w:p w14:paraId="0BDBCED9" w14:textId="77777777" w:rsidR="002C6E12" w:rsidRPr="00A52AEE" w:rsidRDefault="002C6E12" w:rsidP="00FE68E8">
            <w:pPr>
              <w:jc w:val="right"/>
              <w:rPr>
                <w:lang w:eastAsia="en-GB"/>
              </w:rPr>
            </w:pPr>
            <w:r w:rsidRPr="00A52AEE">
              <w:rPr>
                <w:lang w:eastAsia="en-GB"/>
              </w:rPr>
              <w:t>4%</w:t>
            </w:r>
          </w:p>
        </w:tc>
      </w:tr>
      <w:tr w:rsidR="00BD5EF5" w:rsidRPr="00A52AEE" w14:paraId="1B7B67D4"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8784A44" w14:textId="167975C1" w:rsidR="002C6E12" w:rsidRPr="00855E4A" w:rsidRDefault="00E012DF" w:rsidP="00A52AEE">
            <w:pPr>
              <w:rPr>
                <w:sz w:val="22"/>
                <w:lang w:eastAsia="en-GB"/>
              </w:rPr>
            </w:pPr>
            <w:r w:rsidRPr="00855E4A">
              <w:rPr>
                <w:sz w:val="22"/>
                <w:lang w:eastAsia="en-GB"/>
              </w:rPr>
              <w:t>Capel Manor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9C60DF6" w14:textId="77777777" w:rsidR="002C6E12" w:rsidRPr="00A52AEE" w:rsidRDefault="002C6E12" w:rsidP="00FE68E8">
            <w:pPr>
              <w:jc w:val="right"/>
              <w:rPr>
                <w:lang w:eastAsia="en-GB"/>
              </w:rPr>
            </w:pPr>
            <w:r w:rsidRPr="00A52AEE">
              <w:rPr>
                <w:lang w:eastAsia="en-GB"/>
              </w:rPr>
              <w:t>440</w:t>
            </w:r>
          </w:p>
        </w:tc>
        <w:tc>
          <w:tcPr>
            <w:tcW w:w="287" w:type="pct"/>
            <w:tcBorders>
              <w:top w:val="nil"/>
              <w:left w:val="nil"/>
              <w:bottom w:val="single" w:sz="4" w:space="0" w:color="auto"/>
              <w:right w:val="single" w:sz="4" w:space="0" w:color="auto"/>
            </w:tcBorders>
            <w:shd w:val="clear" w:color="000000" w:fill="FFFFFF"/>
            <w:noWrap/>
            <w:vAlign w:val="center"/>
            <w:hideMark/>
          </w:tcPr>
          <w:p w14:paraId="7E12688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342401E" w14:textId="77777777" w:rsidR="002C6E12" w:rsidRPr="00A52AEE" w:rsidRDefault="002C6E12" w:rsidP="00FE68E8">
            <w:pPr>
              <w:jc w:val="right"/>
              <w:rPr>
                <w:lang w:eastAsia="en-GB"/>
              </w:rPr>
            </w:pPr>
            <w:r w:rsidRPr="00A52AEE">
              <w:rPr>
                <w:lang w:eastAsia="en-GB"/>
              </w:rPr>
              <w:t>270</w:t>
            </w:r>
          </w:p>
        </w:tc>
        <w:tc>
          <w:tcPr>
            <w:tcW w:w="287" w:type="pct"/>
            <w:tcBorders>
              <w:top w:val="nil"/>
              <w:left w:val="nil"/>
              <w:bottom w:val="single" w:sz="4" w:space="0" w:color="auto"/>
              <w:right w:val="single" w:sz="4" w:space="0" w:color="auto"/>
            </w:tcBorders>
            <w:shd w:val="clear" w:color="000000" w:fill="FFFFFF"/>
            <w:noWrap/>
            <w:vAlign w:val="center"/>
            <w:hideMark/>
          </w:tcPr>
          <w:p w14:paraId="3FA296A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B79DFF4" w14:textId="77777777" w:rsidR="002C6E12" w:rsidRPr="00A52AEE" w:rsidRDefault="002C6E12" w:rsidP="00FE68E8">
            <w:pPr>
              <w:jc w:val="right"/>
              <w:rPr>
                <w:lang w:eastAsia="en-GB"/>
              </w:rPr>
            </w:pPr>
            <w:r w:rsidRPr="00A52AEE">
              <w:rPr>
                <w:lang w:eastAsia="en-GB"/>
              </w:rPr>
              <w:t>205</w:t>
            </w:r>
          </w:p>
        </w:tc>
        <w:tc>
          <w:tcPr>
            <w:tcW w:w="288" w:type="pct"/>
            <w:tcBorders>
              <w:top w:val="nil"/>
              <w:left w:val="nil"/>
              <w:bottom w:val="single" w:sz="4" w:space="0" w:color="auto"/>
              <w:right w:val="single" w:sz="4" w:space="0" w:color="auto"/>
            </w:tcBorders>
            <w:shd w:val="clear" w:color="000000" w:fill="FFFFFF"/>
            <w:noWrap/>
            <w:vAlign w:val="center"/>
            <w:hideMark/>
          </w:tcPr>
          <w:p w14:paraId="6D916D5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7F1C199C" w14:textId="77777777" w:rsidR="002C6E12" w:rsidRPr="00A52AEE" w:rsidRDefault="002C6E12" w:rsidP="00FE68E8">
            <w:pPr>
              <w:jc w:val="right"/>
              <w:rPr>
                <w:lang w:eastAsia="en-GB"/>
              </w:rPr>
            </w:pPr>
            <w:r w:rsidRPr="00A52AEE">
              <w:rPr>
                <w:lang w:eastAsia="en-GB"/>
              </w:rPr>
              <w:t>255</w:t>
            </w:r>
          </w:p>
        </w:tc>
        <w:tc>
          <w:tcPr>
            <w:tcW w:w="287" w:type="pct"/>
            <w:tcBorders>
              <w:top w:val="nil"/>
              <w:left w:val="nil"/>
              <w:bottom w:val="single" w:sz="4" w:space="0" w:color="auto"/>
              <w:right w:val="single" w:sz="4" w:space="0" w:color="auto"/>
            </w:tcBorders>
            <w:shd w:val="clear" w:color="000000" w:fill="FFFFFF"/>
            <w:noWrap/>
            <w:vAlign w:val="center"/>
            <w:hideMark/>
          </w:tcPr>
          <w:p w14:paraId="740F7DA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154D6AD" w14:textId="77777777" w:rsidR="002C6E12" w:rsidRPr="00A52AEE" w:rsidRDefault="002C6E12" w:rsidP="00FE68E8">
            <w:pPr>
              <w:jc w:val="right"/>
              <w:rPr>
                <w:lang w:eastAsia="en-GB"/>
              </w:rPr>
            </w:pPr>
            <w:r w:rsidRPr="00A52AEE">
              <w:rPr>
                <w:lang w:eastAsia="en-GB"/>
              </w:rPr>
              <w:t>330</w:t>
            </w:r>
          </w:p>
        </w:tc>
        <w:tc>
          <w:tcPr>
            <w:tcW w:w="283" w:type="pct"/>
            <w:tcBorders>
              <w:top w:val="nil"/>
              <w:left w:val="nil"/>
              <w:bottom w:val="single" w:sz="4" w:space="0" w:color="auto"/>
              <w:right w:val="single" w:sz="4" w:space="0" w:color="auto"/>
            </w:tcBorders>
            <w:shd w:val="clear" w:color="000000" w:fill="FFFFFF"/>
            <w:noWrap/>
            <w:vAlign w:val="center"/>
            <w:hideMark/>
          </w:tcPr>
          <w:p w14:paraId="7EBC5E52" w14:textId="77777777" w:rsidR="002C6E12" w:rsidRPr="00A52AEE" w:rsidRDefault="002C6E12" w:rsidP="00FE68E8">
            <w:pPr>
              <w:jc w:val="right"/>
              <w:rPr>
                <w:lang w:eastAsia="en-GB"/>
              </w:rPr>
            </w:pPr>
            <w:r w:rsidRPr="00A52AEE">
              <w:rPr>
                <w:lang w:eastAsia="en-GB"/>
              </w:rPr>
              <w:t>1%</w:t>
            </w:r>
          </w:p>
        </w:tc>
      </w:tr>
      <w:tr w:rsidR="00BD5EF5" w:rsidRPr="00DB2D18" w14:paraId="611DE95E"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84AE331" w14:textId="4326EC31" w:rsidR="002C6E12" w:rsidRPr="00DB2D18" w:rsidRDefault="00E012DF" w:rsidP="00A52AEE">
            <w:pPr>
              <w:rPr>
                <w:sz w:val="22"/>
                <w:lang w:eastAsia="en-GB"/>
              </w:rPr>
            </w:pPr>
            <w:r w:rsidRPr="00DB2D18">
              <w:rPr>
                <w:sz w:val="22"/>
                <w:lang w:eastAsia="en-GB"/>
              </w:rPr>
              <w:lastRenderedPageBreak/>
              <w:t>Carshalton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1BFAAAF7" w14:textId="77777777" w:rsidR="002C6E12" w:rsidRPr="00DB2D18" w:rsidRDefault="002C6E12" w:rsidP="00FE68E8">
            <w:pPr>
              <w:jc w:val="right"/>
              <w:rPr>
                <w:lang w:eastAsia="en-GB"/>
              </w:rPr>
            </w:pPr>
            <w:r w:rsidRPr="00DB2D18">
              <w:rPr>
                <w:lang w:eastAsia="en-GB"/>
              </w:rPr>
              <w:t>755</w:t>
            </w:r>
          </w:p>
        </w:tc>
        <w:tc>
          <w:tcPr>
            <w:tcW w:w="287" w:type="pct"/>
            <w:tcBorders>
              <w:top w:val="nil"/>
              <w:left w:val="nil"/>
              <w:bottom w:val="single" w:sz="4" w:space="0" w:color="auto"/>
              <w:right w:val="single" w:sz="4" w:space="0" w:color="auto"/>
            </w:tcBorders>
            <w:shd w:val="clear" w:color="000000" w:fill="FFFFFF"/>
            <w:noWrap/>
            <w:vAlign w:val="center"/>
            <w:hideMark/>
          </w:tcPr>
          <w:p w14:paraId="7A7D893D" w14:textId="77777777" w:rsidR="002C6E12" w:rsidRPr="00DB2D18" w:rsidRDefault="002C6E12" w:rsidP="00FE68E8">
            <w:pPr>
              <w:jc w:val="right"/>
              <w:rPr>
                <w:lang w:eastAsia="en-GB"/>
              </w:rPr>
            </w:pPr>
            <w:r w:rsidRPr="00DB2D18">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D06DC40" w14:textId="77777777" w:rsidR="002C6E12" w:rsidRPr="00DB2D18" w:rsidRDefault="002C6E12" w:rsidP="00FE68E8">
            <w:pPr>
              <w:jc w:val="right"/>
              <w:rPr>
                <w:lang w:eastAsia="en-GB"/>
              </w:rPr>
            </w:pPr>
            <w:r w:rsidRPr="00DB2D18">
              <w:rPr>
                <w:lang w:eastAsia="en-GB"/>
              </w:rPr>
              <w:t>685</w:t>
            </w:r>
          </w:p>
        </w:tc>
        <w:tc>
          <w:tcPr>
            <w:tcW w:w="287" w:type="pct"/>
            <w:tcBorders>
              <w:top w:val="nil"/>
              <w:left w:val="nil"/>
              <w:bottom w:val="single" w:sz="4" w:space="0" w:color="auto"/>
              <w:right w:val="single" w:sz="4" w:space="0" w:color="auto"/>
            </w:tcBorders>
            <w:shd w:val="clear" w:color="000000" w:fill="FFFFFF"/>
            <w:noWrap/>
            <w:vAlign w:val="center"/>
            <w:hideMark/>
          </w:tcPr>
          <w:p w14:paraId="4B3C5D17" w14:textId="77777777" w:rsidR="002C6E12" w:rsidRPr="00DB2D18" w:rsidRDefault="002C6E12" w:rsidP="00FE68E8">
            <w:pPr>
              <w:jc w:val="right"/>
              <w:rPr>
                <w:lang w:eastAsia="en-GB"/>
              </w:rPr>
            </w:pPr>
            <w:r w:rsidRPr="00DB2D18">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5CC0D06" w14:textId="77777777" w:rsidR="002C6E12" w:rsidRPr="00DB2D18" w:rsidRDefault="002C6E12" w:rsidP="00FE68E8">
            <w:pPr>
              <w:jc w:val="right"/>
              <w:rPr>
                <w:lang w:eastAsia="en-GB"/>
              </w:rPr>
            </w:pPr>
            <w:r w:rsidRPr="00DB2D18">
              <w:rPr>
                <w:lang w:eastAsia="en-GB"/>
              </w:rPr>
              <w:t>725</w:t>
            </w:r>
          </w:p>
        </w:tc>
        <w:tc>
          <w:tcPr>
            <w:tcW w:w="288" w:type="pct"/>
            <w:tcBorders>
              <w:top w:val="nil"/>
              <w:left w:val="nil"/>
              <w:bottom w:val="single" w:sz="4" w:space="0" w:color="auto"/>
              <w:right w:val="single" w:sz="4" w:space="0" w:color="auto"/>
            </w:tcBorders>
            <w:shd w:val="clear" w:color="000000" w:fill="FFFFFF"/>
            <w:noWrap/>
            <w:vAlign w:val="center"/>
            <w:hideMark/>
          </w:tcPr>
          <w:p w14:paraId="601C9EEE" w14:textId="77777777" w:rsidR="002C6E12" w:rsidRPr="00DB2D18" w:rsidRDefault="002C6E12" w:rsidP="00FE68E8">
            <w:pPr>
              <w:jc w:val="right"/>
              <w:rPr>
                <w:lang w:eastAsia="en-GB"/>
              </w:rPr>
            </w:pPr>
            <w:r w:rsidRPr="00DB2D18">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50A050D" w14:textId="77777777" w:rsidR="002C6E12" w:rsidRPr="00DB2D18" w:rsidRDefault="002C6E12" w:rsidP="00FE68E8">
            <w:pPr>
              <w:jc w:val="right"/>
              <w:rPr>
                <w:lang w:eastAsia="en-GB"/>
              </w:rPr>
            </w:pPr>
            <w:r w:rsidRPr="00DB2D18">
              <w:rPr>
                <w:lang w:eastAsia="en-GB"/>
              </w:rPr>
              <w:t>645</w:t>
            </w:r>
          </w:p>
        </w:tc>
        <w:tc>
          <w:tcPr>
            <w:tcW w:w="287" w:type="pct"/>
            <w:tcBorders>
              <w:top w:val="nil"/>
              <w:left w:val="nil"/>
              <w:bottom w:val="single" w:sz="4" w:space="0" w:color="auto"/>
              <w:right w:val="single" w:sz="4" w:space="0" w:color="auto"/>
            </w:tcBorders>
            <w:shd w:val="clear" w:color="000000" w:fill="FFFFFF"/>
            <w:noWrap/>
            <w:vAlign w:val="center"/>
            <w:hideMark/>
          </w:tcPr>
          <w:p w14:paraId="2C708F7A" w14:textId="77777777" w:rsidR="002C6E12" w:rsidRPr="00DB2D18" w:rsidRDefault="002C6E12" w:rsidP="00FE68E8">
            <w:pPr>
              <w:jc w:val="right"/>
              <w:rPr>
                <w:lang w:eastAsia="en-GB"/>
              </w:rPr>
            </w:pPr>
            <w:r w:rsidRPr="00DB2D18">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53D074B" w14:textId="77777777" w:rsidR="002C6E12" w:rsidRPr="00DB2D18" w:rsidRDefault="002C6E12" w:rsidP="00FE68E8">
            <w:pPr>
              <w:jc w:val="right"/>
              <w:rPr>
                <w:lang w:eastAsia="en-GB"/>
              </w:rPr>
            </w:pPr>
            <w:r w:rsidRPr="00DB2D18">
              <w:rPr>
                <w:lang w:eastAsia="en-GB"/>
              </w:rPr>
              <w:t>610</w:t>
            </w:r>
          </w:p>
        </w:tc>
        <w:tc>
          <w:tcPr>
            <w:tcW w:w="283" w:type="pct"/>
            <w:tcBorders>
              <w:top w:val="nil"/>
              <w:left w:val="nil"/>
              <w:bottom w:val="single" w:sz="4" w:space="0" w:color="auto"/>
              <w:right w:val="single" w:sz="4" w:space="0" w:color="auto"/>
            </w:tcBorders>
            <w:shd w:val="clear" w:color="000000" w:fill="FFFFFF"/>
            <w:noWrap/>
            <w:vAlign w:val="center"/>
            <w:hideMark/>
          </w:tcPr>
          <w:p w14:paraId="414DCF7E" w14:textId="77777777" w:rsidR="002C6E12" w:rsidRPr="00DB2D18" w:rsidRDefault="002C6E12" w:rsidP="00FE68E8">
            <w:pPr>
              <w:jc w:val="right"/>
              <w:rPr>
                <w:lang w:eastAsia="en-GB"/>
              </w:rPr>
            </w:pPr>
            <w:r w:rsidRPr="00DB2D18">
              <w:rPr>
                <w:lang w:eastAsia="en-GB"/>
              </w:rPr>
              <w:t>1%</w:t>
            </w:r>
          </w:p>
        </w:tc>
      </w:tr>
      <w:tr w:rsidR="00BD5EF5" w:rsidRPr="00A52AEE" w14:paraId="0D7EAB85"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38E97C2" w14:textId="0AC56FA7" w:rsidR="002C6E12" w:rsidRPr="00855E4A" w:rsidRDefault="00E012DF" w:rsidP="00A52AEE">
            <w:pPr>
              <w:rPr>
                <w:sz w:val="22"/>
                <w:lang w:eastAsia="en-GB"/>
              </w:rPr>
            </w:pPr>
            <w:r w:rsidRPr="00855E4A">
              <w:rPr>
                <w:sz w:val="22"/>
                <w:lang w:eastAsia="en-GB"/>
              </w:rPr>
              <w:t>Christ the King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060DACD" w14:textId="77777777" w:rsidR="002C6E12" w:rsidRPr="00A52AEE" w:rsidRDefault="002C6E12" w:rsidP="00FE68E8">
            <w:pPr>
              <w:jc w:val="right"/>
              <w:rPr>
                <w:lang w:eastAsia="en-GB"/>
              </w:rPr>
            </w:pPr>
            <w:r w:rsidRPr="00A52AEE">
              <w:rPr>
                <w:lang w:eastAsia="en-GB"/>
              </w:rPr>
              <w:t>700</w:t>
            </w:r>
          </w:p>
        </w:tc>
        <w:tc>
          <w:tcPr>
            <w:tcW w:w="287" w:type="pct"/>
            <w:tcBorders>
              <w:top w:val="nil"/>
              <w:left w:val="nil"/>
              <w:bottom w:val="single" w:sz="4" w:space="0" w:color="auto"/>
              <w:right w:val="single" w:sz="4" w:space="0" w:color="auto"/>
            </w:tcBorders>
            <w:shd w:val="clear" w:color="000000" w:fill="FFFFFF"/>
            <w:noWrap/>
            <w:vAlign w:val="center"/>
            <w:hideMark/>
          </w:tcPr>
          <w:p w14:paraId="3EB69E79"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EEA640A" w14:textId="77777777" w:rsidR="002C6E12" w:rsidRPr="00A52AEE" w:rsidRDefault="002C6E12" w:rsidP="00FE68E8">
            <w:pPr>
              <w:jc w:val="right"/>
              <w:rPr>
                <w:lang w:eastAsia="en-GB"/>
              </w:rPr>
            </w:pPr>
            <w:r w:rsidRPr="00A52AEE">
              <w:rPr>
                <w:lang w:eastAsia="en-GB"/>
              </w:rPr>
              <w:t>660</w:t>
            </w:r>
          </w:p>
        </w:tc>
        <w:tc>
          <w:tcPr>
            <w:tcW w:w="287" w:type="pct"/>
            <w:tcBorders>
              <w:top w:val="nil"/>
              <w:left w:val="nil"/>
              <w:bottom w:val="single" w:sz="4" w:space="0" w:color="auto"/>
              <w:right w:val="single" w:sz="4" w:space="0" w:color="auto"/>
            </w:tcBorders>
            <w:shd w:val="clear" w:color="000000" w:fill="FFFFFF"/>
            <w:noWrap/>
            <w:vAlign w:val="center"/>
            <w:hideMark/>
          </w:tcPr>
          <w:p w14:paraId="010CDCE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5835AC3" w14:textId="77777777" w:rsidR="002C6E12" w:rsidRPr="00A52AEE" w:rsidRDefault="002C6E12" w:rsidP="00FE68E8">
            <w:pPr>
              <w:jc w:val="right"/>
              <w:rPr>
                <w:lang w:eastAsia="en-GB"/>
              </w:rPr>
            </w:pPr>
            <w:r w:rsidRPr="00A52AEE">
              <w:rPr>
                <w:lang w:eastAsia="en-GB"/>
              </w:rPr>
              <w:t>800</w:t>
            </w:r>
          </w:p>
        </w:tc>
        <w:tc>
          <w:tcPr>
            <w:tcW w:w="288" w:type="pct"/>
            <w:tcBorders>
              <w:top w:val="nil"/>
              <w:left w:val="nil"/>
              <w:bottom w:val="single" w:sz="4" w:space="0" w:color="auto"/>
              <w:right w:val="single" w:sz="4" w:space="0" w:color="auto"/>
            </w:tcBorders>
            <w:shd w:val="clear" w:color="000000" w:fill="FFFFFF"/>
            <w:noWrap/>
            <w:vAlign w:val="center"/>
            <w:hideMark/>
          </w:tcPr>
          <w:p w14:paraId="7B3DEAAA"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16082C8" w14:textId="77777777" w:rsidR="002C6E12" w:rsidRPr="00A52AEE" w:rsidRDefault="002C6E12" w:rsidP="00FE68E8">
            <w:pPr>
              <w:jc w:val="right"/>
              <w:rPr>
                <w:lang w:eastAsia="en-GB"/>
              </w:rPr>
            </w:pPr>
            <w:r w:rsidRPr="00A52AEE">
              <w:rPr>
                <w:lang w:eastAsia="en-GB"/>
              </w:rPr>
              <w:t>1225</w:t>
            </w:r>
          </w:p>
        </w:tc>
        <w:tc>
          <w:tcPr>
            <w:tcW w:w="287" w:type="pct"/>
            <w:tcBorders>
              <w:top w:val="nil"/>
              <w:left w:val="nil"/>
              <w:bottom w:val="single" w:sz="4" w:space="0" w:color="auto"/>
              <w:right w:val="single" w:sz="4" w:space="0" w:color="auto"/>
            </w:tcBorders>
            <w:shd w:val="clear" w:color="000000" w:fill="FFFFFF"/>
            <w:noWrap/>
            <w:vAlign w:val="center"/>
            <w:hideMark/>
          </w:tcPr>
          <w:p w14:paraId="3E85F26C"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3B1E2D1" w14:textId="77777777" w:rsidR="002C6E12" w:rsidRPr="00A52AEE" w:rsidRDefault="002C6E12" w:rsidP="00FE68E8">
            <w:pPr>
              <w:jc w:val="right"/>
              <w:rPr>
                <w:lang w:eastAsia="en-GB"/>
              </w:rPr>
            </w:pPr>
            <w:r w:rsidRPr="00A52AEE">
              <w:rPr>
                <w:lang w:eastAsia="en-GB"/>
              </w:rPr>
              <w:t>690</w:t>
            </w:r>
          </w:p>
        </w:tc>
        <w:tc>
          <w:tcPr>
            <w:tcW w:w="283" w:type="pct"/>
            <w:tcBorders>
              <w:top w:val="nil"/>
              <w:left w:val="nil"/>
              <w:bottom w:val="single" w:sz="4" w:space="0" w:color="auto"/>
              <w:right w:val="single" w:sz="4" w:space="0" w:color="auto"/>
            </w:tcBorders>
            <w:shd w:val="clear" w:color="000000" w:fill="FFFFFF"/>
            <w:noWrap/>
            <w:vAlign w:val="center"/>
            <w:hideMark/>
          </w:tcPr>
          <w:p w14:paraId="4A572DA3" w14:textId="77777777" w:rsidR="002C6E12" w:rsidRPr="00A52AEE" w:rsidRDefault="002C6E12" w:rsidP="00FE68E8">
            <w:pPr>
              <w:jc w:val="right"/>
              <w:rPr>
                <w:lang w:eastAsia="en-GB"/>
              </w:rPr>
            </w:pPr>
            <w:r w:rsidRPr="00A52AEE">
              <w:rPr>
                <w:lang w:eastAsia="en-GB"/>
              </w:rPr>
              <w:t>1%</w:t>
            </w:r>
          </w:p>
        </w:tc>
      </w:tr>
      <w:tr w:rsidR="00BD5EF5" w:rsidRPr="00A52AEE" w14:paraId="2DBFB9E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F86D6F8" w14:textId="1A151938" w:rsidR="002C6E12" w:rsidRPr="00855E4A" w:rsidRDefault="00E012DF" w:rsidP="00A52AEE">
            <w:pPr>
              <w:rPr>
                <w:sz w:val="22"/>
                <w:lang w:eastAsia="en-GB"/>
              </w:rPr>
            </w:pPr>
            <w:r w:rsidRPr="00855E4A">
              <w:rPr>
                <w:sz w:val="22"/>
                <w:lang w:eastAsia="en-GB"/>
              </w:rPr>
              <w:t>City and Islington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2F1D724" w14:textId="77777777" w:rsidR="002C6E12" w:rsidRPr="00A52AEE" w:rsidRDefault="002C6E12" w:rsidP="00FE68E8">
            <w:pPr>
              <w:jc w:val="right"/>
              <w:rPr>
                <w:lang w:eastAsia="en-GB"/>
              </w:rPr>
            </w:pPr>
            <w:r w:rsidRPr="00A52AEE">
              <w:rPr>
                <w:lang w:eastAsia="en-GB"/>
              </w:rPr>
              <w:t>2015</w:t>
            </w:r>
          </w:p>
        </w:tc>
        <w:tc>
          <w:tcPr>
            <w:tcW w:w="287" w:type="pct"/>
            <w:tcBorders>
              <w:top w:val="nil"/>
              <w:left w:val="nil"/>
              <w:bottom w:val="single" w:sz="4" w:space="0" w:color="auto"/>
              <w:right w:val="single" w:sz="4" w:space="0" w:color="auto"/>
            </w:tcBorders>
            <w:shd w:val="clear" w:color="000000" w:fill="FFFFFF"/>
            <w:noWrap/>
            <w:vAlign w:val="center"/>
            <w:hideMark/>
          </w:tcPr>
          <w:p w14:paraId="12D73AE6"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65FB5396" w14:textId="77777777" w:rsidR="002C6E12" w:rsidRPr="00A52AEE" w:rsidRDefault="002C6E12" w:rsidP="00FE68E8">
            <w:pPr>
              <w:jc w:val="right"/>
              <w:rPr>
                <w:lang w:eastAsia="en-GB"/>
              </w:rPr>
            </w:pPr>
            <w:r w:rsidRPr="00A52AEE">
              <w:rPr>
                <w:lang w:eastAsia="en-GB"/>
              </w:rPr>
              <w:t>1815</w:t>
            </w:r>
          </w:p>
        </w:tc>
        <w:tc>
          <w:tcPr>
            <w:tcW w:w="287" w:type="pct"/>
            <w:tcBorders>
              <w:top w:val="nil"/>
              <w:left w:val="nil"/>
              <w:bottom w:val="single" w:sz="4" w:space="0" w:color="auto"/>
              <w:right w:val="single" w:sz="4" w:space="0" w:color="auto"/>
            </w:tcBorders>
            <w:shd w:val="clear" w:color="000000" w:fill="FFFFFF"/>
            <w:noWrap/>
            <w:vAlign w:val="center"/>
            <w:hideMark/>
          </w:tcPr>
          <w:p w14:paraId="75C27DA7"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415B598B" w14:textId="77777777" w:rsidR="002C6E12" w:rsidRPr="00A52AEE" w:rsidRDefault="002C6E12" w:rsidP="00FE68E8">
            <w:pPr>
              <w:jc w:val="right"/>
              <w:rPr>
                <w:lang w:eastAsia="en-GB"/>
              </w:rPr>
            </w:pPr>
            <w:r w:rsidRPr="00A52AEE">
              <w:rPr>
                <w:lang w:eastAsia="en-GB"/>
              </w:rPr>
              <w:t>2015</w:t>
            </w:r>
          </w:p>
        </w:tc>
        <w:tc>
          <w:tcPr>
            <w:tcW w:w="288" w:type="pct"/>
            <w:tcBorders>
              <w:top w:val="nil"/>
              <w:left w:val="nil"/>
              <w:bottom w:val="single" w:sz="4" w:space="0" w:color="auto"/>
              <w:right w:val="single" w:sz="4" w:space="0" w:color="auto"/>
            </w:tcBorders>
            <w:shd w:val="clear" w:color="000000" w:fill="FFFFFF"/>
            <w:noWrap/>
            <w:vAlign w:val="center"/>
            <w:hideMark/>
          </w:tcPr>
          <w:p w14:paraId="6886F64C"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1CA3A26B" w14:textId="77777777" w:rsidR="002C6E12" w:rsidRPr="00A52AEE" w:rsidRDefault="002C6E12" w:rsidP="00FE68E8">
            <w:pPr>
              <w:jc w:val="right"/>
              <w:rPr>
                <w:lang w:eastAsia="en-GB"/>
              </w:rPr>
            </w:pPr>
            <w:r w:rsidRPr="00A52AEE">
              <w:rPr>
                <w:lang w:eastAsia="en-GB"/>
              </w:rPr>
              <w:t>2025</w:t>
            </w:r>
          </w:p>
        </w:tc>
        <w:tc>
          <w:tcPr>
            <w:tcW w:w="287" w:type="pct"/>
            <w:tcBorders>
              <w:top w:val="nil"/>
              <w:left w:val="nil"/>
              <w:bottom w:val="single" w:sz="4" w:space="0" w:color="auto"/>
              <w:right w:val="single" w:sz="4" w:space="0" w:color="auto"/>
            </w:tcBorders>
            <w:shd w:val="clear" w:color="000000" w:fill="FFFFFF"/>
            <w:noWrap/>
            <w:vAlign w:val="center"/>
            <w:hideMark/>
          </w:tcPr>
          <w:p w14:paraId="4C9AB06C"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656EF8FF" w14:textId="77777777" w:rsidR="002C6E12" w:rsidRPr="00A52AEE" w:rsidRDefault="002C6E12" w:rsidP="00FE68E8">
            <w:pPr>
              <w:jc w:val="right"/>
              <w:rPr>
                <w:lang w:eastAsia="en-GB"/>
              </w:rPr>
            </w:pPr>
            <w:r w:rsidRPr="00A52AEE">
              <w:rPr>
                <w:lang w:eastAsia="en-GB"/>
              </w:rPr>
              <w:t>2435</w:t>
            </w:r>
          </w:p>
        </w:tc>
        <w:tc>
          <w:tcPr>
            <w:tcW w:w="283" w:type="pct"/>
            <w:tcBorders>
              <w:top w:val="nil"/>
              <w:left w:val="nil"/>
              <w:bottom w:val="single" w:sz="4" w:space="0" w:color="auto"/>
              <w:right w:val="single" w:sz="4" w:space="0" w:color="auto"/>
            </w:tcBorders>
            <w:shd w:val="clear" w:color="000000" w:fill="FFFFFF"/>
            <w:noWrap/>
            <w:vAlign w:val="center"/>
            <w:hideMark/>
          </w:tcPr>
          <w:p w14:paraId="6D533FB3" w14:textId="77777777" w:rsidR="002C6E12" w:rsidRPr="00A52AEE" w:rsidRDefault="002C6E12" w:rsidP="00FE68E8">
            <w:pPr>
              <w:jc w:val="right"/>
              <w:rPr>
                <w:lang w:eastAsia="en-GB"/>
              </w:rPr>
            </w:pPr>
            <w:r w:rsidRPr="00A52AEE">
              <w:rPr>
                <w:lang w:eastAsia="en-GB"/>
              </w:rPr>
              <w:t>5%</w:t>
            </w:r>
          </w:p>
        </w:tc>
      </w:tr>
      <w:tr w:rsidR="00BD5EF5" w:rsidRPr="00A52AEE" w14:paraId="18DA3EB4"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2F4BA0C5" w14:textId="1630648F" w:rsidR="002C6E12" w:rsidRPr="00855E4A" w:rsidRDefault="004D2866" w:rsidP="00A52AEE">
            <w:pPr>
              <w:rPr>
                <w:sz w:val="22"/>
                <w:lang w:eastAsia="en-GB"/>
              </w:rPr>
            </w:pPr>
            <w:r>
              <w:rPr>
                <w:sz w:val="22"/>
                <w:lang w:eastAsia="en-GB"/>
              </w:rPr>
              <w:t>City of Westm</w:t>
            </w:r>
            <w:r w:rsidR="00E012DF" w:rsidRPr="00855E4A">
              <w:rPr>
                <w:sz w:val="22"/>
                <w:lang w:eastAsia="en-GB"/>
              </w:rPr>
              <w:t>inster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36374D8" w14:textId="77777777" w:rsidR="002C6E12" w:rsidRPr="00A52AEE" w:rsidRDefault="002C6E12" w:rsidP="00FE68E8">
            <w:pPr>
              <w:jc w:val="right"/>
              <w:rPr>
                <w:lang w:eastAsia="en-GB"/>
              </w:rPr>
            </w:pPr>
            <w:r w:rsidRPr="00A52AEE">
              <w:rPr>
                <w:lang w:eastAsia="en-GB"/>
              </w:rPr>
              <w:t>1100</w:t>
            </w:r>
          </w:p>
        </w:tc>
        <w:tc>
          <w:tcPr>
            <w:tcW w:w="287" w:type="pct"/>
            <w:tcBorders>
              <w:top w:val="nil"/>
              <w:left w:val="nil"/>
              <w:bottom w:val="single" w:sz="4" w:space="0" w:color="auto"/>
              <w:right w:val="single" w:sz="4" w:space="0" w:color="auto"/>
            </w:tcBorders>
            <w:shd w:val="clear" w:color="000000" w:fill="FFFFFF"/>
            <w:noWrap/>
            <w:vAlign w:val="center"/>
            <w:hideMark/>
          </w:tcPr>
          <w:p w14:paraId="19863CB1"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4DD30AF2" w14:textId="77777777" w:rsidR="002C6E12" w:rsidRPr="00A52AEE" w:rsidRDefault="002C6E12" w:rsidP="00FE68E8">
            <w:pPr>
              <w:jc w:val="right"/>
              <w:rPr>
                <w:lang w:eastAsia="en-GB"/>
              </w:rPr>
            </w:pPr>
            <w:r w:rsidRPr="00A52AEE">
              <w:rPr>
                <w:lang w:eastAsia="en-GB"/>
              </w:rPr>
              <w:t>1485</w:t>
            </w:r>
          </w:p>
        </w:tc>
        <w:tc>
          <w:tcPr>
            <w:tcW w:w="287" w:type="pct"/>
            <w:tcBorders>
              <w:top w:val="nil"/>
              <w:left w:val="nil"/>
              <w:bottom w:val="single" w:sz="4" w:space="0" w:color="auto"/>
              <w:right w:val="single" w:sz="4" w:space="0" w:color="auto"/>
            </w:tcBorders>
            <w:shd w:val="clear" w:color="000000" w:fill="FFFFFF"/>
            <w:noWrap/>
            <w:vAlign w:val="center"/>
            <w:hideMark/>
          </w:tcPr>
          <w:p w14:paraId="3457CC0B"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273B8B94" w14:textId="77777777" w:rsidR="002C6E12" w:rsidRPr="00A52AEE" w:rsidRDefault="002C6E12" w:rsidP="00FE68E8">
            <w:pPr>
              <w:jc w:val="right"/>
              <w:rPr>
                <w:lang w:eastAsia="en-GB"/>
              </w:rPr>
            </w:pPr>
            <w:r w:rsidRPr="00A52AEE">
              <w:rPr>
                <w:lang w:eastAsia="en-GB"/>
              </w:rPr>
              <w:t>1415</w:t>
            </w:r>
          </w:p>
        </w:tc>
        <w:tc>
          <w:tcPr>
            <w:tcW w:w="288" w:type="pct"/>
            <w:tcBorders>
              <w:top w:val="nil"/>
              <w:left w:val="nil"/>
              <w:bottom w:val="single" w:sz="4" w:space="0" w:color="auto"/>
              <w:right w:val="single" w:sz="4" w:space="0" w:color="auto"/>
            </w:tcBorders>
            <w:shd w:val="clear" w:color="000000" w:fill="FFFFFF"/>
            <w:noWrap/>
            <w:vAlign w:val="center"/>
            <w:hideMark/>
          </w:tcPr>
          <w:p w14:paraId="32666E7B"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1EA923A0" w14:textId="77777777" w:rsidR="002C6E12" w:rsidRPr="00A52AEE" w:rsidRDefault="002C6E12" w:rsidP="00FE68E8">
            <w:pPr>
              <w:jc w:val="right"/>
              <w:rPr>
                <w:lang w:eastAsia="en-GB"/>
              </w:rPr>
            </w:pPr>
            <w:r w:rsidRPr="00A52AEE">
              <w:rPr>
                <w:lang w:eastAsia="en-GB"/>
              </w:rPr>
              <w:t>1140</w:t>
            </w:r>
          </w:p>
        </w:tc>
        <w:tc>
          <w:tcPr>
            <w:tcW w:w="287" w:type="pct"/>
            <w:tcBorders>
              <w:top w:val="nil"/>
              <w:left w:val="nil"/>
              <w:bottom w:val="single" w:sz="4" w:space="0" w:color="auto"/>
              <w:right w:val="single" w:sz="4" w:space="0" w:color="auto"/>
            </w:tcBorders>
            <w:shd w:val="clear" w:color="000000" w:fill="FFFFFF"/>
            <w:noWrap/>
            <w:vAlign w:val="center"/>
            <w:hideMark/>
          </w:tcPr>
          <w:p w14:paraId="59C87AC7"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B1B1355" w14:textId="77777777" w:rsidR="002C6E12" w:rsidRPr="00A52AEE" w:rsidRDefault="002C6E12" w:rsidP="00FE68E8">
            <w:pPr>
              <w:jc w:val="right"/>
              <w:rPr>
                <w:lang w:eastAsia="en-GB"/>
              </w:rPr>
            </w:pPr>
            <w:r w:rsidRPr="00A52AEE">
              <w:rPr>
                <w:lang w:eastAsia="en-GB"/>
              </w:rPr>
              <w:t>1585</w:t>
            </w:r>
          </w:p>
        </w:tc>
        <w:tc>
          <w:tcPr>
            <w:tcW w:w="283" w:type="pct"/>
            <w:tcBorders>
              <w:top w:val="nil"/>
              <w:left w:val="nil"/>
              <w:bottom w:val="single" w:sz="4" w:space="0" w:color="auto"/>
              <w:right w:val="single" w:sz="4" w:space="0" w:color="auto"/>
            </w:tcBorders>
            <w:shd w:val="clear" w:color="000000" w:fill="FFFFFF"/>
            <w:noWrap/>
            <w:vAlign w:val="center"/>
            <w:hideMark/>
          </w:tcPr>
          <w:p w14:paraId="58C1AB6C" w14:textId="77777777" w:rsidR="002C6E12" w:rsidRPr="00A52AEE" w:rsidRDefault="002C6E12" w:rsidP="00FE68E8">
            <w:pPr>
              <w:jc w:val="right"/>
              <w:rPr>
                <w:lang w:eastAsia="en-GB"/>
              </w:rPr>
            </w:pPr>
            <w:r w:rsidRPr="00A52AEE">
              <w:rPr>
                <w:lang w:eastAsia="en-GB"/>
              </w:rPr>
              <w:t>3%</w:t>
            </w:r>
          </w:p>
        </w:tc>
      </w:tr>
      <w:tr w:rsidR="00BD5EF5" w:rsidRPr="00A52AEE" w14:paraId="266EB712"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7A44B86" w14:textId="5B9AE447" w:rsidR="002C6E12" w:rsidRPr="00855E4A" w:rsidRDefault="004D2866" w:rsidP="004D2866">
            <w:pPr>
              <w:rPr>
                <w:sz w:val="22"/>
                <w:lang w:eastAsia="en-GB"/>
              </w:rPr>
            </w:pPr>
            <w:r>
              <w:rPr>
                <w:sz w:val="22"/>
                <w:lang w:eastAsia="en-GB"/>
              </w:rPr>
              <w:t>College of Haringey, Enfield and North East London</w:t>
            </w:r>
          </w:p>
        </w:tc>
        <w:tc>
          <w:tcPr>
            <w:tcW w:w="430" w:type="pct"/>
            <w:tcBorders>
              <w:top w:val="nil"/>
              <w:left w:val="nil"/>
              <w:bottom w:val="single" w:sz="4" w:space="0" w:color="auto"/>
              <w:right w:val="single" w:sz="4" w:space="0" w:color="auto"/>
            </w:tcBorders>
            <w:shd w:val="clear" w:color="000000" w:fill="FFFFFF"/>
            <w:noWrap/>
            <w:vAlign w:val="center"/>
            <w:hideMark/>
          </w:tcPr>
          <w:p w14:paraId="44F1F5C6" w14:textId="77777777" w:rsidR="002C6E12" w:rsidRPr="00A52AEE" w:rsidRDefault="002C6E12" w:rsidP="00FE68E8">
            <w:pPr>
              <w:jc w:val="right"/>
              <w:rPr>
                <w:lang w:eastAsia="en-GB"/>
              </w:rPr>
            </w:pPr>
            <w:r w:rsidRPr="00A52AEE">
              <w:rPr>
                <w:lang w:eastAsia="en-GB"/>
              </w:rPr>
              <w:t>890</w:t>
            </w:r>
          </w:p>
        </w:tc>
        <w:tc>
          <w:tcPr>
            <w:tcW w:w="287" w:type="pct"/>
            <w:tcBorders>
              <w:top w:val="nil"/>
              <w:left w:val="nil"/>
              <w:bottom w:val="single" w:sz="4" w:space="0" w:color="auto"/>
              <w:right w:val="single" w:sz="4" w:space="0" w:color="auto"/>
            </w:tcBorders>
            <w:shd w:val="clear" w:color="000000" w:fill="FFFFFF"/>
            <w:noWrap/>
            <w:vAlign w:val="center"/>
            <w:hideMark/>
          </w:tcPr>
          <w:p w14:paraId="116E793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562CBCA5" w14:textId="77777777" w:rsidR="002C6E12" w:rsidRPr="00A52AEE" w:rsidRDefault="002C6E12" w:rsidP="00FE68E8">
            <w:pPr>
              <w:jc w:val="right"/>
              <w:rPr>
                <w:lang w:eastAsia="en-GB"/>
              </w:rPr>
            </w:pPr>
            <w:r w:rsidRPr="00A52AEE">
              <w:rPr>
                <w:lang w:eastAsia="en-GB"/>
              </w:rPr>
              <w:t>920</w:t>
            </w:r>
          </w:p>
        </w:tc>
        <w:tc>
          <w:tcPr>
            <w:tcW w:w="287" w:type="pct"/>
            <w:tcBorders>
              <w:top w:val="nil"/>
              <w:left w:val="nil"/>
              <w:bottom w:val="single" w:sz="4" w:space="0" w:color="auto"/>
              <w:right w:val="single" w:sz="4" w:space="0" w:color="auto"/>
            </w:tcBorders>
            <w:shd w:val="clear" w:color="000000" w:fill="FFFFFF"/>
            <w:noWrap/>
            <w:vAlign w:val="center"/>
            <w:hideMark/>
          </w:tcPr>
          <w:p w14:paraId="0D4DF058"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020A10C0" w14:textId="77777777" w:rsidR="002C6E12" w:rsidRPr="00A52AEE" w:rsidRDefault="002C6E12" w:rsidP="00FE68E8">
            <w:pPr>
              <w:jc w:val="right"/>
              <w:rPr>
                <w:lang w:eastAsia="en-GB"/>
              </w:rPr>
            </w:pPr>
            <w:r w:rsidRPr="00A52AEE">
              <w:rPr>
                <w:lang w:eastAsia="en-GB"/>
              </w:rPr>
              <w:t>1445</w:t>
            </w:r>
          </w:p>
        </w:tc>
        <w:tc>
          <w:tcPr>
            <w:tcW w:w="288" w:type="pct"/>
            <w:tcBorders>
              <w:top w:val="nil"/>
              <w:left w:val="nil"/>
              <w:bottom w:val="single" w:sz="4" w:space="0" w:color="auto"/>
              <w:right w:val="single" w:sz="4" w:space="0" w:color="auto"/>
            </w:tcBorders>
            <w:shd w:val="clear" w:color="000000" w:fill="FFFFFF"/>
            <w:noWrap/>
            <w:vAlign w:val="center"/>
            <w:hideMark/>
          </w:tcPr>
          <w:p w14:paraId="573152BE"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1A401753" w14:textId="77777777" w:rsidR="002C6E12" w:rsidRPr="00A52AEE" w:rsidRDefault="002C6E12" w:rsidP="00FE68E8">
            <w:pPr>
              <w:jc w:val="right"/>
              <w:rPr>
                <w:lang w:eastAsia="en-GB"/>
              </w:rPr>
            </w:pPr>
            <w:r w:rsidRPr="00A52AEE">
              <w:rPr>
                <w:lang w:eastAsia="en-GB"/>
              </w:rPr>
              <w:t>1390</w:t>
            </w:r>
          </w:p>
        </w:tc>
        <w:tc>
          <w:tcPr>
            <w:tcW w:w="287" w:type="pct"/>
            <w:tcBorders>
              <w:top w:val="nil"/>
              <w:left w:val="nil"/>
              <w:bottom w:val="single" w:sz="4" w:space="0" w:color="auto"/>
              <w:right w:val="single" w:sz="4" w:space="0" w:color="auto"/>
            </w:tcBorders>
            <w:shd w:val="clear" w:color="000000" w:fill="FFFFFF"/>
            <w:noWrap/>
            <w:vAlign w:val="center"/>
            <w:hideMark/>
          </w:tcPr>
          <w:p w14:paraId="27CB7C88"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44753BC8" w14:textId="77777777" w:rsidR="002C6E12" w:rsidRPr="00A52AEE" w:rsidRDefault="002C6E12" w:rsidP="00FE68E8">
            <w:pPr>
              <w:jc w:val="right"/>
              <w:rPr>
                <w:lang w:eastAsia="en-GB"/>
              </w:rPr>
            </w:pPr>
            <w:r w:rsidRPr="00A52AEE">
              <w:rPr>
                <w:lang w:eastAsia="en-GB"/>
              </w:rPr>
              <w:t>1340</w:t>
            </w:r>
          </w:p>
        </w:tc>
        <w:tc>
          <w:tcPr>
            <w:tcW w:w="283" w:type="pct"/>
            <w:tcBorders>
              <w:top w:val="nil"/>
              <w:left w:val="nil"/>
              <w:bottom w:val="single" w:sz="4" w:space="0" w:color="auto"/>
              <w:right w:val="single" w:sz="4" w:space="0" w:color="auto"/>
            </w:tcBorders>
            <w:shd w:val="clear" w:color="000000" w:fill="FFFFFF"/>
            <w:noWrap/>
            <w:vAlign w:val="center"/>
            <w:hideMark/>
          </w:tcPr>
          <w:p w14:paraId="60834158" w14:textId="77777777" w:rsidR="002C6E12" w:rsidRPr="00A52AEE" w:rsidRDefault="002C6E12" w:rsidP="00FE68E8">
            <w:pPr>
              <w:jc w:val="right"/>
              <w:rPr>
                <w:lang w:eastAsia="en-GB"/>
              </w:rPr>
            </w:pPr>
            <w:r w:rsidRPr="00A52AEE">
              <w:rPr>
                <w:lang w:eastAsia="en-GB"/>
              </w:rPr>
              <w:t>3%</w:t>
            </w:r>
          </w:p>
        </w:tc>
      </w:tr>
      <w:tr w:rsidR="00BD5EF5" w:rsidRPr="00A52AEE" w14:paraId="059C97F9"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071E8D0" w14:textId="404D957E" w:rsidR="002C6E12" w:rsidRPr="00855E4A" w:rsidRDefault="00E012DF" w:rsidP="00A52AEE">
            <w:pPr>
              <w:rPr>
                <w:sz w:val="22"/>
                <w:lang w:eastAsia="en-GB"/>
              </w:rPr>
            </w:pPr>
            <w:r w:rsidRPr="00855E4A">
              <w:rPr>
                <w:sz w:val="22"/>
                <w:lang w:eastAsia="en-GB"/>
              </w:rPr>
              <w:t>College of North West London</w:t>
            </w:r>
          </w:p>
        </w:tc>
        <w:tc>
          <w:tcPr>
            <w:tcW w:w="430" w:type="pct"/>
            <w:tcBorders>
              <w:top w:val="nil"/>
              <w:left w:val="nil"/>
              <w:bottom w:val="single" w:sz="4" w:space="0" w:color="auto"/>
              <w:right w:val="single" w:sz="4" w:space="0" w:color="auto"/>
            </w:tcBorders>
            <w:shd w:val="clear" w:color="000000" w:fill="FFFFFF"/>
            <w:noWrap/>
            <w:vAlign w:val="center"/>
            <w:hideMark/>
          </w:tcPr>
          <w:p w14:paraId="2CFD1AAD" w14:textId="77777777" w:rsidR="002C6E12" w:rsidRPr="00A52AEE" w:rsidRDefault="002C6E12" w:rsidP="00FE68E8">
            <w:pPr>
              <w:jc w:val="right"/>
              <w:rPr>
                <w:lang w:eastAsia="en-GB"/>
              </w:rPr>
            </w:pPr>
            <w:r w:rsidRPr="00A52AEE">
              <w:rPr>
                <w:lang w:eastAsia="en-GB"/>
              </w:rPr>
              <w:t>1165</w:t>
            </w:r>
          </w:p>
        </w:tc>
        <w:tc>
          <w:tcPr>
            <w:tcW w:w="287" w:type="pct"/>
            <w:tcBorders>
              <w:top w:val="nil"/>
              <w:left w:val="nil"/>
              <w:bottom w:val="single" w:sz="4" w:space="0" w:color="auto"/>
              <w:right w:val="single" w:sz="4" w:space="0" w:color="auto"/>
            </w:tcBorders>
            <w:shd w:val="clear" w:color="000000" w:fill="FFFFFF"/>
            <w:noWrap/>
            <w:vAlign w:val="center"/>
            <w:hideMark/>
          </w:tcPr>
          <w:p w14:paraId="04F531A6"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4D7E6144" w14:textId="77777777" w:rsidR="002C6E12" w:rsidRPr="00A52AEE" w:rsidRDefault="002C6E12" w:rsidP="00FE68E8">
            <w:pPr>
              <w:jc w:val="right"/>
              <w:rPr>
                <w:lang w:eastAsia="en-GB"/>
              </w:rPr>
            </w:pPr>
            <w:r w:rsidRPr="00A52AEE">
              <w:rPr>
                <w:lang w:eastAsia="en-GB"/>
              </w:rPr>
              <w:t>1155</w:t>
            </w:r>
          </w:p>
        </w:tc>
        <w:tc>
          <w:tcPr>
            <w:tcW w:w="287" w:type="pct"/>
            <w:tcBorders>
              <w:top w:val="nil"/>
              <w:left w:val="nil"/>
              <w:bottom w:val="single" w:sz="4" w:space="0" w:color="auto"/>
              <w:right w:val="single" w:sz="4" w:space="0" w:color="auto"/>
            </w:tcBorders>
            <w:shd w:val="clear" w:color="000000" w:fill="FFFFFF"/>
            <w:noWrap/>
            <w:vAlign w:val="center"/>
            <w:hideMark/>
          </w:tcPr>
          <w:p w14:paraId="0466597E"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6583E23B" w14:textId="77777777" w:rsidR="002C6E12" w:rsidRPr="00A52AEE" w:rsidRDefault="002C6E12" w:rsidP="00FE68E8">
            <w:pPr>
              <w:jc w:val="right"/>
              <w:rPr>
                <w:lang w:eastAsia="en-GB"/>
              </w:rPr>
            </w:pPr>
            <w:r w:rsidRPr="00A52AEE">
              <w:rPr>
                <w:lang w:eastAsia="en-GB"/>
              </w:rPr>
              <w:t>1085</w:t>
            </w:r>
          </w:p>
        </w:tc>
        <w:tc>
          <w:tcPr>
            <w:tcW w:w="288" w:type="pct"/>
            <w:tcBorders>
              <w:top w:val="nil"/>
              <w:left w:val="nil"/>
              <w:bottom w:val="single" w:sz="4" w:space="0" w:color="auto"/>
              <w:right w:val="single" w:sz="4" w:space="0" w:color="auto"/>
            </w:tcBorders>
            <w:shd w:val="clear" w:color="000000" w:fill="FFFFFF"/>
            <w:noWrap/>
            <w:vAlign w:val="center"/>
            <w:hideMark/>
          </w:tcPr>
          <w:p w14:paraId="0F8AD8C3"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5CAA76D2" w14:textId="77777777" w:rsidR="002C6E12" w:rsidRPr="00A52AEE" w:rsidRDefault="002C6E12" w:rsidP="00FE68E8">
            <w:pPr>
              <w:jc w:val="right"/>
              <w:rPr>
                <w:lang w:eastAsia="en-GB"/>
              </w:rPr>
            </w:pPr>
            <w:r w:rsidRPr="00A52AEE">
              <w:rPr>
                <w:lang w:eastAsia="en-GB"/>
              </w:rPr>
              <w:t>970</w:t>
            </w:r>
          </w:p>
        </w:tc>
        <w:tc>
          <w:tcPr>
            <w:tcW w:w="287" w:type="pct"/>
            <w:tcBorders>
              <w:top w:val="nil"/>
              <w:left w:val="nil"/>
              <w:bottom w:val="single" w:sz="4" w:space="0" w:color="auto"/>
              <w:right w:val="single" w:sz="4" w:space="0" w:color="auto"/>
            </w:tcBorders>
            <w:shd w:val="clear" w:color="000000" w:fill="FFFFFF"/>
            <w:noWrap/>
            <w:vAlign w:val="center"/>
            <w:hideMark/>
          </w:tcPr>
          <w:p w14:paraId="129D4928"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70C4877" w14:textId="77777777" w:rsidR="002C6E12" w:rsidRPr="00A52AEE" w:rsidRDefault="002C6E12" w:rsidP="00FE68E8">
            <w:pPr>
              <w:jc w:val="right"/>
              <w:rPr>
                <w:lang w:eastAsia="en-GB"/>
              </w:rPr>
            </w:pPr>
            <w:r w:rsidRPr="00A52AEE">
              <w:rPr>
                <w:lang w:eastAsia="en-GB"/>
              </w:rPr>
              <w:t>1135</w:t>
            </w:r>
          </w:p>
        </w:tc>
        <w:tc>
          <w:tcPr>
            <w:tcW w:w="283" w:type="pct"/>
            <w:tcBorders>
              <w:top w:val="nil"/>
              <w:left w:val="nil"/>
              <w:bottom w:val="single" w:sz="4" w:space="0" w:color="auto"/>
              <w:right w:val="single" w:sz="4" w:space="0" w:color="auto"/>
            </w:tcBorders>
            <w:shd w:val="clear" w:color="000000" w:fill="FFFFFF"/>
            <w:noWrap/>
            <w:vAlign w:val="center"/>
            <w:hideMark/>
          </w:tcPr>
          <w:p w14:paraId="6D44DB43" w14:textId="77777777" w:rsidR="002C6E12" w:rsidRPr="00A52AEE" w:rsidRDefault="002C6E12" w:rsidP="00FE68E8">
            <w:pPr>
              <w:jc w:val="right"/>
              <w:rPr>
                <w:lang w:eastAsia="en-GB"/>
              </w:rPr>
            </w:pPr>
            <w:r w:rsidRPr="00A52AEE">
              <w:rPr>
                <w:lang w:eastAsia="en-GB"/>
              </w:rPr>
              <w:t>2%</w:t>
            </w:r>
          </w:p>
        </w:tc>
      </w:tr>
      <w:tr w:rsidR="00BD5EF5" w:rsidRPr="00A52AEE" w14:paraId="492630A8"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37EDE08" w14:textId="7CCC5E85" w:rsidR="002C6E12" w:rsidRPr="00855E4A" w:rsidRDefault="00E012DF" w:rsidP="00A52AEE">
            <w:pPr>
              <w:rPr>
                <w:sz w:val="22"/>
                <w:lang w:eastAsia="en-GB"/>
              </w:rPr>
            </w:pPr>
            <w:r w:rsidRPr="00855E4A">
              <w:rPr>
                <w:sz w:val="22"/>
                <w:lang w:eastAsia="en-GB"/>
              </w:rPr>
              <w:t>Croydon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1518CA0D" w14:textId="77777777" w:rsidR="002C6E12" w:rsidRPr="00A52AEE" w:rsidRDefault="002C6E12" w:rsidP="00FE68E8">
            <w:pPr>
              <w:jc w:val="right"/>
              <w:rPr>
                <w:lang w:eastAsia="en-GB"/>
              </w:rPr>
            </w:pPr>
            <w:r w:rsidRPr="00A52AEE">
              <w:rPr>
                <w:lang w:eastAsia="en-GB"/>
              </w:rPr>
              <w:t>1590</w:t>
            </w:r>
          </w:p>
        </w:tc>
        <w:tc>
          <w:tcPr>
            <w:tcW w:w="287" w:type="pct"/>
            <w:tcBorders>
              <w:top w:val="nil"/>
              <w:left w:val="nil"/>
              <w:bottom w:val="single" w:sz="4" w:space="0" w:color="auto"/>
              <w:right w:val="single" w:sz="4" w:space="0" w:color="auto"/>
            </w:tcBorders>
            <w:shd w:val="clear" w:color="000000" w:fill="FFFFFF"/>
            <w:noWrap/>
            <w:vAlign w:val="center"/>
            <w:hideMark/>
          </w:tcPr>
          <w:p w14:paraId="730C12D6"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313B8BD6" w14:textId="77777777" w:rsidR="002C6E12" w:rsidRPr="00A52AEE" w:rsidRDefault="002C6E12" w:rsidP="00FE68E8">
            <w:pPr>
              <w:jc w:val="right"/>
              <w:rPr>
                <w:lang w:eastAsia="en-GB"/>
              </w:rPr>
            </w:pPr>
            <w:r w:rsidRPr="00A52AEE">
              <w:rPr>
                <w:lang w:eastAsia="en-GB"/>
              </w:rPr>
              <w:t>1650</w:t>
            </w:r>
          </w:p>
        </w:tc>
        <w:tc>
          <w:tcPr>
            <w:tcW w:w="287" w:type="pct"/>
            <w:tcBorders>
              <w:top w:val="nil"/>
              <w:left w:val="nil"/>
              <w:bottom w:val="single" w:sz="4" w:space="0" w:color="auto"/>
              <w:right w:val="single" w:sz="4" w:space="0" w:color="auto"/>
            </w:tcBorders>
            <w:shd w:val="clear" w:color="000000" w:fill="FFFFFF"/>
            <w:noWrap/>
            <w:vAlign w:val="center"/>
            <w:hideMark/>
          </w:tcPr>
          <w:p w14:paraId="54706064"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762EB963" w14:textId="77777777" w:rsidR="002C6E12" w:rsidRPr="00A52AEE" w:rsidRDefault="002C6E12" w:rsidP="00FE68E8">
            <w:pPr>
              <w:jc w:val="right"/>
              <w:rPr>
                <w:lang w:eastAsia="en-GB"/>
              </w:rPr>
            </w:pPr>
            <w:r w:rsidRPr="00A52AEE">
              <w:rPr>
                <w:lang w:eastAsia="en-GB"/>
              </w:rPr>
              <w:t>1785</w:t>
            </w:r>
          </w:p>
        </w:tc>
        <w:tc>
          <w:tcPr>
            <w:tcW w:w="288" w:type="pct"/>
            <w:tcBorders>
              <w:top w:val="nil"/>
              <w:left w:val="nil"/>
              <w:bottom w:val="single" w:sz="4" w:space="0" w:color="auto"/>
              <w:right w:val="single" w:sz="4" w:space="0" w:color="auto"/>
            </w:tcBorders>
            <w:shd w:val="clear" w:color="000000" w:fill="FFFFFF"/>
            <w:noWrap/>
            <w:vAlign w:val="center"/>
            <w:hideMark/>
          </w:tcPr>
          <w:p w14:paraId="798AFBBB"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63E81D02" w14:textId="77777777" w:rsidR="002C6E12" w:rsidRPr="00A52AEE" w:rsidRDefault="002C6E12" w:rsidP="00FE68E8">
            <w:pPr>
              <w:jc w:val="right"/>
              <w:rPr>
                <w:lang w:eastAsia="en-GB"/>
              </w:rPr>
            </w:pPr>
            <w:r w:rsidRPr="00A52AEE">
              <w:rPr>
                <w:lang w:eastAsia="en-GB"/>
              </w:rPr>
              <w:t>1180</w:t>
            </w:r>
          </w:p>
        </w:tc>
        <w:tc>
          <w:tcPr>
            <w:tcW w:w="287" w:type="pct"/>
            <w:tcBorders>
              <w:top w:val="nil"/>
              <w:left w:val="nil"/>
              <w:bottom w:val="single" w:sz="4" w:space="0" w:color="auto"/>
              <w:right w:val="single" w:sz="4" w:space="0" w:color="auto"/>
            </w:tcBorders>
            <w:shd w:val="clear" w:color="000000" w:fill="FFFFFF"/>
            <w:noWrap/>
            <w:vAlign w:val="center"/>
            <w:hideMark/>
          </w:tcPr>
          <w:p w14:paraId="5AADBB1A"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55EFCB6E" w14:textId="77777777" w:rsidR="002C6E12" w:rsidRPr="00A52AEE" w:rsidRDefault="002C6E12" w:rsidP="00FE68E8">
            <w:pPr>
              <w:jc w:val="right"/>
              <w:rPr>
                <w:lang w:eastAsia="en-GB"/>
              </w:rPr>
            </w:pPr>
            <w:r w:rsidRPr="00A52AEE">
              <w:rPr>
                <w:lang w:eastAsia="en-GB"/>
              </w:rPr>
              <w:t>1200</w:t>
            </w:r>
          </w:p>
        </w:tc>
        <w:tc>
          <w:tcPr>
            <w:tcW w:w="283" w:type="pct"/>
            <w:tcBorders>
              <w:top w:val="nil"/>
              <w:left w:val="nil"/>
              <w:bottom w:val="single" w:sz="4" w:space="0" w:color="auto"/>
              <w:right w:val="single" w:sz="4" w:space="0" w:color="auto"/>
            </w:tcBorders>
            <w:shd w:val="clear" w:color="000000" w:fill="FFFFFF"/>
            <w:noWrap/>
            <w:vAlign w:val="center"/>
            <w:hideMark/>
          </w:tcPr>
          <w:p w14:paraId="6B5C25E2" w14:textId="77777777" w:rsidR="002C6E12" w:rsidRPr="00A52AEE" w:rsidRDefault="002C6E12" w:rsidP="00FE68E8">
            <w:pPr>
              <w:jc w:val="right"/>
              <w:rPr>
                <w:lang w:eastAsia="en-GB"/>
              </w:rPr>
            </w:pPr>
            <w:r w:rsidRPr="00A52AEE">
              <w:rPr>
                <w:lang w:eastAsia="en-GB"/>
              </w:rPr>
              <w:t>3%</w:t>
            </w:r>
          </w:p>
        </w:tc>
      </w:tr>
      <w:tr w:rsidR="00BD5EF5" w:rsidRPr="00A52AEE" w14:paraId="1F2F59B2"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9258A0D" w14:textId="195E2FF6" w:rsidR="002C6E12" w:rsidRPr="00855E4A" w:rsidRDefault="00E012DF" w:rsidP="00A52AEE">
            <w:pPr>
              <w:rPr>
                <w:sz w:val="22"/>
                <w:lang w:eastAsia="en-GB"/>
              </w:rPr>
            </w:pPr>
            <w:r w:rsidRPr="00855E4A">
              <w:rPr>
                <w:sz w:val="22"/>
                <w:lang w:eastAsia="en-GB"/>
              </w:rPr>
              <w:t>Ealing, Hammersmith and West London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102DF994" w14:textId="77777777" w:rsidR="002C6E12" w:rsidRPr="00A52AEE" w:rsidRDefault="002C6E12" w:rsidP="00FE68E8">
            <w:pPr>
              <w:jc w:val="right"/>
              <w:rPr>
                <w:lang w:eastAsia="en-GB"/>
              </w:rPr>
            </w:pPr>
            <w:r w:rsidRPr="00A52AEE">
              <w:rPr>
                <w:lang w:eastAsia="en-GB"/>
              </w:rPr>
              <w:t>1585</w:t>
            </w:r>
          </w:p>
        </w:tc>
        <w:tc>
          <w:tcPr>
            <w:tcW w:w="287" w:type="pct"/>
            <w:tcBorders>
              <w:top w:val="nil"/>
              <w:left w:val="nil"/>
              <w:bottom w:val="single" w:sz="4" w:space="0" w:color="auto"/>
              <w:right w:val="single" w:sz="4" w:space="0" w:color="auto"/>
            </w:tcBorders>
            <w:shd w:val="clear" w:color="000000" w:fill="FFFFFF"/>
            <w:noWrap/>
            <w:vAlign w:val="center"/>
            <w:hideMark/>
          </w:tcPr>
          <w:p w14:paraId="4ECC68F9"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12E3F9DE" w14:textId="77777777" w:rsidR="002C6E12" w:rsidRPr="00A52AEE" w:rsidRDefault="002C6E12" w:rsidP="00FE68E8">
            <w:pPr>
              <w:jc w:val="right"/>
              <w:rPr>
                <w:lang w:eastAsia="en-GB"/>
              </w:rPr>
            </w:pPr>
            <w:r w:rsidRPr="00A52AEE">
              <w:rPr>
                <w:lang w:eastAsia="en-GB"/>
              </w:rPr>
              <w:t>1535</w:t>
            </w:r>
          </w:p>
        </w:tc>
        <w:tc>
          <w:tcPr>
            <w:tcW w:w="287" w:type="pct"/>
            <w:tcBorders>
              <w:top w:val="nil"/>
              <w:left w:val="nil"/>
              <w:bottom w:val="single" w:sz="4" w:space="0" w:color="auto"/>
              <w:right w:val="single" w:sz="4" w:space="0" w:color="auto"/>
            </w:tcBorders>
            <w:shd w:val="clear" w:color="000000" w:fill="FFFFFF"/>
            <w:noWrap/>
            <w:vAlign w:val="center"/>
            <w:hideMark/>
          </w:tcPr>
          <w:p w14:paraId="4EF57238"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92BAD81" w14:textId="77777777" w:rsidR="002C6E12" w:rsidRPr="00A52AEE" w:rsidRDefault="002C6E12" w:rsidP="00FE68E8">
            <w:pPr>
              <w:jc w:val="right"/>
              <w:rPr>
                <w:lang w:eastAsia="en-GB"/>
              </w:rPr>
            </w:pPr>
            <w:r w:rsidRPr="00A52AEE">
              <w:rPr>
                <w:lang w:eastAsia="en-GB"/>
              </w:rPr>
              <w:t>1740</w:t>
            </w:r>
          </w:p>
        </w:tc>
        <w:tc>
          <w:tcPr>
            <w:tcW w:w="288" w:type="pct"/>
            <w:tcBorders>
              <w:top w:val="nil"/>
              <w:left w:val="nil"/>
              <w:bottom w:val="single" w:sz="4" w:space="0" w:color="auto"/>
              <w:right w:val="single" w:sz="4" w:space="0" w:color="auto"/>
            </w:tcBorders>
            <w:shd w:val="clear" w:color="000000" w:fill="FFFFFF"/>
            <w:noWrap/>
            <w:vAlign w:val="center"/>
            <w:hideMark/>
          </w:tcPr>
          <w:p w14:paraId="5BABFB90"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6FDEAB03" w14:textId="77777777" w:rsidR="002C6E12" w:rsidRPr="00A52AEE" w:rsidRDefault="002C6E12" w:rsidP="00FE68E8">
            <w:pPr>
              <w:jc w:val="right"/>
              <w:rPr>
                <w:lang w:eastAsia="en-GB"/>
              </w:rPr>
            </w:pPr>
            <w:r w:rsidRPr="00A52AEE">
              <w:rPr>
                <w:lang w:eastAsia="en-GB"/>
              </w:rPr>
              <w:t>1880</w:t>
            </w:r>
          </w:p>
        </w:tc>
        <w:tc>
          <w:tcPr>
            <w:tcW w:w="287" w:type="pct"/>
            <w:tcBorders>
              <w:top w:val="nil"/>
              <w:left w:val="nil"/>
              <w:bottom w:val="single" w:sz="4" w:space="0" w:color="auto"/>
              <w:right w:val="single" w:sz="4" w:space="0" w:color="auto"/>
            </w:tcBorders>
            <w:shd w:val="clear" w:color="000000" w:fill="FFFFFF"/>
            <w:noWrap/>
            <w:vAlign w:val="center"/>
            <w:hideMark/>
          </w:tcPr>
          <w:p w14:paraId="4C537AEA"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399F4158" w14:textId="77777777" w:rsidR="002C6E12" w:rsidRPr="00A52AEE" w:rsidRDefault="002C6E12" w:rsidP="00FE68E8">
            <w:pPr>
              <w:jc w:val="right"/>
              <w:rPr>
                <w:lang w:eastAsia="en-GB"/>
              </w:rPr>
            </w:pPr>
            <w:r w:rsidRPr="00A52AEE">
              <w:rPr>
                <w:lang w:eastAsia="en-GB"/>
              </w:rPr>
              <w:t>1770</w:t>
            </w:r>
          </w:p>
        </w:tc>
        <w:tc>
          <w:tcPr>
            <w:tcW w:w="283" w:type="pct"/>
            <w:tcBorders>
              <w:top w:val="nil"/>
              <w:left w:val="nil"/>
              <w:bottom w:val="single" w:sz="4" w:space="0" w:color="auto"/>
              <w:right w:val="single" w:sz="4" w:space="0" w:color="auto"/>
            </w:tcBorders>
            <w:shd w:val="clear" w:color="000000" w:fill="FFFFFF"/>
            <w:noWrap/>
            <w:vAlign w:val="center"/>
            <w:hideMark/>
          </w:tcPr>
          <w:p w14:paraId="2D9A9ABF" w14:textId="77777777" w:rsidR="002C6E12" w:rsidRPr="00A52AEE" w:rsidRDefault="002C6E12" w:rsidP="00FE68E8">
            <w:pPr>
              <w:jc w:val="right"/>
              <w:rPr>
                <w:lang w:eastAsia="en-GB"/>
              </w:rPr>
            </w:pPr>
            <w:r w:rsidRPr="00A52AEE">
              <w:rPr>
                <w:lang w:eastAsia="en-GB"/>
              </w:rPr>
              <w:t>4%</w:t>
            </w:r>
          </w:p>
        </w:tc>
      </w:tr>
      <w:tr w:rsidR="00BD5EF5" w:rsidRPr="00A52AEE" w14:paraId="5CE78908"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690C000" w14:textId="53F3C6AB" w:rsidR="002C6E12" w:rsidRPr="00855E4A" w:rsidRDefault="00E012DF" w:rsidP="00A52AEE">
            <w:pPr>
              <w:rPr>
                <w:sz w:val="22"/>
                <w:lang w:eastAsia="en-GB"/>
              </w:rPr>
            </w:pPr>
            <w:r w:rsidRPr="00855E4A">
              <w:rPr>
                <w:sz w:val="22"/>
                <w:lang w:eastAsia="en-GB"/>
              </w:rPr>
              <w:t>Greenwich Community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A22C500" w14:textId="77777777" w:rsidR="002C6E12" w:rsidRPr="00A52AEE" w:rsidRDefault="002C6E12" w:rsidP="00FE68E8">
            <w:pPr>
              <w:jc w:val="right"/>
              <w:rPr>
                <w:lang w:eastAsia="en-GB"/>
              </w:rPr>
            </w:pPr>
            <w:r w:rsidRPr="00A52AEE">
              <w:rPr>
                <w:lang w:eastAsia="en-GB"/>
              </w:rPr>
              <w:t>655</w:t>
            </w:r>
          </w:p>
        </w:tc>
        <w:tc>
          <w:tcPr>
            <w:tcW w:w="287" w:type="pct"/>
            <w:tcBorders>
              <w:top w:val="nil"/>
              <w:left w:val="nil"/>
              <w:bottom w:val="single" w:sz="4" w:space="0" w:color="auto"/>
              <w:right w:val="single" w:sz="4" w:space="0" w:color="auto"/>
            </w:tcBorders>
            <w:shd w:val="clear" w:color="000000" w:fill="FFFFFF"/>
            <w:noWrap/>
            <w:vAlign w:val="center"/>
            <w:hideMark/>
          </w:tcPr>
          <w:p w14:paraId="12EC545D"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0F6D3294" w14:textId="77777777" w:rsidR="002C6E12" w:rsidRPr="00A52AEE" w:rsidRDefault="002C6E12" w:rsidP="00FE68E8">
            <w:pPr>
              <w:jc w:val="right"/>
              <w:rPr>
                <w:lang w:eastAsia="en-GB"/>
              </w:rPr>
            </w:pPr>
            <w:r w:rsidRPr="00A52AEE">
              <w:rPr>
                <w:lang w:eastAsia="en-GB"/>
              </w:rPr>
              <w:t>665</w:t>
            </w:r>
          </w:p>
        </w:tc>
        <w:tc>
          <w:tcPr>
            <w:tcW w:w="287" w:type="pct"/>
            <w:tcBorders>
              <w:top w:val="nil"/>
              <w:left w:val="nil"/>
              <w:bottom w:val="single" w:sz="4" w:space="0" w:color="auto"/>
              <w:right w:val="single" w:sz="4" w:space="0" w:color="auto"/>
            </w:tcBorders>
            <w:shd w:val="clear" w:color="000000" w:fill="FFFFFF"/>
            <w:noWrap/>
            <w:vAlign w:val="center"/>
            <w:hideMark/>
          </w:tcPr>
          <w:p w14:paraId="6B3A137B"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E0A4CF9" w14:textId="77777777" w:rsidR="002C6E12" w:rsidRPr="00A52AEE" w:rsidRDefault="002C6E12" w:rsidP="00FE68E8">
            <w:pPr>
              <w:jc w:val="right"/>
              <w:rPr>
                <w:lang w:eastAsia="en-GB"/>
              </w:rPr>
            </w:pPr>
            <w:r w:rsidRPr="00A52AEE">
              <w:rPr>
                <w:lang w:eastAsia="en-GB"/>
              </w:rPr>
              <w:t>675</w:t>
            </w:r>
          </w:p>
        </w:tc>
        <w:tc>
          <w:tcPr>
            <w:tcW w:w="288" w:type="pct"/>
            <w:tcBorders>
              <w:top w:val="nil"/>
              <w:left w:val="nil"/>
              <w:bottom w:val="single" w:sz="4" w:space="0" w:color="auto"/>
              <w:right w:val="single" w:sz="4" w:space="0" w:color="auto"/>
            </w:tcBorders>
            <w:shd w:val="clear" w:color="000000" w:fill="FFFFFF"/>
            <w:noWrap/>
            <w:vAlign w:val="center"/>
            <w:hideMark/>
          </w:tcPr>
          <w:p w14:paraId="5C37A686"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DFC5A1D" w14:textId="77777777" w:rsidR="002C6E12" w:rsidRPr="00A52AEE" w:rsidRDefault="002C6E12" w:rsidP="00FE68E8">
            <w:pPr>
              <w:jc w:val="right"/>
              <w:rPr>
                <w:lang w:eastAsia="en-GB"/>
              </w:rPr>
            </w:pPr>
            <w:r w:rsidRPr="00A52AEE">
              <w:rPr>
                <w:lang w:eastAsia="en-GB"/>
              </w:rPr>
              <w:t>700</w:t>
            </w:r>
          </w:p>
        </w:tc>
        <w:tc>
          <w:tcPr>
            <w:tcW w:w="287" w:type="pct"/>
            <w:tcBorders>
              <w:top w:val="nil"/>
              <w:left w:val="nil"/>
              <w:bottom w:val="single" w:sz="4" w:space="0" w:color="auto"/>
              <w:right w:val="single" w:sz="4" w:space="0" w:color="auto"/>
            </w:tcBorders>
            <w:shd w:val="clear" w:color="000000" w:fill="FFFFFF"/>
            <w:noWrap/>
            <w:vAlign w:val="center"/>
            <w:hideMark/>
          </w:tcPr>
          <w:p w14:paraId="3519F8E8"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06EA51D" w14:textId="77777777" w:rsidR="002C6E12" w:rsidRPr="00A52AEE" w:rsidRDefault="002C6E12" w:rsidP="00FE68E8">
            <w:pPr>
              <w:jc w:val="right"/>
              <w:rPr>
                <w:lang w:eastAsia="en-GB"/>
              </w:rPr>
            </w:pPr>
            <w:r w:rsidRPr="00A52AEE">
              <w:rPr>
                <w:lang w:eastAsia="en-GB"/>
              </w:rPr>
              <w:t>580</w:t>
            </w:r>
          </w:p>
        </w:tc>
        <w:tc>
          <w:tcPr>
            <w:tcW w:w="283" w:type="pct"/>
            <w:tcBorders>
              <w:top w:val="nil"/>
              <w:left w:val="nil"/>
              <w:bottom w:val="single" w:sz="4" w:space="0" w:color="auto"/>
              <w:right w:val="single" w:sz="4" w:space="0" w:color="auto"/>
            </w:tcBorders>
            <w:shd w:val="clear" w:color="000000" w:fill="FFFFFF"/>
            <w:noWrap/>
            <w:vAlign w:val="center"/>
            <w:hideMark/>
          </w:tcPr>
          <w:p w14:paraId="6FC1124A" w14:textId="77777777" w:rsidR="002C6E12" w:rsidRPr="00A52AEE" w:rsidRDefault="002C6E12" w:rsidP="00FE68E8">
            <w:pPr>
              <w:jc w:val="right"/>
              <w:rPr>
                <w:lang w:eastAsia="en-GB"/>
              </w:rPr>
            </w:pPr>
            <w:r w:rsidRPr="00A52AEE">
              <w:rPr>
                <w:lang w:eastAsia="en-GB"/>
              </w:rPr>
              <w:t>1%</w:t>
            </w:r>
          </w:p>
        </w:tc>
      </w:tr>
      <w:tr w:rsidR="00BD5EF5" w:rsidRPr="00A52AEE" w14:paraId="274A716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3980E454" w14:textId="4CE3EC76" w:rsidR="002C6E12" w:rsidRPr="00855E4A" w:rsidRDefault="00E012DF" w:rsidP="00A52AEE">
            <w:pPr>
              <w:rPr>
                <w:sz w:val="22"/>
                <w:lang w:eastAsia="en-GB"/>
              </w:rPr>
            </w:pPr>
            <w:r w:rsidRPr="00855E4A">
              <w:rPr>
                <w:sz w:val="22"/>
                <w:lang w:eastAsia="en-GB"/>
              </w:rPr>
              <w:t>Hackney Community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0C43DFD" w14:textId="77777777" w:rsidR="002C6E12" w:rsidRPr="00A52AEE" w:rsidRDefault="002C6E12" w:rsidP="00FE68E8">
            <w:pPr>
              <w:jc w:val="right"/>
              <w:rPr>
                <w:lang w:eastAsia="en-GB"/>
              </w:rPr>
            </w:pPr>
            <w:r w:rsidRPr="00A52AEE">
              <w:rPr>
                <w:lang w:eastAsia="en-GB"/>
              </w:rPr>
              <w:t>715</w:t>
            </w:r>
          </w:p>
        </w:tc>
        <w:tc>
          <w:tcPr>
            <w:tcW w:w="287" w:type="pct"/>
            <w:tcBorders>
              <w:top w:val="nil"/>
              <w:left w:val="nil"/>
              <w:bottom w:val="single" w:sz="4" w:space="0" w:color="auto"/>
              <w:right w:val="single" w:sz="4" w:space="0" w:color="auto"/>
            </w:tcBorders>
            <w:shd w:val="clear" w:color="000000" w:fill="FFFFFF"/>
            <w:noWrap/>
            <w:vAlign w:val="center"/>
            <w:hideMark/>
          </w:tcPr>
          <w:p w14:paraId="238AD3BA"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FE93E9E" w14:textId="77777777" w:rsidR="002C6E12" w:rsidRPr="00A52AEE" w:rsidRDefault="002C6E12" w:rsidP="00FE68E8">
            <w:pPr>
              <w:jc w:val="right"/>
              <w:rPr>
                <w:lang w:eastAsia="en-GB"/>
              </w:rPr>
            </w:pPr>
            <w:r w:rsidRPr="00A52AEE">
              <w:rPr>
                <w:lang w:eastAsia="en-GB"/>
              </w:rPr>
              <w:t>520</w:t>
            </w:r>
          </w:p>
        </w:tc>
        <w:tc>
          <w:tcPr>
            <w:tcW w:w="287" w:type="pct"/>
            <w:tcBorders>
              <w:top w:val="nil"/>
              <w:left w:val="nil"/>
              <w:bottom w:val="single" w:sz="4" w:space="0" w:color="auto"/>
              <w:right w:val="single" w:sz="4" w:space="0" w:color="auto"/>
            </w:tcBorders>
            <w:shd w:val="clear" w:color="000000" w:fill="FFFFFF"/>
            <w:noWrap/>
            <w:vAlign w:val="center"/>
            <w:hideMark/>
          </w:tcPr>
          <w:p w14:paraId="5214082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58937A0" w14:textId="77777777" w:rsidR="002C6E12" w:rsidRPr="00A52AEE" w:rsidRDefault="002C6E12" w:rsidP="00FE68E8">
            <w:pPr>
              <w:jc w:val="right"/>
              <w:rPr>
                <w:lang w:eastAsia="en-GB"/>
              </w:rPr>
            </w:pPr>
            <w:r w:rsidRPr="00A52AEE">
              <w:rPr>
                <w:lang w:eastAsia="en-GB"/>
              </w:rPr>
              <w:t>575</w:t>
            </w:r>
          </w:p>
        </w:tc>
        <w:tc>
          <w:tcPr>
            <w:tcW w:w="288" w:type="pct"/>
            <w:tcBorders>
              <w:top w:val="nil"/>
              <w:left w:val="nil"/>
              <w:bottom w:val="single" w:sz="4" w:space="0" w:color="auto"/>
              <w:right w:val="single" w:sz="4" w:space="0" w:color="auto"/>
            </w:tcBorders>
            <w:shd w:val="clear" w:color="000000" w:fill="FFFFFF"/>
            <w:noWrap/>
            <w:vAlign w:val="center"/>
            <w:hideMark/>
          </w:tcPr>
          <w:p w14:paraId="5C27DA3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7FEAD800" w14:textId="77777777" w:rsidR="002C6E12" w:rsidRPr="00A52AEE" w:rsidRDefault="002C6E12" w:rsidP="00FE68E8">
            <w:pPr>
              <w:jc w:val="right"/>
              <w:rPr>
                <w:lang w:eastAsia="en-GB"/>
              </w:rPr>
            </w:pPr>
            <w:r w:rsidRPr="00A52AEE">
              <w:rPr>
                <w:lang w:eastAsia="en-GB"/>
              </w:rPr>
              <w:t>505</w:t>
            </w:r>
          </w:p>
        </w:tc>
        <w:tc>
          <w:tcPr>
            <w:tcW w:w="287" w:type="pct"/>
            <w:tcBorders>
              <w:top w:val="nil"/>
              <w:left w:val="nil"/>
              <w:bottom w:val="single" w:sz="4" w:space="0" w:color="auto"/>
              <w:right w:val="single" w:sz="4" w:space="0" w:color="auto"/>
            </w:tcBorders>
            <w:shd w:val="clear" w:color="000000" w:fill="FFFFFF"/>
            <w:noWrap/>
            <w:vAlign w:val="center"/>
            <w:hideMark/>
          </w:tcPr>
          <w:p w14:paraId="6F6D736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4F13CEA" w14:textId="77777777" w:rsidR="002C6E12" w:rsidRPr="00A52AEE" w:rsidRDefault="002C6E12" w:rsidP="00FE68E8">
            <w:pPr>
              <w:jc w:val="right"/>
              <w:rPr>
                <w:lang w:eastAsia="en-GB"/>
              </w:rPr>
            </w:pPr>
            <w:r w:rsidRPr="00A52AEE">
              <w:rPr>
                <w:lang w:eastAsia="en-GB"/>
              </w:rPr>
              <w:t>815</w:t>
            </w:r>
          </w:p>
        </w:tc>
        <w:tc>
          <w:tcPr>
            <w:tcW w:w="283" w:type="pct"/>
            <w:tcBorders>
              <w:top w:val="nil"/>
              <w:left w:val="nil"/>
              <w:bottom w:val="single" w:sz="4" w:space="0" w:color="auto"/>
              <w:right w:val="single" w:sz="4" w:space="0" w:color="auto"/>
            </w:tcBorders>
            <w:shd w:val="clear" w:color="000000" w:fill="FFFFFF"/>
            <w:noWrap/>
            <w:vAlign w:val="center"/>
            <w:hideMark/>
          </w:tcPr>
          <w:p w14:paraId="45BAB8A5" w14:textId="77777777" w:rsidR="002C6E12" w:rsidRPr="00A52AEE" w:rsidRDefault="002C6E12" w:rsidP="00FE68E8">
            <w:pPr>
              <w:jc w:val="right"/>
              <w:rPr>
                <w:lang w:eastAsia="en-GB"/>
              </w:rPr>
            </w:pPr>
            <w:r w:rsidRPr="00A52AEE">
              <w:rPr>
                <w:lang w:eastAsia="en-GB"/>
              </w:rPr>
              <w:t>2%</w:t>
            </w:r>
          </w:p>
        </w:tc>
      </w:tr>
      <w:tr w:rsidR="00BD5EF5" w:rsidRPr="00A52AEE" w14:paraId="796CFCE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DED3FA0" w14:textId="33F358B2" w:rsidR="002C6E12" w:rsidRPr="00855E4A" w:rsidRDefault="00E012DF" w:rsidP="00A52AEE">
            <w:pPr>
              <w:rPr>
                <w:sz w:val="22"/>
                <w:lang w:eastAsia="en-GB"/>
              </w:rPr>
            </w:pPr>
            <w:r w:rsidRPr="00855E4A">
              <w:rPr>
                <w:sz w:val="22"/>
                <w:lang w:eastAsia="en-GB"/>
              </w:rPr>
              <w:t>Harrow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41AEDAB4" w14:textId="77777777" w:rsidR="002C6E12" w:rsidRPr="00A52AEE" w:rsidRDefault="002C6E12" w:rsidP="00FE68E8">
            <w:pPr>
              <w:jc w:val="right"/>
              <w:rPr>
                <w:lang w:eastAsia="en-GB"/>
              </w:rPr>
            </w:pPr>
            <w:r w:rsidRPr="00A52AEE">
              <w:rPr>
                <w:lang w:eastAsia="en-GB"/>
              </w:rPr>
              <w:t>1190</w:t>
            </w:r>
          </w:p>
        </w:tc>
        <w:tc>
          <w:tcPr>
            <w:tcW w:w="287" w:type="pct"/>
            <w:tcBorders>
              <w:top w:val="nil"/>
              <w:left w:val="nil"/>
              <w:bottom w:val="single" w:sz="4" w:space="0" w:color="auto"/>
              <w:right w:val="single" w:sz="4" w:space="0" w:color="auto"/>
            </w:tcBorders>
            <w:shd w:val="clear" w:color="000000" w:fill="FFFFFF"/>
            <w:noWrap/>
            <w:vAlign w:val="center"/>
            <w:hideMark/>
          </w:tcPr>
          <w:p w14:paraId="6C0915B6"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392DDA8" w14:textId="77777777" w:rsidR="002C6E12" w:rsidRPr="00A52AEE" w:rsidRDefault="002C6E12" w:rsidP="00FE68E8">
            <w:pPr>
              <w:jc w:val="right"/>
              <w:rPr>
                <w:lang w:eastAsia="en-GB"/>
              </w:rPr>
            </w:pPr>
            <w:r w:rsidRPr="00A52AEE">
              <w:rPr>
                <w:lang w:eastAsia="en-GB"/>
              </w:rPr>
              <w:t>620</w:t>
            </w:r>
          </w:p>
        </w:tc>
        <w:tc>
          <w:tcPr>
            <w:tcW w:w="287" w:type="pct"/>
            <w:tcBorders>
              <w:top w:val="nil"/>
              <w:left w:val="nil"/>
              <w:bottom w:val="single" w:sz="4" w:space="0" w:color="auto"/>
              <w:right w:val="single" w:sz="4" w:space="0" w:color="auto"/>
            </w:tcBorders>
            <w:shd w:val="clear" w:color="000000" w:fill="FFFFFF"/>
            <w:noWrap/>
            <w:vAlign w:val="center"/>
            <w:hideMark/>
          </w:tcPr>
          <w:p w14:paraId="244E374C"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7AC1A1A" w14:textId="77777777" w:rsidR="002C6E12" w:rsidRPr="00A52AEE" w:rsidRDefault="002C6E12" w:rsidP="00FE68E8">
            <w:pPr>
              <w:jc w:val="right"/>
              <w:rPr>
                <w:lang w:eastAsia="en-GB"/>
              </w:rPr>
            </w:pPr>
            <w:r w:rsidRPr="00A52AEE">
              <w:rPr>
                <w:lang w:eastAsia="en-GB"/>
              </w:rPr>
              <w:t>595</w:t>
            </w:r>
          </w:p>
        </w:tc>
        <w:tc>
          <w:tcPr>
            <w:tcW w:w="288" w:type="pct"/>
            <w:tcBorders>
              <w:top w:val="nil"/>
              <w:left w:val="nil"/>
              <w:bottom w:val="single" w:sz="4" w:space="0" w:color="auto"/>
              <w:right w:val="single" w:sz="4" w:space="0" w:color="auto"/>
            </w:tcBorders>
            <w:shd w:val="clear" w:color="000000" w:fill="FFFFFF"/>
            <w:noWrap/>
            <w:vAlign w:val="center"/>
            <w:hideMark/>
          </w:tcPr>
          <w:p w14:paraId="507239D3"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9214073" w14:textId="77777777" w:rsidR="002C6E12" w:rsidRPr="00A52AEE" w:rsidRDefault="002C6E12" w:rsidP="00FE68E8">
            <w:pPr>
              <w:jc w:val="right"/>
              <w:rPr>
                <w:lang w:eastAsia="en-GB"/>
              </w:rPr>
            </w:pPr>
            <w:r w:rsidRPr="00A52AEE">
              <w:rPr>
                <w:lang w:eastAsia="en-GB"/>
              </w:rPr>
              <w:t>600</w:t>
            </w:r>
          </w:p>
        </w:tc>
        <w:tc>
          <w:tcPr>
            <w:tcW w:w="287" w:type="pct"/>
            <w:tcBorders>
              <w:top w:val="nil"/>
              <w:left w:val="nil"/>
              <w:bottom w:val="single" w:sz="4" w:space="0" w:color="auto"/>
              <w:right w:val="single" w:sz="4" w:space="0" w:color="auto"/>
            </w:tcBorders>
            <w:shd w:val="clear" w:color="000000" w:fill="FFFFFF"/>
            <w:noWrap/>
            <w:vAlign w:val="center"/>
            <w:hideMark/>
          </w:tcPr>
          <w:p w14:paraId="1BB24BB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20FF125" w14:textId="77777777" w:rsidR="002C6E12" w:rsidRPr="00A52AEE" w:rsidRDefault="002C6E12" w:rsidP="00FE68E8">
            <w:pPr>
              <w:jc w:val="right"/>
              <w:rPr>
                <w:lang w:eastAsia="en-GB"/>
              </w:rPr>
            </w:pPr>
            <w:r w:rsidRPr="00A52AEE">
              <w:rPr>
                <w:lang w:eastAsia="en-GB"/>
              </w:rPr>
              <w:t>925</w:t>
            </w:r>
          </w:p>
        </w:tc>
        <w:tc>
          <w:tcPr>
            <w:tcW w:w="283" w:type="pct"/>
            <w:tcBorders>
              <w:top w:val="nil"/>
              <w:left w:val="nil"/>
              <w:bottom w:val="single" w:sz="4" w:space="0" w:color="auto"/>
              <w:right w:val="single" w:sz="4" w:space="0" w:color="auto"/>
            </w:tcBorders>
            <w:shd w:val="clear" w:color="000000" w:fill="FFFFFF"/>
            <w:noWrap/>
            <w:vAlign w:val="center"/>
            <w:hideMark/>
          </w:tcPr>
          <w:p w14:paraId="58A2D25C" w14:textId="77777777" w:rsidR="002C6E12" w:rsidRPr="00A52AEE" w:rsidRDefault="002C6E12" w:rsidP="00FE68E8">
            <w:pPr>
              <w:jc w:val="right"/>
              <w:rPr>
                <w:lang w:eastAsia="en-GB"/>
              </w:rPr>
            </w:pPr>
            <w:r w:rsidRPr="00A52AEE">
              <w:rPr>
                <w:lang w:eastAsia="en-GB"/>
              </w:rPr>
              <w:t>2%</w:t>
            </w:r>
          </w:p>
        </w:tc>
      </w:tr>
      <w:tr w:rsidR="00BD5EF5" w:rsidRPr="00A52AEE" w14:paraId="1C30CD0D"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52FB9FB" w14:textId="5E22D0E5" w:rsidR="002C6E12" w:rsidRPr="00855E4A" w:rsidRDefault="00E012DF" w:rsidP="00305EFC">
            <w:pPr>
              <w:rPr>
                <w:sz w:val="22"/>
                <w:lang w:eastAsia="en-GB"/>
              </w:rPr>
            </w:pPr>
            <w:r w:rsidRPr="00855E4A">
              <w:rPr>
                <w:sz w:val="22"/>
                <w:lang w:eastAsia="en-GB"/>
              </w:rPr>
              <w:t>Havering College of Further And Higher Education</w:t>
            </w:r>
          </w:p>
        </w:tc>
        <w:tc>
          <w:tcPr>
            <w:tcW w:w="430" w:type="pct"/>
            <w:tcBorders>
              <w:top w:val="nil"/>
              <w:left w:val="nil"/>
              <w:bottom w:val="single" w:sz="4" w:space="0" w:color="auto"/>
              <w:right w:val="single" w:sz="4" w:space="0" w:color="auto"/>
            </w:tcBorders>
            <w:shd w:val="clear" w:color="000000" w:fill="FFFFFF"/>
            <w:noWrap/>
            <w:vAlign w:val="center"/>
            <w:hideMark/>
          </w:tcPr>
          <w:p w14:paraId="72FEC0B3" w14:textId="77777777" w:rsidR="002C6E12" w:rsidRPr="00A52AEE" w:rsidRDefault="002C6E12" w:rsidP="00FE68E8">
            <w:pPr>
              <w:jc w:val="right"/>
              <w:rPr>
                <w:lang w:eastAsia="en-GB"/>
              </w:rPr>
            </w:pPr>
            <w:r w:rsidRPr="00A52AEE">
              <w:rPr>
                <w:lang w:eastAsia="en-GB"/>
              </w:rPr>
              <w:t>1165</w:t>
            </w:r>
          </w:p>
        </w:tc>
        <w:tc>
          <w:tcPr>
            <w:tcW w:w="287" w:type="pct"/>
            <w:tcBorders>
              <w:top w:val="nil"/>
              <w:left w:val="nil"/>
              <w:bottom w:val="single" w:sz="4" w:space="0" w:color="auto"/>
              <w:right w:val="single" w:sz="4" w:space="0" w:color="auto"/>
            </w:tcBorders>
            <w:shd w:val="clear" w:color="000000" w:fill="FFFFFF"/>
            <w:noWrap/>
            <w:vAlign w:val="center"/>
            <w:hideMark/>
          </w:tcPr>
          <w:p w14:paraId="32339029"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F2E358E" w14:textId="77777777" w:rsidR="002C6E12" w:rsidRPr="00A52AEE" w:rsidRDefault="002C6E12" w:rsidP="00FE68E8">
            <w:pPr>
              <w:jc w:val="right"/>
              <w:rPr>
                <w:lang w:eastAsia="en-GB"/>
              </w:rPr>
            </w:pPr>
            <w:r w:rsidRPr="00A52AEE">
              <w:rPr>
                <w:lang w:eastAsia="en-GB"/>
              </w:rPr>
              <w:t>1355</w:t>
            </w:r>
          </w:p>
        </w:tc>
        <w:tc>
          <w:tcPr>
            <w:tcW w:w="287" w:type="pct"/>
            <w:tcBorders>
              <w:top w:val="nil"/>
              <w:left w:val="nil"/>
              <w:bottom w:val="single" w:sz="4" w:space="0" w:color="auto"/>
              <w:right w:val="single" w:sz="4" w:space="0" w:color="auto"/>
            </w:tcBorders>
            <w:shd w:val="clear" w:color="000000" w:fill="FFFFFF"/>
            <w:noWrap/>
            <w:vAlign w:val="center"/>
            <w:hideMark/>
          </w:tcPr>
          <w:p w14:paraId="2AC97F6D"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0F2A2F60" w14:textId="77777777" w:rsidR="002C6E12" w:rsidRPr="00A52AEE" w:rsidRDefault="002C6E12" w:rsidP="00FE68E8">
            <w:pPr>
              <w:jc w:val="right"/>
              <w:rPr>
                <w:lang w:eastAsia="en-GB"/>
              </w:rPr>
            </w:pPr>
            <w:r w:rsidRPr="00A52AEE">
              <w:rPr>
                <w:lang w:eastAsia="en-GB"/>
              </w:rPr>
              <w:t>1405</w:t>
            </w:r>
          </w:p>
        </w:tc>
        <w:tc>
          <w:tcPr>
            <w:tcW w:w="288" w:type="pct"/>
            <w:tcBorders>
              <w:top w:val="nil"/>
              <w:left w:val="nil"/>
              <w:bottom w:val="single" w:sz="4" w:space="0" w:color="auto"/>
              <w:right w:val="single" w:sz="4" w:space="0" w:color="auto"/>
            </w:tcBorders>
            <w:shd w:val="clear" w:color="000000" w:fill="FFFFFF"/>
            <w:noWrap/>
            <w:vAlign w:val="center"/>
            <w:hideMark/>
          </w:tcPr>
          <w:p w14:paraId="606820E2"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15C261FC" w14:textId="77777777" w:rsidR="002C6E12" w:rsidRPr="00A52AEE" w:rsidRDefault="002C6E12" w:rsidP="00FE68E8">
            <w:pPr>
              <w:jc w:val="right"/>
              <w:rPr>
                <w:lang w:eastAsia="en-GB"/>
              </w:rPr>
            </w:pPr>
            <w:r w:rsidRPr="00A52AEE">
              <w:rPr>
                <w:lang w:eastAsia="en-GB"/>
              </w:rPr>
              <w:t>1295</w:t>
            </w:r>
          </w:p>
        </w:tc>
        <w:tc>
          <w:tcPr>
            <w:tcW w:w="287" w:type="pct"/>
            <w:tcBorders>
              <w:top w:val="nil"/>
              <w:left w:val="nil"/>
              <w:bottom w:val="single" w:sz="4" w:space="0" w:color="auto"/>
              <w:right w:val="single" w:sz="4" w:space="0" w:color="auto"/>
            </w:tcBorders>
            <w:shd w:val="clear" w:color="000000" w:fill="FFFFFF"/>
            <w:noWrap/>
            <w:vAlign w:val="center"/>
            <w:hideMark/>
          </w:tcPr>
          <w:p w14:paraId="5D35B8E4"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102F371" w14:textId="77777777" w:rsidR="002C6E12" w:rsidRPr="00A52AEE" w:rsidRDefault="002C6E12" w:rsidP="00FE68E8">
            <w:pPr>
              <w:jc w:val="right"/>
              <w:rPr>
                <w:lang w:eastAsia="en-GB"/>
              </w:rPr>
            </w:pPr>
            <w:r w:rsidRPr="00A52AEE">
              <w:rPr>
                <w:lang w:eastAsia="en-GB"/>
              </w:rPr>
              <w:t>1595</w:t>
            </w:r>
          </w:p>
        </w:tc>
        <w:tc>
          <w:tcPr>
            <w:tcW w:w="283" w:type="pct"/>
            <w:tcBorders>
              <w:top w:val="nil"/>
              <w:left w:val="nil"/>
              <w:bottom w:val="single" w:sz="4" w:space="0" w:color="auto"/>
              <w:right w:val="single" w:sz="4" w:space="0" w:color="auto"/>
            </w:tcBorders>
            <w:shd w:val="clear" w:color="000000" w:fill="FFFFFF"/>
            <w:noWrap/>
            <w:vAlign w:val="center"/>
            <w:hideMark/>
          </w:tcPr>
          <w:p w14:paraId="1942367B" w14:textId="77777777" w:rsidR="002C6E12" w:rsidRPr="00A52AEE" w:rsidRDefault="002C6E12" w:rsidP="00FE68E8">
            <w:pPr>
              <w:jc w:val="right"/>
              <w:rPr>
                <w:lang w:eastAsia="en-GB"/>
              </w:rPr>
            </w:pPr>
            <w:r w:rsidRPr="00A52AEE">
              <w:rPr>
                <w:lang w:eastAsia="en-GB"/>
              </w:rPr>
              <w:t>3%</w:t>
            </w:r>
          </w:p>
        </w:tc>
      </w:tr>
      <w:tr w:rsidR="00BD5EF5" w:rsidRPr="00A52AEE" w14:paraId="3E640F1C"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7372053" w14:textId="6F888BA9" w:rsidR="002C6E12" w:rsidRPr="00855E4A" w:rsidRDefault="00E012DF" w:rsidP="00A52AEE">
            <w:pPr>
              <w:rPr>
                <w:sz w:val="22"/>
                <w:lang w:eastAsia="en-GB"/>
              </w:rPr>
            </w:pPr>
            <w:r w:rsidRPr="00855E4A">
              <w:rPr>
                <w:sz w:val="22"/>
                <w:lang w:eastAsia="en-GB"/>
              </w:rPr>
              <w:t>Havering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8DFD743" w14:textId="77777777" w:rsidR="002C6E12" w:rsidRPr="00A52AEE" w:rsidRDefault="002C6E12" w:rsidP="00FE68E8">
            <w:pPr>
              <w:jc w:val="right"/>
              <w:rPr>
                <w:lang w:eastAsia="en-GB"/>
              </w:rPr>
            </w:pPr>
            <w:r w:rsidRPr="00A52AEE">
              <w:rPr>
                <w:lang w:eastAsia="en-GB"/>
              </w:rPr>
              <w:t>855</w:t>
            </w:r>
          </w:p>
        </w:tc>
        <w:tc>
          <w:tcPr>
            <w:tcW w:w="287" w:type="pct"/>
            <w:tcBorders>
              <w:top w:val="nil"/>
              <w:left w:val="nil"/>
              <w:bottom w:val="single" w:sz="4" w:space="0" w:color="auto"/>
              <w:right w:val="single" w:sz="4" w:space="0" w:color="auto"/>
            </w:tcBorders>
            <w:shd w:val="clear" w:color="000000" w:fill="FFFFFF"/>
            <w:noWrap/>
            <w:vAlign w:val="center"/>
            <w:hideMark/>
          </w:tcPr>
          <w:p w14:paraId="7E51E74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72262A4" w14:textId="77777777" w:rsidR="002C6E12" w:rsidRPr="00A52AEE" w:rsidRDefault="002C6E12" w:rsidP="00FE68E8">
            <w:pPr>
              <w:jc w:val="right"/>
              <w:rPr>
                <w:lang w:eastAsia="en-GB"/>
              </w:rPr>
            </w:pPr>
            <w:r w:rsidRPr="00A52AEE">
              <w:rPr>
                <w:lang w:eastAsia="en-GB"/>
              </w:rPr>
              <w:t>910</w:t>
            </w:r>
          </w:p>
        </w:tc>
        <w:tc>
          <w:tcPr>
            <w:tcW w:w="287" w:type="pct"/>
            <w:tcBorders>
              <w:top w:val="nil"/>
              <w:left w:val="nil"/>
              <w:bottom w:val="single" w:sz="4" w:space="0" w:color="auto"/>
              <w:right w:val="single" w:sz="4" w:space="0" w:color="auto"/>
            </w:tcBorders>
            <w:shd w:val="clear" w:color="000000" w:fill="FFFFFF"/>
            <w:noWrap/>
            <w:vAlign w:val="center"/>
            <w:hideMark/>
          </w:tcPr>
          <w:p w14:paraId="6D2EEAF1"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BF816B0" w14:textId="77777777" w:rsidR="002C6E12" w:rsidRPr="00A52AEE" w:rsidRDefault="002C6E12" w:rsidP="00FE68E8">
            <w:pPr>
              <w:jc w:val="right"/>
              <w:rPr>
                <w:lang w:eastAsia="en-GB"/>
              </w:rPr>
            </w:pPr>
            <w:r w:rsidRPr="00A52AEE">
              <w:rPr>
                <w:lang w:eastAsia="en-GB"/>
              </w:rPr>
              <w:t>895</w:t>
            </w:r>
          </w:p>
        </w:tc>
        <w:tc>
          <w:tcPr>
            <w:tcW w:w="288" w:type="pct"/>
            <w:tcBorders>
              <w:top w:val="nil"/>
              <w:left w:val="nil"/>
              <w:bottom w:val="single" w:sz="4" w:space="0" w:color="auto"/>
              <w:right w:val="single" w:sz="4" w:space="0" w:color="auto"/>
            </w:tcBorders>
            <w:shd w:val="clear" w:color="000000" w:fill="FFFFFF"/>
            <w:noWrap/>
            <w:vAlign w:val="center"/>
            <w:hideMark/>
          </w:tcPr>
          <w:p w14:paraId="378B309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1D3AB61" w14:textId="77777777" w:rsidR="002C6E12" w:rsidRPr="00A52AEE" w:rsidRDefault="002C6E12" w:rsidP="00FE68E8">
            <w:pPr>
              <w:jc w:val="right"/>
              <w:rPr>
                <w:lang w:eastAsia="en-GB"/>
              </w:rPr>
            </w:pPr>
            <w:r w:rsidRPr="00A52AEE">
              <w:rPr>
                <w:lang w:eastAsia="en-GB"/>
              </w:rPr>
              <w:t>850</w:t>
            </w:r>
          </w:p>
        </w:tc>
        <w:tc>
          <w:tcPr>
            <w:tcW w:w="287" w:type="pct"/>
            <w:tcBorders>
              <w:top w:val="nil"/>
              <w:left w:val="nil"/>
              <w:bottom w:val="single" w:sz="4" w:space="0" w:color="auto"/>
              <w:right w:val="single" w:sz="4" w:space="0" w:color="auto"/>
            </w:tcBorders>
            <w:shd w:val="clear" w:color="000000" w:fill="FFFFFF"/>
            <w:noWrap/>
            <w:vAlign w:val="center"/>
            <w:hideMark/>
          </w:tcPr>
          <w:p w14:paraId="60628D9D"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FDFB719" w14:textId="77777777" w:rsidR="002C6E12" w:rsidRPr="00A52AEE" w:rsidRDefault="002C6E12" w:rsidP="00FE68E8">
            <w:pPr>
              <w:jc w:val="right"/>
              <w:rPr>
                <w:lang w:eastAsia="en-GB"/>
              </w:rPr>
            </w:pPr>
            <w:r w:rsidRPr="00A52AEE">
              <w:rPr>
                <w:lang w:eastAsia="en-GB"/>
              </w:rPr>
              <w:t>975</w:t>
            </w:r>
          </w:p>
        </w:tc>
        <w:tc>
          <w:tcPr>
            <w:tcW w:w="283" w:type="pct"/>
            <w:tcBorders>
              <w:top w:val="nil"/>
              <w:left w:val="nil"/>
              <w:bottom w:val="single" w:sz="4" w:space="0" w:color="auto"/>
              <w:right w:val="single" w:sz="4" w:space="0" w:color="auto"/>
            </w:tcBorders>
            <w:shd w:val="clear" w:color="000000" w:fill="FFFFFF"/>
            <w:noWrap/>
            <w:vAlign w:val="center"/>
            <w:hideMark/>
          </w:tcPr>
          <w:p w14:paraId="0480059D" w14:textId="77777777" w:rsidR="002C6E12" w:rsidRPr="00A52AEE" w:rsidRDefault="002C6E12" w:rsidP="00FE68E8">
            <w:pPr>
              <w:jc w:val="right"/>
              <w:rPr>
                <w:lang w:eastAsia="en-GB"/>
              </w:rPr>
            </w:pPr>
            <w:r w:rsidRPr="00A52AEE">
              <w:rPr>
                <w:lang w:eastAsia="en-GB"/>
              </w:rPr>
              <w:t>2%</w:t>
            </w:r>
          </w:p>
        </w:tc>
      </w:tr>
      <w:tr w:rsidR="00BD5EF5" w:rsidRPr="00A52AEE" w14:paraId="2CEE63CD"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FA46C0E" w14:textId="18D8AD83" w:rsidR="002C6E12" w:rsidRPr="00855E4A" w:rsidRDefault="00E012DF" w:rsidP="00A52AEE">
            <w:pPr>
              <w:rPr>
                <w:sz w:val="22"/>
                <w:lang w:eastAsia="en-GB"/>
              </w:rPr>
            </w:pPr>
            <w:r w:rsidRPr="00855E4A">
              <w:rPr>
                <w:sz w:val="22"/>
                <w:lang w:eastAsia="en-GB"/>
              </w:rPr>
              <w:t xml:space="preserve">Hillcroft College </w:t>
            </w:r>
          </w:p>
        </w:tc>
        <w:tc>
          <w:tcPr>
            <w:tcW w:w="430" w:type="pct"/>
            <w:tcBorders>
              <w:top w:val="nil"/>
              <w:left w:val="nil"/>
              <w:bottom w:val="single" w:sz="4" w:space="0" w:color="auto"/>
              <w:right w:val="single" w:sz="4" w:space="0" w:color="auto"/>
            </w:tcBorders>
            <w:shd w:val="clear" w:color="000000" w:fill="FFFFFF"/>
            <w:noWrap/>
            <w:vAlign w:val="center"/>
            <w:hideMark/>
          </w:tcPr>
          <w:p w14:paraId="01D2287C" w14:textId="77777777" w:rsidR="002C6E12" w:rsidRPr="00A52AEE" w:rsidRDefault="002C6E12" w:rsidP="00FE68E8">
            <w:pPr>
              <w:jc w:val="right"/>
              <w:rPr>
                <w:lang w:eastAsia="en-GB"/>
              </w:rPr>
            </w:pPr>
            <w:r w:rsidRPr="00A52AEE">
              <w:rPr>
                <w:lang w:eastAsia="en-GB"/>
              </w:rPr>
              <w:t>0</w:t>
            </w:r>
          </w:p>
        </w:tc>
        <w:tc>
          <w:tcPr>
            <w:tcW w:w="287" w:type="pct"/>
            <w:tcBorders>
              <w:top w:val="nil"/>
              <w:left w:val="nil"/>
              <w:bottom w:val="single" w:sz="4" w:space="0" w:color="auto"/>
              <w:right w:val="single" w:sz="4" w:space="0" w:color="auto"/>
            </w:tcBorders>
            <w:shd w:val="clear" w:color="000000" w:fill="FFFFFF"/>
            <w:noWrap/>
            <w:vAlign w:val="center"/>
            <w:hideMark/>
          </w:tcPr>
          <w:p w14:paraId="7667D6E3"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08ABCB5D" w14:textId="77777777" w:rsidR="002C6E12" w:rsidRPr="00A52AEE" w:rsidRDefault="002C6E12" w:rsidP="00FE68E8">
            <w:pPr>
              <w:jc w:val="right"/>
              <w:rPr>
                <w:lang w:eastAsia="en-GB"/>
              </w:rPr>
            </w:pPr>
            <w:r w:rsidRPr="00A52AEE">
              <w:rPr>
                <w:lang w:eastAsia="en-GB"/>
              </w:rPr>
              <w:t>0</w:t>
            </w:r>
          </w:p>
        </w:tc>
        <w:tc>
          <w:tcPr>
            <w:tcW w:w="287" w:type="pct"/>
            <w:tcBorders>
              <w:top w:val="nil"/>
              <w:left w:val="nil"/>
              <w:bottom w:val="single" w:sz="4" w:space="0" w:color="auto"/>
              <w:right w:val="single" w:sz="4" w:space="0" w:color="auto"/>
            </w:tcBorders>
            <w:shd w:val="clear" w:color="000000" w:fill="FFFFFF"/>
            <w:noWrap/>
            <w:vAlign w:val="center"/>
            <w:hideMark/>
          </w:tcPr>
          <w:p w14:paraId="41A573CB"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035817C1" w14:textId="77777777" w:rsidR="002C6E12" w:rsidRPr="00A52AEE" w:rsidRDefault="002C6E12" w:rsidP="00FE68E8">
            <w:pPr>
              <w:jc w:val="right"/>
              <w:rPr>
                <w:lang w:eastAsia="en-GB"/>
              </w:rPr>
            </w:pPr>
            <w:r w:rsidRPr="00A52AEE">
              <w:rPr>
                <w:lang w:eastAsia="en-GB"/>
              </w:rPr>
              <w:t>0</w:t>
            </w:r>
          </w:p>
        </w:tc>
        <w:tc>
          <w:tcPr>
            <w:tcW w:w="288" w:type="pct"/>
            <w:tcBorders>
              <w:top w:val="nil"/>
              <w:left w:val="nil"/>
              <w:bottom w:val="single" w:sz="4" w:space="0" w:color="auto"/>
              <w:right w:val="single" w:sz="4" w:space="0" w:color="auto"/>
            </w:tcBorders>
            <w:shd w:val="clear" w:color="000000" w:fill="FFFFFF"/>
            <w:noWrap/>
            <w:vAlign w:val="center"/>
            <w:hideMark/>
          </w:tcPr>
          <w:p w14:paraId="6593F4E4"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7826CE5A" w14:textId="77777777" w:rsidR="002C6E12" w:rsidRPr="00A52AEE" w:rsidRDefault="002C6E12" w:rsidP="00FE68E8">
            <w:pPr>
              <w:jc w:val="right"/>
              <w:rPr>
                <w:lang w:eastAsia="en-GB"/>
              </w:rPr>
            </w:pPr>
            <w:r w:rsidRPr="00A52AEE">
              <w:rPr>
                <w:lang w:eastAsia="en-GB"/>
              </w:rPr>
              <w:t>0</w:t>
            </w:r>
          </w:p>
        </w:tc>
        <w:tc>
          <w:tcPr>
            <w:tcW w:w="287" w:type="pct"/>
            <w:tcBorders>
              <w:top w:val="nil"/>
              <w:left w:val="nil"/>
              <w:bottom w:val="single" w:sz="4" w:space="0" w:color="auto"/>
              <w:right w:val="single" w:sz="4" w:space="0" w:color="auto"/>
            </w:tcBorders>
            <w:shd w:val="clear" w:color="000000" w:fill="FFFFFF"/>
            <w:noWrap/>
            <w:vAlign w:val="center"/>
            <w:hideMark/>
          </w:tcPr>
          <w:p w14:paraId="03C758BF"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11A44938" w14:textId="77777777" w:rsidR="002C6E12" w:rsidRPr="00A52AEE" w:rsidRDefault="002C6E12" w:rsidP="00FE68E8">
            <w:pPr>
              <w:jc w:val="right"/>
              <w:rPr>
                <w:lang w:eastAsia="en-GB"/>
              </w:rPr>
            </w:pPr>
            <w:r w:rsidRPr="00A52AEE">
              <w:rPr>
                <w:lang w:eastAsia="en-GB"/>
              </w:rPr>
              <w:t>10</w:t>
            </w:r>
          </w:p>
        </w:tc>
        <w:tc>
          <w:tcPr>
            <w:tcW w:w="283" w:type="pct"/>
            <w:tcBorders>
              <w:top w:val="nil"/>
              <w:left w:val="nil"/>
              <w:bottom w:val="single" w:sz="4" w:space="0" w:color="auto"/>
              <w:right w:val="single" w:sz="4" w:space="0" w:color="auto"/>
            </w:tcBorders>
            <w:shd w:val="clear" w:color="000000" w:fill="FFFFFF"/>
            <w:noWrap/>
            <w:vAlign w:val="center"/>
            <w:hideMark/>
          </w:tcPr>
          <w:p w14:paraId="669994CD" w14:textId="77777777" w:rsidR="002C6E12" w:rsidRPr="00A52AEE" w:rsidRDefault="002C6E12" w:rsidP="00FE68E8">
            <w:pPr>
              <w:jc w:val="right"/>
              <w:rPr>
                <w:lang w:eastAsia="en-GB"/>
              </w:rPr>
            </w:pPr>
            <w:r w:rsidRPr="00A52AEE">
              <w:rPr>
                <w:lang w:eastAsia="en-GB"/>
              </w:rPr>
              <w:t>0%</w:t>
            </w:r>
          </w:p>
        </w:tc>
      </w:tr>
      <w:tr w:rsidR="00BD5EF5" w:rsidRPr="00A52AEE" w14:paraId="3FA22ED6"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0777574" w14:textId="4F19D8BD" w:rsidR="002C6E12" w:rsidRPr="00855E4A" w:rsidRDefault="00E012DF" w:rsidP="00A52AEE">
            <w:pPr>
              <w:rPr>
                <w:sz w:val="22"/>
                <w:lang w:eastAsia="en-GB"/>
              </w:rPr>
            </w:pPr>
            <w:r w:rsidRPr="00855E4A">
              <w:rPr>
                <w:sz w:val="22"/>
                <w:lang w:eastAsia="en-GB"/>
              </w:rPr>
              <w:t>John Ruskin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11E1D602" w14:textId="77777777" w:rsidR="002C6E12" w:rsidRPr="00A52AEE" w:rsidRDefault="002C6E12" w:rsidP="00FE68E8">
            <w:pPr>
              <w:jc w:val="right"/>
              <w:rPr>
                <w:lang w:eastAsia="en-GB"/>
              </w:rPr>
            </w:pPr>
            <w:r w:rsidRPr="00A52AEE">
              <w:rPr>
                <w:lang w:eastAsia="en-GB"/>
              </w:rPr>
              <w:t>525</w:t>
            </w:r>
          </w:p>
        </w:tc>
        <w:tc>
          <w:tcPr>
            <w:tcW w:w="287" w:type="pct"/>
            <w:tcBorders>
              <w:top w:val="nil"/>
              <w:left w:val="nil"/>
              <w:bottom w:val="single" w:sz="4" w:space="0" w:color="auto"/>
              <w:right w:val="single" w:sz="4" w:space="0" w:color="auto"/>
            </w:tcBorders>
            <w:shd w:val="clear" w:color="000000" w:fill="FFFFFF"/>
            <w:noWrap/>
            <w:vAlign w:val="center"/>
            <w:hideMark/>
          </w:tcPr>
          <w:p w14:paraId="1FDBCFA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EBA646E" w14:textId="77777777" w:rsidR="002C6E12" w:rsidRPr="00A52AEE" w:rsidRDefault="002C6E12" w:rsidP="00FE68E8">
            <w:pPr>
              <w:jc w:val="right"/>
              <w:rPr>
                <w:lang w:eastAsia="en-GB"/>
              </w:rPr>
            </w:pPr>
            <w:r w:rsidRPr="00A52AEE">
              <w:rPr>
                <w:lang w:eastAsia="en-GB"/>
              </w:rPr>
              <w:t>450</w:t>
            </w:r>
          </w:p>
        </w:tc>
        <w:tc>
          <w:tcPr>
            <w:tcW w:w="287" w:type="pct"/>
            <w:tcBorders>
              <w:top w:val="nil"/>
              <w:left w:val="nil"/>
              <w:bottom w:val="single" w:sz="4" w:space="0" w:color="auto"/>
              <w:right w:val="single" w:sz="4" w:space="0" w:color="auto"/>
            </w:tcBorders>
            <w:shd w:val="clear" w:color="000000" w:fill="FFFFFF"/>
            <w:noWrap/>
            <w:vAlign w:val="center"/>
            <w:hideMark/>
          </w:tcPr>
          <w:p w14:paraId="5FABA83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76191DC" w14:textId="77777777" w:rsidR="002C6E12" w:rsidRPr="00A52AEE" w:rsidRDefault="002C6E12" w:rsidP="00FE68E8">
            <w:pPr>
              <w:jc w:val="right"/>
              <w:rPr>
                <w:lang w:eastAsia="en-GB"/>
              </w:rPr>
            </w:pPr>
            <w:r w:rsidRPr="00A52AEE">
              <w:rPr>
                <w:lang w:eastAsia="en-GB"/>
              </w:rPr>
              <w:t>370</w:t>
            </w:r>
          </w:p>
        </w:tc>
        <w:tc>
          <w:tcPr>
            <w:tcW w:w="288" w:type="pct"/>
            <w:tcBorders>
              <w:top w:val="nil"/>
              <w:left w:val="nil"/>
              <w:bottom w:val="single" w:sz="4" w:space="0" w:color="auto"/>
              <w:right w:val="single" w:sz="4" w:space="0" w:color="auto"/>
            </w:tcBorders>
            <w:shd w:val="clear" w:color="000000" w:fill="FFFFFF"/>
            <w:noWrap/>
            <w:vAlign w:val="center"/>
            <w:hideMark/>
          </w:tcPr>
          <w:p w14:paraId="55258820"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BE42059" w14:textId="77777777" w:rsidR="002C6E12" w:rsidRPr="00A52AEE" w:rsidRDefault="002C6E12" w:rsidP="00FE68E8">
            <w:pPr>
              <w:jc w:val="right"/>
              <w:rPr>
                <w:lang w:eastAsia="en-GB"/>
              </w:rPr>
            </w:pPr>
            <w:r w:rsidRPr="00A52AEE">
              <w:rPr>
                <w:lang w:eastAsia="en-GB"/>
              </w:rPr>
              <w:t>315</w:t>
            </w:r>
          </w:p>
        </w:tc>
        <w:tc>
          <w:tcPr>
            <w:tcW w:w="287" w:type="pct"/>
            <w:tcBorders>
              <w:top w:val="nil"/>
              <w:left w:val="nil"/>
              <w:bottom w:val="single" w:sz="4" w:space="0" w:color="auto"/>
              <w:right w:val="single" w:sz="4" w:space="0" w:color="auto"/>
            </w:tcBorders>
            <w:shd w:val="clear" w:color="000000" w:fill="FFFFFF"/>
            <w:noWrap/>
            <w:vAlign w:val="center"/>
            <w:hideMark/>
          </w:tcPr>
          <w:p w14:paraId="19B9BF51"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5ED36C2" w14:textId="77777777" w:rsidR="002C6E12" w:rsidRPr="00A52AEE" w:rsidRDefault="002C6E12" w:rsidP="00FE68E8">
            <w:pPr>
              <w:jc w:val="right"/>
              <w:rPr>
                <w:lang w:eastAsia="en-GB"/>
              </w:rPr>
            </w:pPr>
            <w:r w:rsidRPr="00A52AEE">
              <w:rPr>
                <w:lang w:eastAsia="en-GB"/>
              </w:rPr>
              <w:t>230</w:t>
            </w:r>
          </w:p>
        </w:tc>
        <w:tc>
          <w:tcPr>
            <w:tcW w:w="283" w:type="pct"/>
            <w:tcBorders>
              <w:top w:val="nil"/>
              <w:left w:val="nil"/>
              <w:bottom w:val="single" w:sz="4" w:space="0" w:color="auto"/>
              <w:right w:val="single" w:sz="4" w:space="0" w:color="auto"/>
            </w:tcBorders>
            <w:shd w:val="clear" w:color="000000" w:fill="FFFFFF"/>
            <w:noWrap/>
            <w:vAlign w:val="center"/>
            <w:hideMark/>
          </w:tcPr>
          <w:p w14:paraId="785A6A05" w14:textId="77777777" w:rsidR="002C6E12" w:rsidRPr="00A52AEE" w:rsidRDefault="002C6E12" w:rsidP="00FE68E8">
            <w:pPr>
              <w:jc w:val="right"/>
              <w:rPr>
                <w:lang w:eastAsia="en-GB"/>
              </w:rPr>
            </w:pPr>
            <w:r w:rsidRPr="00A52AEE">
              <w:rPr>
                <w:lang w:eastAsia="en-GB"/>
              </w:rPr>
              <w:t>1%</w:t>
            </w:r>
          </w:p>
        </w:tc>
      </w:tr>
      <w:tr w:rsidR="00BD5EF5" w:rsidRPr="00A52AEE" w14:paraId="1E34B000"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BEBACAC" w14:textId="50BDA2E8" w:rsidR="002C6E12" w:rsidRPr="00855E4A" w:rsidRDefault="00E012DF" w:rsidP="00A52AEE">
            <w:pPr>
              <w:rPr>
                <w:sz w:val="22"/>
                <w:lang w:eastAsia="en-GB"/>
              </w:rPr>
            </w:pPr>
            <w:r w:rsidRPr="00855E4A">
              <w:rPr>
                <w:sz w:val="22"/>
                <w:lang w:eastAsia="en-GB"/>
              </w:rPr>
              <w:t>Kensington and Chelsea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B4C0FA9" w14:textId="77777777" w:rsidR="002C6E12" w:rsidRPr="00A52AEE" w:rsidRDefault="002C6E12" w:rsidP="00FE68E8">
            <w:pPr>
              <w:jc w:val="right"/>
              <w:rPr>
                <w:lang w:eastAsia="en-GB"/>
              </w:rPr>
            </w:pPr>
            <w:r w:rsidRPr="00A52AEE">
              <w:rPr>
                <w:lang w:eastAsia="en-GB"/>
              </w:rPr>
              <w:t>440</w:t>
            </w:r>
          </w:p>
        </w:tc>
        <w:tc>
          <w:tcPr>
            <w:tcW w:w="287" w:type="pct"/>
            <w:tcBorders>
              <w:top w:val="nil"/>
              <w:left w:val="nil"/>
              <w:bottom w:val="single" w:sz="4" w:space="0" w:color="auto"/>
              <w:right w:val="single" w:sz="4" w:space="0" w:color="auto"/>
            </w:tcBorders>
            <w:shd w:val="clear" w:color="000000" w:fill="FFFFFF"/>
            <w:noWrap/>
            <w:vAlign w:val="center"/>
            <w:hideMark/>
          </w:tcPr>
          <w:p w14:paraId="2001A3A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79F12984" w14:textId="77777777" w:rsidR="002C6E12" w:rsidRPr="00A52AEE" w:rsidRDefault="002C6E12" w:rsidP="00FE68E8">
            <w:pPr>
              <w:jc w:val="right"/>
              <w:rPr>
                <w:lang w:eastAsia="en-GB"/>
              </w:rPr>
            </w:pPr>
            <w:r w:rsidRPr="00A52AEE">
              <w:rPr>
                <w:lang w:eastAsia="en-GB"/>
              </w:rPr>
              <w:t>520</w:t>
            </w:r>
          </w:p>
        </w:tc>
        <w:tc>
          <w:tcPr>
            <w:tcW w:w="287" w:type="pct"/>
            <w:tcBorders>
              <w:top w:val="nil"/>
              <w:left w:val="nil"/>
              <w:bottom w:val="single" w:sz="4" w:space="0" w:color="auto"/>
              <w:right w:val="single" w:sz="4" w:space="0" w:color="auto"/>
            </w:tcBorders>
            <w:shd w:val="clear" w:color="000000" w:fill="FFFFFF"/>
            <w:noWrap/>
            <w:vAlign w:val="center"/>
            <w:hideMark/>
          </w:tcPr>
          <w:p w14:paraId="33D2AEF4"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48EA62D" w14:textId="77777777" w:rsidR="002C6E12" w:rsidRPr="00A52AEE" w:rsidRDefault="002C6E12" w:rsidP="00FE68E8">
            <w:pPr>
              <w:jc w:val="right"/>
              <w:rPr>
                <w:lang w:eastAsia="en-GB"/>
              </w:rPr>
            </w:pPr>
            <w:r w:rsidRPr="00A52AEE">
              <w:rPr>
                <w:lang w:eastAsia="en-GB"/>
              </w:rPr>
              <w:t>590</w:t>
            </w:r>
          </w:p>
        </w:tc>
        <w:tc>
          <w:tcPr>
            <w:tcW w:w="288" w:type="pct"/>
            <w:tcBorders>
              <w:top w:val="nil"/>
              <w:left w:val="nil"/>
              <w:bottom w:val="single" w:sz="4" w:space="0" w:color="auto"/>
              <w:right w:val="single" w:sz="4" w:space="0" w:color="auto"/>
            </w:tcBorders>
            <w:shd w:val="clear" w:color="000000" w:fill="FFFFFF"/>
            <w:noWrap/>
            <w:vAlign w:val="center"/>
            <w:hideMark/>
          </w:tcPr>
          <w:p w14:paraId="5F89D686"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5F7CC23" w14:textId="77777777" w:rsidR="002C6E12" w:rsidRPr="00A52AEE" w:rsidRDefault="002C6E12" w:rsidP="00FE68E8">
            <w:pPr>
              <w:jc w:val="right"/>
              <w:rPr>
                <w:lang w:eastAsia="en-GB"/>
              </w:rPr>
            </w:pPr>
            <w:r w:rsidRPr="00A52AEE">
              <w:rPr>
                <w:lang w:eastAsia="en-GB"/>
              </w:rPr>
              <w:t>540</w:t>
            </w:r>
          </w:p>
        </w:tc>
        <w:tc>
          <w:tcPr>
            <w:tcW w:w="287" w:type="pct"/>
            <w:tcBorders>
              <w:top w:val="nil"/>
              <w:left w:val="nil"/>
              <w:bottom w:val="single" w:sz="4" w:space="0" w:color="auto"/>
              <w:right w:val="single" w:sz="4" w:space="0" w:color="auto"/>
            </w:tcBorders>
            <w:shd w:val="clear" w:color="000000" w:fill="FFFFFF"/>
            <w:noWrap/>
            <w:vAlign w:val="center"/>
            <w:hideMark/>
          </w:tcPr>
          <w:p w14:paraId="4E5F456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7F6C029" w14:textId="77777777" w:rsidR="002C6E12" w:rsidRPr="00A52AEE" w:rsidRDefault="002C6E12" w:rsidP="00FE68E8">
            <w:pPr>
              <w:jc w:val="right"/>
              <w:rPr>
                <w:lang w:eastAsia="en-GB"/>
              </w:rPr>
            </w:pPr>
            <w:r w:rsidRPr="00A52AEE">
              <w:rPr>
                <w:lang w:eastAsia="en-GB"/>
              </w:rPr>
              <w:t>340</w:t>
            </w:r>
          </w:p>
        </w:tc>
        <w:tc>
          <w:tcPr>
            <w:tcW w:w="283" w:type="pct"/>
            <w:tcBorders>
              <w:top w:val="nil"/>
              <w:left w:val="nil"/>
              <w:bottom w:val="single" w:sz="4" w:space="0" w:color="auto"/>
              <w:right w:val="single" w:sz="4" w:space="0" w:color="auto"/>
            </w:tcBorders>
            <w:shd w:val="clear" w:color="000000" w:fill="FFFFFF"/>
            <w:noWrap/>
            <w:vAlign w:val="center"/>
            <w:hideMark/>
          </w:tcPr>
          <w:p w14:paraId="1036B7C5" w14:textId="77777777" w:rsidR="002C6E12" w:rsidRPr="00A52AEE" w:rsidRDefault="002C6E12" w:rsidP="00FE68E8">
            <w:pPr>
              <w:jc w:val="right"/>
              <w:rPr>
                <w:lang w:eastAsia="en-GB"/>
              </w:rPr>
            </w:pPr>
            <w:r w:rsidRPr="00A52AEE">
              <w:rPr>
                <w:lang w:eastAsia="en-GB"/>
              </w:rPr>
              <w:t>1%</w:t>
            </w:r>
          </w:p>
        </w:tc>
      </w:tr>
      <w:tr w:rsidR="00BD5EF5" w:rsidRPr="00A52AEE" w14:paraId="4CC1E666"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650A2A6" w14:textId="7ADB3718" w:rsidR="002C6E12" w:rsidRPr="00855E4A" w:rsidRDefault="00E012DF" w:rsidP="00A52AEE">
            <w:pPr>
              <w:rPr>
                <w:sz w:val="22"/>
                <w:lang w:eastAsia="en-GB"/>
              </w:rPr>
            </w:pPr>
            <w:r w:rsidRPr="00855E4A">
              <w:rPr>
                <w:sz w:val="22"/>
                <w:lang w:eastAsia="en-GB"/>
              </w:rPr>
              <w:t>Kingston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E7CB26A" w14:textId="77777777" w:rsidR="002C6E12" w:rsidRPr="00A52AEE" w:rsidRDefault="002C6E12" w:rsidP="00FE68E8">
            <w:pPr>
              <w:jc w:val="right"/>
              <w:rPr>
                <w:lang w:eastAsia="en-GB"/>
              </w:rPr>
            </w:pPr>
            <w:r w:rsidRPr="00A52AEE">
              <w:rPr>
                <w:lang w:eastAsia="en-GB"/>
              </w:rPr>
              <w:t>1740</w:t>
            </w:r>
          </w:p>
        </w:tc>
        <w:tc>
          <w:tcPr>
            <w:tcW w:w="287" w:type="pct"/>
            <w:tcBorders>
              <w:top w:val="nil"/>
              <w:left w:val="nil"/>
              <w:bottom w:val="single" w:sz="4" w:space="0" w:color="auto"/>
              <w:right w:val="single" w:sz="4" w:space="0" w:color="auto"/>
            </w:tcBorders>
            <w:shd w:val="clear" w:color="000000" w:fill="FFFFFF"/>
            <w:noWrap/>
            <w:vAlign w:val="center"/>
            <w:hideMark/>
          </w:tcPr>
          <w:p w14:paraId="50D56CDD"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26BE4AC1" w14:textId="77777777" w:rsidR="002C6E12" w:rsidRPr="00A52AEE" w:rsidRDefault="002C6E12" w:rsidP="00FE68E8">
            <w:pPr>
              <w:jc w:val="right"/>
              <w:rPr>
                <w:lang w:eastAsia="en-GB"/>
              </w:rPr>
            </w:pPr>
            <w:r w:rsidRPr="00A52AEE">
              <w:rPr>
                <w:lang w:eastAsia="en-GB"/>
              </w:rPr>
              <w:t>2200</w:t>
            </w:r>
          </w:p>
        </w:tc>
        <w:tc>
          <w:tcPr>
            <w:tcW w:w="287" w:type="pct"/>
            <w:tcBorders>
              <w:top w:val="nil"/>
              <w:left w:val="nil"/>
              <w:bottom w:val="single" w:sz="4" w:space="0" w:color="auto"/>
              <w:right w:val="single" w:sz="4" w:space="0" w:color="auto"/>
            </w:tcBorders>
            <w:shd w:val="clear" w:color="000000" w:fill="FFFFFF"/>
            <w:noWrap/>
            <w:vAlign w:val="center"/>
            <w:hideMark/>
          </w:tcPr>
          <w:p w14:paraId="6D469A3D" w14:textId="77777777" w:rsidR="002C6E12" w:rsidRPr="00A52AEE" w:rsidRDefault="002C6E12"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noWrap/>
            <w:vAlign w:val="center"/>
            <w:hideMark/>
          </w:tcPr>
          <w:p w14:paraId="489804FB" w14:textId="77777777" w:rsidR="002C6E12" w:rsidRPr="00A52AEE" w:rsidRDefault="002C6E12" w:rsidP="00FE68E8">
            <w:pPr>
              <w:jc w:val="right"/>
              <w:rPr>
                <w:lang w:eastAsia="en-GB"/>
              </w:rPr>
            </w:pPr>
            <w:r w:rsidRPr="00A52AEE">
              <w:rPr>
                <w:lang w:eastAsia="en-GB"/>
              </w:rPr>
              <w:t>1595</w:t>
            </w:r>
          </w:p>
        </w:tc>
        <w:tc>
          <w:tcPr>
            <w:tcW w:w="288" w:type="pct"/>
            <w:tcBorders>
              <w:top w:val="nil"/>
              <w:left w:val="nil"/>
              <w:bottom w:val="single" w:sz="4" w:space="0" w:color="auto"/>
              <w:right w:val="single" w:sz="4" w:space="0" w:color="auto"/>
            </w:tcBorders>
            <w:shd w:val="clear" w:color="000000" w:fill="FFFFFF"/>
            <w:noWrap/>
            <w:vAlign w:val="center"/>
            <w:hideMark/>
          </w:tcPr>
          <w:p w14:paraId="0B03DD8A"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2E56AE22" w14:textId="77777777" w:rsidR="002C6E12" w:rsidRPr="00A52AEE" w:rsidRDefault="002C6E12" w:rsidP="00FE68E8">
            <w:pPr>
              <w:jc w:val="right"/>
              <w:rPr>
                <w:lang w:eastAsia="en-GB"/>
              </w:rPr>
            </w:pPr>
            <w:r w:rsidRPr="00A52AEE">
              <w:rPr>
                <w:lang w:eastAsia="en-GB"/>
              </w:rPr>
              <w:t>1590</w:t>
            </w:r>
          </w:p>
        </w:tc>
        <w:tc>
          <w:tcPr>
            <w:tcW w:w="287" w:type="pct"/>
            <w:tcBorders>
              <w:top w:val="nil"/>
              <w:left w:val="nil"/>
              <w:bottom w:val="single" w:sz="4" w:space="0" w:color="auto"/>
              <w:right w:val="single" w:sz="4" w:space="0" w:color="auto"/>
            </w:tcBorders>
            <w:shd w:val="clear" w:color="000000" w:fill="FFFFFF"/>
            <w:noWrap/>
            <w:vAlign w:val="center"/>
            <w:hideMark/>
          </w:tcPr>
          <w:p w14:paraId="4E630E44"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49271E38" w14:textId="77777777" w:rsidR="002C6E12" w:rsidRPr="00A52AEE" w:rsidRDefault="002C6E12" w:rsidP="00FE68E8">
            <w:pPr>
              <w:jc w:val="right"/>
              <w:rPr>
                <w:lang w:eastAsia="en-GB"/>
              </w:rPr>
            </w:pPr>
            <w:r w:rsidRPr="00A52AEE">
              <w:rPr>
                <w:lang w:eastAsia="en-GB"/>
              </w:rPr>
              <w:t>1570</w:t>
            </w:r>
          </w:p>
        </w:tc>
        <w:tc>
          <w:tcPr>
            <w:tcW w:w="283" w:type="pct"/>
            <w:tcBorders>
              <w:top w:val="nil"/>
              <w:left w:val="nil"/>
              <w:bottom w:val="single" w:sz="4" w:space="0" w:color="auto"/>
              <w:right w:val="single" w:sz="4" w:space="0" w:color="auto"/>
            </w:tcBorders>
            <w:shd w:val="clear" w:color="000000" w:fill="FFFFFF"/>
            <w:noWrap/>
            <w:vAlign w:val="center"/>
            <w:hideMark/>
          </w:tcPr>
          <w:p w14:paraId="7CBF2A2C" w14:textId="77777777" w:rsidR="002C6E12" w:rsidRPr="00A52AEE" w:rsidRDefault="002C6E12" w:rsidP="00FE68E8">
            <w:pPr>
              <w:jc w:val="right"/>
              <w:rPr>
                <w:lang w:eastAsia="en-GB"/>
              </w:rPr>
            </w:pPr>
            <w:r w:rsidRPr="00A52AEE">
              <w:rPr>
                <w:lang w:eastAsia="en-GB"/>
              </w:rPr>
              <w:t>3%</w:t>
            </w:r>
          </w:p>
        </w:tc>
      </w:tr>
      <w:tr w:rsidR="00BD5EF5" w:rsidRPr="00A52AEE" w14:paraId="11E4746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5B0C02E" w14:textId="3DC2B395" w:rsidR="002C6E12" w:rsidRPr="00855E4A" w:rsidRDefault="00E012DF" w:rsidP="00A52AEE">
            <w:pPr>
              <w:rPr>
                <w:sz w:val="22"/>
                <w:lang w:eastAsia="en-GB"/>
              </w:rPr>
            </w:pPr>
            <w:r w:rsidRPr="00855E4A">
              <w:rPr>
                <w:sz w:val="22"/>
                <w:lang w:eastAsia="en-GB"/>
              </w:rPr>
              <w:t>Lambeth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8C9787C" w14:textId="77777777" w:rsidR="002C6E12" w:rsidRPr="00A52AEE" w:rsidRDefault="002C6E12" w:rsidP="00FE68E8">
            <w:pPr>
              <w:jc w:val="right"/>
              <w:rPr>
                <w:lang w:eastAsia="en-GB"/>
              </w:rPr>
            </w:pPr>
            <w:r w:rsidRPr="00A52AEE">
              <w:rPr>
                <w:lang w:eastAsia="en-GB"/>
              </w:rPr>
              <w:t>1505</w:t>
            </w:r>
          </w:p>
        </w:tc>
        <w:tc>
          <w:tcPr>
            <w:tcW w:w="287" w:type="pct"/>
            <w:tcBorders>
              <w:top w:val="nil"/>
              <w:left w:val="nil"/>
              <w:bottom w:val="single" w:sz="4" w:space="0" w:color="auto"/>
              <w:right w:val="single" w:sz="4" w:space="0" w:color="auto"/>
            </w:tcBorders>
            <w:shd w:val="clear" w:color="000000" w:fill="FFFFFF"/>
            <w:noWrap/>
            <w:vAlign w:val="center"/>
            <w:hideMark/>
          </w:tcPr>
          <w:p w14:paraId="541FE35E"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6662816F" w14:textId="77777777" w:rsidR="002C6E12" w:rsidRPr="00A52AEE" w:rsidRDefault="002C6E12" w:rsidP="00FE68E8">
            <w:pPr>
              <w:jc w:val="right"/>
              <w:rPr>
                <w:lang w:eastAsia="en-GB"/>
              </w:rPr>
            </w:pPr>
            <w:r w:rsidRPr="00A52AEE">
              <w:rPr>
                <w:lang w:eastAsia="en-GB"/>
              </w:rPr>
              <w:t>1285</w:t>
            </w:r>
          </w:p>
        </w:tc>
        <w:tc>
          <w:tcPr>
            <w:tcW w:w="287" w:type="pct"/>
            <w:tcBorders>
              <w:top w:val="nil"/>
              <w:left w:val="nil"/>
              <w:bottom w:val="single" w:sz="4" w:space="0" w:color="auto"/>
              <w:right w:val="single" w:sz="4" w:space="0" w:color="auto"/>
            </w:tcBorders>
            <w:shd w:val="clear" w:color="000000" w:fill="FFFFFF"/>
            <w:noWrap/>
            <w:vAlign w:val="center"/>
            <w:hideMark/>
          </w:tcPr>
          <w:p w14:paraId="6C0C7BED"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5FB35EC" w14:textId="77777777" w:rsidR="002C6E12" w:rsidRPr="00A52AEE" w:rsidRDefault="002C6E12" w:rsidP="00FE68E8">
            <w:pPr>
              <w:jc w:val="right"/>
              <w:rPr>
                <w:lang w:eastAsia="en-GB"/>
              </w:rPr>
            </w:pPr>
            <w:r w:rsidRPr="00A52AEE">
              <w:rPr>
                <w:lang w:eastAsia="en-GB"/>
              </w:rPr>
              <w:t>1485</w:t>
            </w:r>
          </w:p>
        </w:tc>
        <w:tc>
          <w:tcPr>
            <w:tcW w:w="288" w:type="pct"/>
            <w:tcBorders>
              <w:top w:val="nil"/>
              <w:left w:val="nil"/>
              <w:bottom w:val="single" w:sz="4" w:space="0" w:color="auto"/>
              <w:right w:val="single" w:sz="4" w:space="0" w:color="auto"/>
            </w:tcBorders>
            <w:shd w:val="clear" w:color="000000" w:fill="FFFFFF"/>
            <w:noWrap/>
            <w:vAlign w:val="center"/>
            <w:hideMark/>
          </w:tcPr>
          <w:p w14:paraId="01507E46"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0808E740" w14:textId="77777777" w:rsidR="002C6E12" w:rsidRPr="00A52AEE" w:rsidRDefault="002C6E12" w:rsidP="00FE68E8">
            <w:pPr>
              <w:jc w:val="right"/>
              <w:rPr>
                <w:lang w:eastAsia="en-GB"/>
              </w:rPr>
            </w:pPr>
            <w:r w:rsidRPr="00A52AEE">
              <w:rPr>
                <w:lang w:eastAsia="en-GB"/>
              </w:rPr>
              <w:t>1280</w:t>
            </w:r>
          </w:p>
        </w:tc>
        <w:tc>
          <w:tcPr>
            <w:tcW w:w="287" w:type="pct"/>
            <w:tcBorders>
              <w:top w:val="nil"/>
              <w:left w:val="nil"/>
              <w:bottom w:val="single" w:sz="4" w:space="0" w:color="auto"/>
              <w:right w:val="single" w:sz="4" w:space="0" w:color="auto"/>
            </w:tcBorders>
            <w:shd w:val="clear" w:color="000000" w:fill="FFFFFF"/>
            <w:noWrap/>
            <w:vAlign w:val="center"/>
            <w:hideMark/>
          </w:tcPr>
          <w:p w14:paraId="589C2EFB"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AC34961" w14:textId="77777777" w:rsidR="002C6E12" w:rsidRPr="00A52AEE" w:rsidRDefault="002C6E12" w:rsidP="00FE68E8">
            <w:pPr>
              <w:jc w:val="right"/>
              <w:rPr>
                <w:lang w:eastAsia="en-GB"/>
              </w:rPr>
            </w:pPr>
            <w:r w:rsidRPr="00A52AEE">
              <w:rPr>
                <w:lang w:eastAsia="en-GB"/>
              </w:rPr>
              <w:t>1460</w:t>
            </w:r>
          </w:p>
        </w:tc>
        <w:tc>
          <w:tcPr>
            <w:tcW w:w="283" w:type="pct"/>
            <w:tcBorders>
              <w:top w:val="nil"/>
              <w:left w:val="nil"/>
              <w:bottom w:val="single" w:sz="4" w:space="0" w:color="auto"/>
              <w:right w:val="single" w:sz="4" w:space="0" w:color="auto"/>
            </w:tcBorders>
            <w:shd w:val="clear" w:color="000000" w:fill="FFFFFF"/>
            <w:noWrap/>
            <w:vAlign w:val="center"/>
            <w:hideMark/>
          </w:tcPr>
          <w:p w14:paraId="30E30FDE" w14:textId="77777777" w:rsidR="002C6E12" w:rsidRPr="00A52AEE" w:rsidRDefault="002C6E12" w:rsidP="00FE68E8">
            <w:pPr>
              <w:jc w:val="right"/>
              <w:rPr>
                <w:lang w:eastAsia="en-GB"/>
              </w:rPr>
            </w:pPr>
            <w:r w:rsidRPr="00A52AEE">
              <w:rPr>
                <w:lang w:eastAsia="en-GB"/>
              </w:rPr>
              <w:t>3%</w:t>
            </w:r>
          </w:p>
        </w:tc>
      </w:tr>
      <w:tr w:rsidR="00BD5EF5" w:rsidRPr="00A52AEE" w14:paraId="39986C9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452EC44" w14:textId="35FBC806" w:rsidR="002C6E12" w:rsidRPr="00855E4A" w:rsidRDefault="00E012DF" w:rsidP="00A52AEE">
            <w:pPr>
              <w:rPr>
                <w:sz w:val="22"/>
                <w:lang w:eastAsia="en-GB"/>
              </w:rPr>
            </w:pPr>
            <w:r w:rsidRPr="00855E4A">
              <w:rPr>
                <w:sz w:val="22"/>
                <w:lang w:eastAsia="en-GB"/>
              </w:rPr>
              <w:t>Lewisham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7C3E9370" w14:textId="77777777" w:rsidR="002C6E12" w:rsidRPr="00A52AEE" w:rsidRDefault="002C6E12" w:rsidP="00FE68E8">
            <w:pPr>
              <w:jc w:val="right"/>
              <w:rPr>
                <w:lang w:eastAsia="en-GB"/>
              </w:rPr>
            </w:pPr>
            <w:r w:rsidRPr="00A52AEE">
              <w:rPr>
                <w:lang w:eastAsia="en-GB"/>
              </w:rPr>
              <w:t>1470</w:t>
            </w:r>
          </w:p>
        </w:tc>
        <w:tc>
          <w:tcPr>
            <w:tcW w:w="287" w:type="pct"/>
            <w:tcBorders>
              <w:top w:val="nil"/>
              <w:left w:val="nil"/>
              <w:bottom w:val="single" w:sz="4" w:space="0" w:color="auto"/>
              <w:right w:val="single" w:sz="4" w:space="0" w:color="auto"/>
            </w:tcBorders>
            <w:shd w:val="clear" w:color="000000" w:fill="FFFFFF"/>
            <w:noWrap/>
            <w:vAlign w:val="center"/>
            <w:hideMark/>
          </w:tcPr>
          <w:p w14:paraId="07AB2C5F"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4CD1F594" w14:textId="77777777" w:rsidR="002C6E12" w:rsidRPr="00A52AEE" w:rsidRDefault="002C6E12" w:rsidP="00FE68E8">
            <w:pPr>
              <w:jc w:val="right"/>
              <w:rPr>
                <w:lang w:eastAsia="en-GB"/>
              </w:rPr>
            </w:pPr>
            <w:r w:rsidRPr="00A52AEE">
              <w:rPr>
                <w:lang w:eastAsia="en-GB"/>
              </w:rPr>
              <w:t>1700</w:t>
            </w:r>
          </w:p>
        </w:tc>
        <w:tc>
          <w:tcPr>
            <w:tcW w:w="287" w:type="pct"/>
            <w:tcBorders>
              <w:top w:val="nil"/>
              <w:left w:val="nil"/>
              <w:bottom w:val="single" w:sz="4" w:space="0" w:color="auto"/>
              <w:right w:val="single" w:sz="4" w:space="0" w:color="auto"/>
            </w:tcBorders>
            <w:shd w:val="clear" w:color="000000" w:fill="FFFFFF"/>
            <w:noWrap/>
            <w:vAlign w:val="center"/>
            <w:hideMark/>
          </w:tcPr>
          <w:p w14:paraId="2DC70A08"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47D89186" w14:textId="77777777" w:rsidR="002C6E12" w:rsidRPr="00A52AEE" w:rsidRDefault="002C6E12" w:rsidP="00FE68E8">
            <w:pPr>
              <w:jc w:val="right"/>
              <w:rPr>
                <w:lang w:eastAsia="en-GB"/>
              </w:rPr>
            </w:pPr>
            <w:r w:rsidRPr="00A52AEE">
              <w:rPr>
                <w:lang w:eastAsia="en-GB"/>
              </w:rPr>
              <w:t>1885</w:t>
            </w:r>
          </w:p>
        </w:tc>
        <w:tc>
          <w:tcPr>
            <w:tcW w:w="288" w:type="pct"/>
            <w:tcBorders>
              <w:top w:val="nil"/>
              <w:left w:val="nil"/>
              <w:bottom w:val="single" w:sz="4" w:space="0" w:color="auto"/>
              <w:right w:val="single" w:sz="4" w:space="0" w:color="auto"/>
            </w:tcBorders>
            <w:shd w:val="clear" w:color="000000" w:fill="FFFFFF"/>
            <w:noWrap/>
            <w:vAlign w:val="center"/>
            <w:hideMark/>
          </w:tcPr>
          <w:p w14:paraId="5A53997F"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5434727B" w14:textId="77777777" w:rsidR="002C6E12" w:rsidRPr="00A52AEE" w:rsidRDefault="002C6E12" w:rsidP="00FE68E8">
            <w:pPr>
              <w:jc w:val="right"/>
              <w:rPr>
                <w:lang w:eastAsia="en-GB"/>
              </w:rPr>
            </w:pPr>
            <w:r w:rsidRPr="00A52AEE">
              <w:rPr>
                <w:lang w:eastAsia="en-GB"/>
              </w:rPr>
              <w:t>1245</w:t>
            </w:r>
          </w:p>
        </w:tc>
        <w:tc>
          <w:tcPr>
            <w:tcW w:w="287" w:type="pct"/>
            <w:tcBorders>
              <w:top w:val="nil"/>
              <w:left w:val="nil"/>
              <w:bottom w:val="single" w:sz="4" w:space="0" w:color="auto"/>
              <w:right w:val="single" w:sz="4" w:space="0" w:color="auto"/>
            </w:tcBorders>
            <w:shd w:val="clear" w:color="000000" w:fill="FFFFFF"/>
            <w:noWrap/>
            <w:vAlign w:val="center"/>
            <w:hideMark/>
          </w:tcPr>
          <w:p w14:paraId="7B18AE40"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CE1B7B8" w14:textId="77777777" w:rsidR="002C6E12" w:rsidRPr="00A52AEE" w:rsidRDefault="002C6E12" w:rsidP="00FE68E8">
            <w:pPr>
              <w:jc w:val="right"/>
              <w:rPr>
                <w:lang w:eastAsia="en-GB"/>
              </w:rPr>
            </w:pPr>
            <w:r w:rsidRPr="00A52AEE">
              <w:rPr>
                <w:lang w:eastAsia="en-GB"/>
              </w:rPr>
              <w:t>1340</w:t>
            </w:r>
          </w:p>
        </w:tc>
        <w:tc>
          <w:tcPr>
            <w:tcW w:w="283" w:type="pct"/>
            <w:tcBorders>
              <w:top w:val="nil"/>
              <w:left w:val="nil"/>
              <w:bottom w:val="single" w:sz="4" w:space="0" w:color="auto"/>
              <w:right w:val="single" w:sz="4" w:space="0" w:color="auto"/>
            </w:tcBorders>
            <w:shd w:val="clear" w:color="000000" w:fill="FFFFFF"/>
            <w:noWrap/>
            <w:vAlign w:val="center"/>
            <w:hideMark/>
          </w:tcPr>
          <w:p w14:paraId="7A521263" w14:textId="77777777" w:rsidR="002C6E12" w:rsidRPr="00A52AEE" w:rsidRDefault="002C6E12" w:rsidP="00FE68E8">
            <w:pPr>
              <w:jc w:val="right"/>
              <w:rPr>
                <w:lang w:eastAsia="en-GB"/>
              </w:rPr>
            </w:pPr>
            <w:r w:rsidRPr="00A52AEE">
              <w:rPr>
                <w:lang w:eastAsia="en-GB"/>
              </w:rPr>
              <w:t>3%</w:t>
            </w:r>
          </w:p>
        </w:tc>
      </w:tr>
      <w:tr w:rsidR="00BD5EF5" w:rsidRPr="00A52AEE" w14:paraId="38335E6C"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278B4DE7" w14:textId="72E7E765" w:rsidR="002C6E12" w:rsidRPr="00855E4A" w:rsidRDefault="00E012DF" w:rsidP="00A52AEE">
            <w:pPr>
              <w:rPr>
                <w:sz w:val="22"/>
                <w:lang w:eastAsia="en-GB"/>
              </w:rPr>
            </w:pPr>
            <w:r w:rsidRPr="00855E4A">
              <w:rPr>
                <w:sz w:val="22"/>
                <w:lang w:eastAsia="en-GB"/>
              </w:rPr>
              <w:t>Leyton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638575C" w14:textId="77777777" w:rsidR="002C6E12" w:rsidRPr="00A52AEE" w:rsidRDefault="002C6E12" w:rsidP="00FE68E8">
            <w:pPr>
              <w:jc w:val="right"/>
              <w:rPr>
                <w:lang w:eastAsia="en-GB"/>
              </w:rPr>
            </w:pPr>
            <w:r w:rsidRPr="00A52AEE">
              <w:rPr>
                <w:lang w:eastAsia="en-GB"/>
              </w:rPr>
              <w:t>715</w:t>
            </w:r>
          </w:p>
        </w:tc>
        <w:tc>
          <w:tcPr>
            <w:tcW w:w="287" w:type="pct"/>
            <w:tcBorders>
              <w:top w:val="nil"/>
              <w:left w:val="nil"/>
              <w:bottom w:val="single" w:sz="4" w:space="0" w:color="auto"/>
              <w:right w:val="single" w:sz="4" w:space="0" w:color="auto"/>
            </w:tcBorders>
            <w:shd w:val="clear" w:color="000000" w:fill="FFFFFF"/>
            <w:noWrap/>
            <w:vAlign w:val="center"/>
            <w:hideMark/>
          </w:tcPr>
          <w:p w14:paraId="5A7C1FFD"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6E41642" w14:textId="77777777" w:rsidR="002C6E12" w:rsidRPr="00A52AEE" w:rsidRDefault="002C6E12" w:rsidP="00FE68E8">
            <w:pPr>
              <w:jc w:val="right"/>
              <w:rPr>
                <w:lang w:eastAsia="en-GB"/>
              </w:rPr>
            </w:pPr>
            <w:r w:rsidRPr="00A52AEE">
              <w:rPr>
                <w:lang w:eastAsia="en-GB"/>
              </w:rPr>
              <w:t>770</w:t>
            </w:r>
          </w:p>
        </w:tc>
        <w:tc>
          <w:tcPr>
            <w:tcW w:w="287" w:type="pct"/>
            <w:tcBorders>
              <w:top w:val="nil"/>
              <w:left w:val="nil"/>
              <w:bottom w:val="single" w:sz="4" w:space="0" w:color="auto"/>
              <w:right w:val="single" w:sz="4" w:space="0" w:color="auto"/>
            </w:tcBorders>
            <w:shd w:val="clear" w:color="000000" w:fill="FFFFFF"/>
            <w:noWrap/>
            <w:vAlign w:val="center"/>
            <w:hideMark/>
          </w:tcPr>
          <w:p w14:paraId="5736CAA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C0938FD" w14:textId="77777777" w:rsidR="002C6E12" w:rsidRPr="00A52AEE" w:rsidRDefault="002C6E12" w:rsidP="00FE68E8">
            <w:pPr>
              <w:jc w:val="right"/>
              <w:rPr>
                <w:lang w:eastAsia="en-GB"/>
              </w:rPr>
            </w:pPr>
            <w:r w:rsidRPr="00A52AEE">
              <w:rPr>
                <w:lang w:eastAsia="en-GB"/>
              </w:rPr>
              <w:t>755</w:t>
            </w:r>
          </w:p>
        </w:tc>
        <w:tc>
          <w:tcPr>
            <w:tcW w:w="288" w:type="pct"/>
            <w:tcBorders>
              <w:top w:val="nil"/>
              <w:left w:val="nil"/>
              <w:bottom w:val="single" w:sz="4" w:space="0" w:color="auto"/>
              <w:right w:val="single" w:sz="4" w:space="0" w:color="auto"/>
            </w:tcBorders>
            <w:shd w:val="clear" w:color="000000" w:fill="FFFFFF"/>
            <w:noWrap/>
            <w:vAlign w:val="center"/>
            <w:hideMark/>
          </w:tcPr>
          <w:p w14:paraId="38DC3753"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34336E7" w14:textId="77777777" w:rsidR="002C6E12" w:rsidRPr="00A52AEE" w:rsidRDefault="002C6E12" w:rsidP="00FE68E8">
            <w:pPr>
              <w:jc w:val="right"/>
              <w:rPr>
                <w:lang w:eastAsia="en-GB"/>
              </w:rPr>
            </w:pPr>
            <w:r w:rsidRPr="00A52AEE">
              <w:rPr>
                <w:lang w:eastAsia="en-GB"/>
              </w:rPr>
              <w:t>765</w:t>
            </w:r>
          </w:p>
        </w:tc>
        <w:tc>
          <w:tcPr>
            <w:tcW w:w="287" w:type="pct"/>
            <w:tcBorders>
              <w:top w:val="nil"/>
              <w:left w:val="nil"/>
              <w:bottom w:val="single" w:sz="4" w:space="0" w:color="auto"/>
              <w:right w:val="single" w:sz="4" w:space="0" w:color="auto"/>
            </w:tcBorders>
            <w:shd w:val="clear" w:color="000000" w:fill="FFFFFF"/>
            <w:noWrap/>
            <w:vAlign w:val="center"/>
            <w:hideMark/>
          </w:tcPr>
          <w:p w14:paraId="749E2E41"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3617B02" w14:textId="77777777" w:rsidR="002C6E12" w:rsidRPr="00A52AEE" w:rsidRDefault="002C6E12" w:rsidP="00FE68E8">
            <w:pPr>
              <w:jc w:val="right"/>
              <w:rPr>
                <w:lang w:eastAsia="en-GB"/>
              </w:rPr>
            </w:pPr>
            <w:r w:rsidRPr="00A52AEE">
              <w:rPr>
                <w:lang w:eastAsia="en-GB"/>
              </w:rPr>
              <w:t>825</w:t>
            </w:r>
          </w:p>
        </w:tc>
        <w:tc>
          <w:tcPr>
            <w:tcW w:w="283" w:type="pct"/>
            <w:tcBorders>
              <w:top w:val="nil"/>
              <w:left w:val="nil"/>
              <w:bottom w:val="single" w:sz="4" w:space="0" w:color="auto"/>
              <w:right w:val="single" w:sz="4" w:space="0" w:color="auto"/>
            </w:tcBorders>
            <w:shd w:val="clear" w:color="000000" w:fill="FFFFFF"/>
            <w:noWrap/>
            <w:vAlign w:val="center"/>
            <w:hideMark/>
          </w:tcPr>
          <w:p w14:paraId="7DB8DE41" w14:textId="77777777" w:rsidR="002C6E12" w:rsidRPr="00A52AEE" w:rsidRDefault="002C6E12" w:rsidP="00FE68E8">
            <w:pPr>
              <w:jc w:val="right"/>
              <w:rPr>
                <w:lang w:eastAsia="en-GB"/>
              </w:rPr>
            </w:pPr>
            <w:r w:rsidRPr="00A52AEE">
              <w:rPr>
                <w:lang w:eastAsia="en-GB"/>
              </w:rPr>
              <w:t>2%</w:t>
            </w:r>
          </w:p>
        </w:tc>
      </w:tr>
      <w:tr w:rsidR="00BD5EF5" w:rsidRPr="00A52AEE" w14:paraId="576BBD16"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25BA23FC" w14:textId="347B8D55" w:rsidR="002C6E12" w:rsidRPr="00855E4A" w:rsidRDefault="00E012DF" w:rsidP="00A52AEE">
            <w:pPr>
              <w:rPr>
                <w:sz w:val="22"/>
                <w:lang w:eastAsia="en-GB"/>
              </w:rPr>
            </w:pPr>
            <w:r w:rsidRPr="00855E4A">
              <w:rPr>
                <w:sz w:val="22"/>
                <w:lang w:eastAsia="en-GB"/>
              </w:rPr>
              <w:t xml:space="preserve">Mary Ward </w:t>
            </w:r>
            <w:r w:rsidR="00305EFC" w:rsidRPr="00855E4A">
              <w:rPr>
                <w:sz w:val="22"/>
                <w:lang w:eastAsia="en-GB"/>
              </w:rPr>
              <w:t>Centre</w:t>
            </w:r>
          </w:p>
        </w:tc>
        <w:tc>
          <w:tcPr>
            <w:tcW w:w="430" w:type="pct"/>
            <w:tcBorders>
              <w:top w:val="nil"/>
              <w:left w:val="nil"/>
              <w:bottom w:val="single" w:sz="4" w:space="0" w:color="auto"/>
              <w:right w:val="single" w:sz="4" w:space="0" w:color="auto"/>
            </w:tcBorders>
            <w:shd w:val="clear" w:color="000000" w:fill="FFFFFF"/>
            <w:noWrap/>
            <w:vAlign w:val="center"/>
            <w:hideMark/>
          </w:tcPr>
          <w:p w14:paraId="710350B6" w14:textId="77777777" w:rsidR="002C6E12" w:rsidRPr="00A52AEE" w:rsidRDefault="002C6E12" w:rsidP="00FE68E8">
            <w:pPr>
              <w:jc w:val="right"/>
              <w:rPr>
                <w:lang w:eastAsia="en-GB"/>
              </w:rPr>
            </w:pPr>
            <w:r w:rsidRPr="00A52AEE">
              <w:rPr>
                <w:lang w:eastAsia="en-GB"/>
              </w:rPr>
              <w:t>165</w:t>
            </w:r>
          </w:p>
        </w:tc>
        <w:tc>
          <w:tcPr>
            <w:tcW w:w="287" w:type="pct"/>
            <w:tcBorders>
              <w:top w:val="nil"/>
              <w:left w:val="nil"/>
              <w:bottom w:val="single" w:sz="4" w:space="0" w:color="auto"/>
              <w:right w:val="single" w:sz="4" w:space="0" w:color="auto"/>
            </w:tcBorders>
            <w:shd w:val="clear" w:color="000000" w:fill="FFFFFF"/>
            <w:noWrap/>
            <w:vAlign w:val="center"/>
            <w:hideMark/>
          </w:tcPr>
          <w:p w14:paraId="273C51FA"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5021A109" w14:textId="77777777" w:rsidR="002C6E12" w:rsidRPr="00A52AEE" w:rsidRDefault="002C6E12" w:rsidP="00FE68E8">
            <w:pPr>
              <w:jc w:val="right"/>
              <w:rPr>
                <w:lang w:eastAsia="en-GB"/>
              </w:rPr>
            </w:pPr>
            <w:r w:rsidRPr="00A52AEE">
              <w:rPr>
                <w:lang w:eastAsia="en-GB"/>
              </w:rPr>
              <w:t>75</w:t>
            </w:r>
          </w:p>
        </w:tc>
        <w:tc>
          <w:tcPr>
            <w:tcW w:w="287" w:type="pct"/>
            <w:tcBorders>
              <w:top w:val="nil"/>
              <w:left w:val="nil"/>
              <w:bottom w:val="single" w:sz="4" w:space="0" w:color="auto"/>
              <w:right w:val="single" w:sz="4" w:space="0" w:color="auto"/>
            </w:tcBorders>
            <w:shd w:val="clear" w:color="000000" w:fill="FFFFFF"/>
            <w:noWrap/>
            <w:vAlign w:val="center"/>
            <w:hideMark/>
          </w:tcPr>
          <w:p w14:paraId="352BBF78"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6A5D3954" w14:textId="77777777" w:rsidR="002C6E12" w:rsidRPr="00A52AEE" w:rsidRDefault="002C6E12" w:rsidP="00FE68E8">
            <w:pPr>
              <w:jc w:val="right"/>
              <w:rPr>
                <w:lang w:eastAsia="en-GB"/>
              </w:rPr>
            </w:pPr>
            <w:r w:rsidRPr="00A52AEE">
              <w:rPr>
                <w:lang w:eastAsia="en-GB"/>
              </w:rPr>
              <w:t>135</w:t>
            </w:r>
          </w:p>
        </w:tc>
        <w:tc>
          <w:tcPr>
            <w:tcW w:w="288" w:type="pct"/>
            <w:tcBorders>
              <w:top w:val="nil"/>
              <w:left w:val="nil"/>
              <w:bottom w:val="single" w:sz="4" w:space="0" w:color="auto"/>
              <w:right w:val="single" w:sz="4" w:space="0" w:color="auto"/>
            </w:tcBorders>
            <w:shd w:val="clear" w:color="000000" w:fill="FFFFFF"/>
            <w:noWrap/>
            <w:vAlign w:val="center"/>
            <w:hideMark/>
          </w:tcPr>
          <w:p w14:paraId="156D4A72"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1CCDC5B7" w14:textId="77777777" w:rsidR="002C6E12" w:rsidRPr="00A52AEE" w:rsidRDefault="002C6E12" w:rsidP="00FE68E8">
            <w:pPr>
              <w:jc w:val="right"/>
              <w:rPr>
                <w:lang w:eastAsia="en-GB"/>
              </w:rPr>
            </w:pPr>
            <w:r w:rsidRPr="00A52AEE">
              <w:rPr>
                <w:lang w:eastAsia="en-GB"/>
              </w:rPr>
              <w:t>160</w:t>
            </w:r>
          </w:p>
        </w:tc>
        <w:tc>
          <w:tcPr>
            <w:tcW w:w="287" w:type="pct"/>
            <w:tcBorders>
              <w:top w:val="nil"/>
              <w:left w:val="nil"/>
              <w:bottom w:val="single" w:sz="4" w:space="0" w:color="auto"/>
              <w:right w:val="single" w:sz="4" w:space="0" w:color="auto"/>
            </w:tcBorders>
            <w:shd w:val="clear" w:color="000000" w:fill="FFFFFF"/>
            <w:noWrap/>
            <w:vAlign w:val="center"/>
            <w:hideMark/>
          </w:tcPr>
          <w:p w14:paraId="1D26D034"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750E22BE" w14:textId="77777777" w:rsidR="002C6E12" w:rsidRPr="00A52AEE" w:rsidRDefault="002C6E12" w:rsidP="00FE68E8">
            <w:pPr>
              <w:jc w:val="right"/>
              <w:rPr>
                <w:lang w:eastAsia="en-GB"/>
              </w:rPr>
            </w:pPr>
            <w:r w:rsidRPr="00A52AEE">
              <w:rPr>
                <w:lang w:eastAsia="en-GB"/>
              </w:rPr>
              <w:t>110</w:t>
            </w:r>
          </w:p>
        </w:tc>
        <w:tc>
          <w:tcPr>
            <w:tcW w:w="283" w:type="pct"/>
            <w:tcBorders>
              <w:top w:val="nil"/>
              <w:left w:val="nil"/>
              <w:bottom w:val="single" w:sz="4" w:space="0" w:color="auto"/>
              <w:right w:val="single" w:sz="4" w:space="0" w:color="auto"/>
            </w:tcBorders>
            <w:shd w:val="clear" w:color="000000" w:fill="FFFFFF"/>
            <w:noWrap/>
            <w:vAlign w:val="center"/>
            <w:hideMark/>
          </w:tcPr>
          <w:p w14:paraId="3A57DAA5" w14:textId="77777777" w:rsidR="002C6E12" w:rsidRPr="00A52AEE" w:rsidRDefault="002C6E12" w:rsidP="00FE68E8">
            <w:pPr>
              <w:jc w:val="right"/>
              <w:rPr>
                <w:lang w:eastAsia="en-GB"/>
              </w:rPr>
            </w:pPr>
            <w:r w:rsidRPr="00A52AEE">
              <w:rPr>
                <w:lang w:eastAsia="en-GB"/>
              </w:rPr>
              <w:t>0%</w:t>
            </w:r>
          </w:p>
        </w:tc>
      </w:tr>
      <w:tr w:rsidR="00BD5EF5" w:rsidRPr="00A52AEE" w14:paraId="452A6A72"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B41EA54" w14:textId="6071F245" w:rsidR="002C6E12" w:rsidRPr="00855E4A" w:rsidRDefault="00E012DF" w:rsidP="00A52AEE">
            <w:pPr>
              <w:rPr>
                <w:sz w:val="22"/>
                <w:lang w:eastAsia="en-GB"/>
              </w:rPr>
            </w:pPr>
            <w:r w:rsidRPr="00855E4A">
              <w:rPr>
                <w:sz w:val="22"/>
                <w:lang w:eastAsia="en-GB"/>
              </w:rPr>
              <w:t xml:space="preserve">Morley College </w:t>
            </w:r>
          </w:p>
        </w:tc>
        <w:tc>
          <w:tcPr>
            <w:tcW w:w="430" w:type="pct"/>
            <w:tcBorders>
              <w:top w:val="nil"/>
              <w:left w:val="nil"/>
              <w:bottom w:val="single" w:sz="4" w:space="0" w:color="auto"/>
              <w:right w:val="single" w:sz="4" w:space="0" w:color="auto"/>
            </w:tcBorders>
            <w:shd w:val="clear" w:color="000000" w:fill="FFFFFF"/>
            <w:noWrap/>
            <w:vAlign w:val="center"/>
            <w:hideMark/>
          </w:tcPr>
          <w:p w14:paraId="0AC78397" w14:textId="77777777" w:rsidR="002C6E12" w:rsidRPr="00A52AEE" w:rsidRDefault="002C6E12" w:rsidP="00FE68E8">
            <w:pPr>
              <w:jc w:val="right"/>
              <w:rPr>
                <w:lang w:eastAsia="en-GB"/>
              </w:rPr>
            </w:pPr>
            <w:r w:rsidRPr="00A52AEE">
              <w:rPr>
                <w:lang w:eastAsia="en-GB"/>
              </w:rPr>
              <w:t>250</w:t>
            </w:r>
          </w:p>
        </w:tc>
        <w:tc>
          <w:tcPr>
            <w:tcW w:w="287" w:type="pct"/>
            <w:tcBorders>
              <w:top w:val="nil"/>
              <w:left w:val="nil"/>
              <w:bottom w:val="single" w:sz="4" w:space="0" w:color="auto"/>
              <w:right w:val="single" w:sz="4" w:space="0" w:color="auto"/>
            </w:tcBorders>
            <w:shd w:val="clear" w:color="000000" w:fill="FFFFFF"/>
            <w:noWrap/>
            <w:vAlign w:val="center"/>
            <w:hideMark/>
          </w:tcPr>
          <w:p w14:paraId="231000FD"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802A82D" w14:textId="77777777" w:rsidR="002C6E12" w:rsidRPr="00A52AEE" w:rsidRDefault="002C6E12" w:rsidP="00FE68E8">
            <w:pPr>
              <w:jc w:val="right"/>
              <w:rPr>
                <w:lang w:eastAsia="en-GB"/>
              </w:rPr>
            </w:pPr>
            <w:r w:rsidRPr="00A52AEE">
              <w:rPr>
                <w:lang w:eastAsia="en-GB"/>
              </w:rPr>
              <w:t>480</w:t>
            </w:r>
          </w:p>
        </w:tc>
        <w:tc>
          <w:tcPr>
            <w:tcW w:w="287" w:type="pct"/>
            <w:tcBorders>
              <w:top w:val="nil"/>
              <w:left w:val="nil"/>
              <w:bottom w:val="single" w:sz="4" w:space="0" w:color="auto"/>
              <w:right w:val="single" w:sz="4" w:space="0" w:color="auto"/>
            </w:tcBorders>
            <w:shd w:val="clear" w:color="000000" w:fill="FFFFFF"/>
            <w:noWrap/>
            <w:vAlign w:val="center"/>
            <w:hideMark/>
          </w:tcPr>
          <w:p w14:paraId="58FA9E03"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18CC6DD" w14:textId="77777777" w:rsidR="002C6E12" w:rsidRPr="00A52AEE" w:rsidRDefault="002C6E12" w:rsidP="00FE68E8">
            <w:pPr>
              <w:jc w:val="right"/>
              <w:rPr>
                <w:lang w:eastAsia="en-GB"/>
              </w:rPr>
            </w:pPr>
            <w:r w:rsidRPr="00A52AEE">
              <w:rPr>
                <w:lang w:eastAsia="en-GB"/>
              </w:rPr>
              <w:t>510</w:t>
            </w:r>
          </w:p>
        </w:tc>
        <w:tc>
          <w:tcPr>
            <w:tcW w:w="288" w:type="pct"/>
            <w:tcBorders>
              <w:top w:val="nil"/>
              <w:left w:val="nil"/>
              <w:bottom w:val="single" w:sz="4" w:space="0" w:color="auto"/>
              <w:right w:val="single" w:sz="4" w:space="0" w:color="auto"/>
            </w:tcBorders>
            <w:shd w:val="clear" w:color="000000" w:fill="FFFFFF"/>
            <w:noWrap/>
            <w:vAlign w:val="center"/>
            <w:hideMark/>
          </w:tcPr>
          <w:p w14:paraId="30B5C3BC"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822C6A8" w14:textId="77777777" w:rsidR="002C6E12" w:rsidRPr="00A52AEE" w:rsidRDefault="002C6E12" w:rsidP="00FE68E8">
            <w:pPr>
              <w:jc w:val="right"/>
              <w:rPr>
                <w:lang w:eastAsia="en-GB"/>
              </w:rPr>
            </w:pPr>
            <w:r w:rsidRPr="00A52AEE">
              <w:rPr>
                <w:lang w:eastAsia="en-GB"/>
              </w:rPr>
              <w:t>290</w:t>
            </w:r>
          </w:p>
        </w:tc>
        <w:tc>
          <w:tcPr>
            <w:tcW w:w="287" w:type="pct"/>
            <w:tcBorders>
              <w:top w:val="nil"/>
              <w:left w:val="nil"/>
              <w:bottom w:val="single" w:sz="4" w:space="0" w:color="auto"/>
              <w:right w:val="single" w:sz="4" w:space="0" w:color="auto"/>
            </w:tcBorders>
            <w:shd w:val="clear" w:color="000000" w:fill="FFFFFF"/>
            <w:noWrap/>
            <w:vAlign w:val="center"/>
            <w:hideMark/>
          </w:tcPr>
          <w:p w14:paraId="792C002E"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80FED28" w14:textId="77777777" w:rsidR="002C6E12" w:rsidRPr="00A52AEE" w:rsidRDefault="002C6E12" w:rsidP="00FE68E8">
            <w:pPr>
              <w:jc w:val="right"/>
              <w:rPr>
                <w:lang w:eastAsia="en-GB"/>
              </w:rPr>
            </w:pPr>
            <w:r w:rsidRPr="00A52AEE">
              <w:rPr>
                <w:lang w:eastAsia="en-GB"/>
              </w:rPr>
              <w:t>510</w:t>
            </w:r>
          </w:p>
        </w:tc>
        <w:tc>
          <w:tcPr>
            <w:tcW w:w="283" w:type="pct"/>
            <w:tcBorders>
              <w:top w:val="nil"/>
              <w:left w:val="nil"/>
              <w:bottom w:val="single" w:sz="4" w:space="0" w:color="auto"/>
              <w:right w:val="single" w:sz="4" w:space="0" w:color="auto"/>
            </w:tcBorders>
            <w:shd w:val="clear" w:color="000000" w:fill="FFFFFF"/>
            <w:noWrap/>
            <w:vAlign w:val="center"/>
            <w:hideMark/>
          </w:tcPr>
          <w:p w14:paraId="0609E888" w14:textId="77777777" w:rsidR="002C6E12" w:rsidRPr="00A52AEE" w:rsidRDefault="002C6E12" w:rsidP="00FE68E8">
            <w:pPr>
              <w:jc w:val="right"/>
              <w:rPr>
                <w:lang w:eastAsia="en-GB"/>
              </w:rPr>
            </w:pPr>
            <w:r w:rsidRPr="00A52AEE">
              <w:rPr>
                <w:lang w:eastAsia="en-GB"/>
              </w:rPr>
              <w:t>1%</w:t>
            </w:r>
          </w:p>
        </w:tc>
      </w:tr>
      <w:tr w:rsidR="00BD5EF5" w:rsidRPr="00A52AEE" w14:paraId="13C311E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742645F" w14:textId="4FD4747E" w:rsidR="002C6E12" w:rsidRPr="00855E4A" w:rsidRDefault="00E012DF" w:rsidP="00A52AEE">
            <w:pPr>
              <w:rPr>
                <w:sz w:val="22"/>
                <w:lang w:eastAsia="en-GB"/>
              </w:rPr>
            </w:pPr>
            <w:r w:rsidRPr="00855E4A">
              <w:rPr>
                <w:sz w:val="22"/>
                <w:lang w:eastAsia="en-GB"/>
              </w:rPr>
              <w:t>Newham College of Further Education</w:t>
            </w:r>
          </w:p>
        </w:tc>
        <w:tc>
          <w:tcPr>
            <w:tcW w:w="430" w:type="pct"/>
            <w:tcBorders>
              <w:top w:val="nil"/>
              <w:left w:val="nil"/>
              <w:bottom w:val="single" w:sz="4" w:space="0" w:color="auto"/>
              <w:right w:val="single" w:sz="4" w:space="0" w:color="auto"/>
            </w:tcBorders>
            <w:shd w:val="clear" w:color="000000" w:fill="FFFFFF"/>
            <w:noWrap/>
            <w:vAlign w:val="center"/>
            <w:hideMark/>
          </w:tcPr>
          <w:p w14:paraId="19113288" w14:textId="77777777" w:rsidR="002C6E12" w:rsidRPr="00A52AEE" w:rsidRDefault="002C6E12" w:rsidP="00FE68E8">
            <w:pPr>
              <w:jc w:val="right"/>
              <w:rPr>
                <w:lang w:eastAsia="en-GB"/>
              </w:rPr>
            </w:pPr>
            <w:r w:rsidRPr="00A52AEE">
              <w:rPr>
                <w:lang w:eastAsia="en-GB"/>
              </w:rPr>
              <w:t>865</w:t>
            </w:r>
          </w:p>
        </w:tc>
        <w:tc>
          <w:tcPr>
            <w:tcW w:w="287" w:type="pct"/>
            <w:tcBorders>
              <w:top w:val="nil"/>
              <w:left w:val="nil"/>
              <w:bottom w:val="single" w:sz="4" w:space="0" w:color="auto"/>
              <w:right w:val="single" w:sz="4" w:space="0" w:color="auto"/>
            </w:tcBorders>
            <w:shd w:val="clear" w:color="000000" w:fill="FFFFFF"/>
            <w:noWrap/>
            <w:vAlign w:val="center"/>
            <w:hideMark/>
          </w:tcPr>
          <w:p w14:paraId="43CC50B7"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04156FF" w14:textId="77777777" w:rsidR="002C6E12" w:rsidRPr="00A52AEE" w:rsidRDefault="002C6E12" w:rsidP="00FE68E8">
            <w:pPr>
              <w:jc w:val="right"/>
              <w:rPr>
                <w:lang w:eastAsia="en-GB"/>
              </w:rPr>
            </w:pPr>
            <w:r w:rsidRPr="00A52AEE">
              <w:rPr>
                <w:lang w:eastAsia="en-GB"/>
              </w:rPr>
              <w:t>1125</w:t>
            </w:r>
          </w:p>
        </w:tc>
        <w:tc>
          <w:tcPr>
            <w:tcW w:w="287" w:type="pct"/>
            <w:tcBorders>
              <w:top w:val="nil"/>
              <w:left w:val="nil"/>
              <w:bottom w:val="single" w:sz="4" w:space="0" w:color="auto"/>
              <w:right w:val="single" w:sz="4" w:space="0" w:color="auto"/>
            </w:tcBorders>
            <w:shd w:val="clear" w:color="000000" w:fill="FFFFFF"/>
            <w:noWrap/>
            <w:vAlign w:val="center"/>
            <w:hideMark/>
          </w:tcPr>
          <w:p w14:paraId="35B3384C"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7839646" w14:textId="77777777" w:rsidR="002C6E12" w:rsidRPr="00A52AEE" w:rsidRDefault="002C6E12" w:rsidP="00FE68E8">
            <w:pPr>
              <w:jc w:val="right"/>
              <w:rPr>
                <w:lang w:eastAsia="en-GB"/>
              </w:rPr>
            </w:pPr>
            <w:r w:rsidRPr="00A52AEE">
              <w:rPr>
                <w:lang w:eastAsia="en-GB"/>
              </w:rPr>
              <w:t>1205</w:t>
            </w:r>
          </w:p>
        </w:tc>
        <w:tc>
          <w:tcPr>
            <w:tcW w:w="288" w:type="pct"/>
            <w:tcBorders>
              <w:top w:val="nil"/>
              <w:left w:val="nil"/>
              <w:bottom w:val="single" w:sz="4" w:space="0" w:color="auto"/>
              <w:right w:val="single" w:sz="4" w:space="0" w:color="auto"/>
            </w:tcBorders>
            <w:shd w:val="clear" w:color="000000" w:fill="FFFFFF"/>
            <w:noWrap/>
            <w:vAlign w:val="center"/>
            <w:hideMark/>
          </w:tcPr>
          <w:p w14:paraId="4E28CD07"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0E4E57F8" w14:textId="77777777" w:rsidR="002C6E12" w:rsidRPr="00A52AEE" w:rsidRDefault="002C6E12" w:rsidP="00FE68E8">
            <w:pPr>
              <w:jc w:val="right"/>
              <w:rPr>
                <w:lang w:eastAsia="en-GB"/>
              </w:rPr>
            </w:pPr>
            <w:r w:rsidRPr="00A52AEE">
              <w:rPr>
                <w:lang w:eastAsia="en-GB"/>
              </w:rPr>
              <w:t>970</w:t>
            </w:r>
          </w:p>
        </w:tc>
        <w:tc>
          <w:tcPr>
            <w:tcW w:w="287" w:type="pct"/>
            <w:tcBorders>
              <w:top w:val="nil"/>
              <w:left w:val="nil"/>
              <w:bottom w:val="single" w:sz="4" w:space="0" w:color="auto"/>
              <w:right w:val="single" w:sz="4" w:space="0" w:color="auto"/>
            </w:tcBorders>
            <w:shd w:val="clear" w:color="000000" w:fill="FFFFFF"/>
            <w:noWrap/>
            <w:vAlign w:val="center"/>
            <w:hideMark/>
          </w:tcPr>
          <w:p w14:paraId="6E917113"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5CABD7A4" w14:textId="77777777" w:rsidR="002C6E12" w:rsidRPr="00A52AEE" w:rsidRDefault="002C6E12" w:rsidP="00FE68E8">
            <w:pPr>
              <w:jc w:val="right"/>
              <w:rPr>
                <w:lang w:eastAsia="en-GB"/>
              </w:rPr>
            </w:pPr>
            <w:r w:rsidRPr="00A52AEE">
              <w:rPr>
                <w:lang w:eastAsia="en-GB"/>
              </w:rPr>
              <w:t>1035</w:t>
            </w:r>
          </w:p>
        </w:tc>
        <w:tc>
          <w:tcPr>
            <w:tcW w:w="283" w:type="pct"/>
            <w:tcBorders>
              <w:top w:val="nil"/>
              <w:left w:val="nil"/>
              <w:bottom w:val="single" w:sz="4" w:space="0" w:color="auto"/>
              <w:right w:val="single" w:sz="4" w:space="0" w:color="auto"/>
            </w:tcBorders>
            <w:shd w:val="clear" w:color="000000" w:fill="FFFFFF"/>
            <w:noWrap/>
            <w:vAlign w:val="center"/>
            <w:hideMark/>
          </w:tcPr>
          <w:p w14:paraId="477CA497" w14:textId="77777777" w:rsidR="002C6E12" w:rsidRPr="00A52AEE" w:rsidRDefault="002C6E12" w:rsidP="00FE68E8">
            <w:pPr>
              <w:jc w:val="right"/>
              <w:rPr>
                <w:lang w:eastAsia="en-GB"/>
              </w:rPr>
            </w:pPr>
            <w:r w:rsidRPr="00A52AEE">
              <w:rPr>
                <w:lang w:eastAsia="en-GB"/>
              </w:rPr>
              <w:t>2%</w:t>
            </w:r>
          </w:p>
        </w:tc>
      </w:tr>
      <w:tr w:rsidR="00BD5EF5" w:rsidRPr="00A52AEE" w14:paraId="2ABE83CD"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3D932EC6" w14:textId="100246CF" w:rsidR="002C6E12" w:rsidRPr="00855E4A" w:rsidRDefault="00E012DF" w:rsidP="00A52AEE">
            <w:pPr>
              <w:rPr>
                <w:sz w:val="22"/>
                <w:lang w:eastAsia="en-GB"/>
              </w:rPr>
            </w:pPr>
            <w:r w:rsidRPr="00855E4A">
              <w:rPr>
                <w:sz w:val="22"/>
                <w:lang w:eastAsia="en-GB"/>
              </w:rPr>
              <w:t>Newham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527649EE" w14:textId="77777777" w:rsidR="002C6E12" w:rsidRPr="00A52AEE" w:rsidRDefault="002C6E12" w:rsidP="00FE68E8">
            <w:pPr>
              <w:jc w:val="right"/>
              <w:rPr>
                <w:lang w:eastAsia="en-GB"/>
              </w:rPr>
            </w:pPr>
            <w:r w:rsidRPr="00A52AEE">
              <w:rPr>
                <w:lang w:eastAsia="en-GB"/>
              </w:rPr>
              <w:t>900</w:t>
            </w:r>
          </w:p>
        </w:tc>
        <w:tc>
          <w:tcPr>
            <w:tcW w:w="287" w:type="pct"/>
            <w:tcBorders>
              <w:top w:val="nil"/>
              <w:left w:val="nil"/>
              <w:bottom w:val="single" w:sz="4" w:space="0" w:color="auto"/>
              <w:right w:val="single" w:sz="4" w:space="0" w:color="auto"/>
            </w:tcBorders>
            <w:shd w:val="clear" w:color="000000" w:fill="FFFFFF"/>
            <w:noWrap/>
            <w:vAlign w:val="center"/>
            <w:hideMark/>
          </w:tcPr>
          <w:p w14:paraId="1EFF0DCC"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9C118E3" w14:textId="77777777" w:rsidR="002C6E12" w:rsidRPr="00A52AEE" w:rsidRDefault="002C6E12" w:rsidP="00FE68E8">
            <w:pPr>
              <w:jc w:val="right"/>
              <w:rPr>
                <w:lang w:eastAsia="en-GB"/>
              </w:rPr>
            </w:pPr>
            <w:r w:rsidRPr="00A52AEE">
              <w:rPr>
                <w:lang w:eastAsia="en-GB"/>
              </w:rPr>
              <w:t>860</w:t>
            </w:r>
          </w:p>
        </w:tc>
        <w:tc>
          <w:tcPr>
            <w:tcW w:w="287" w:type="pct"/>
            <w:tcBorders>
              <w:top w:val="nil"/>
              <w:left w:val="nil"/>
              <w:bottom w:val="single" w:sz="4" w:space="0" w:color="auto"/>
              <w:right w:val="single" w:sz="4" w:space="0" w:color="auto"/>
            </w:tcBorders>
            <w:shd w:val="clear" w:color="000000" w:fill="FFFFFF"/>
            <w:noWrap/>
            <w:vAlign w:val="center"/>
            <w:hideMark/>
          </w:tcPr>
          <w:p w14:paraId="3FE484C5"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CC65E45" w14:textId="77777777" w:rsidR="002C6E12" w:rsidRPr="00A52AEE" w:rsidRDefault="002C6E12" w:rsidP="00FE68E8">
            <w:pPr>
              <w:jc w:val="right"/>
              <w:rPr>
                <w:lang w:eastAsia="en-GB"/>
              </w:rPr>
            </w:pPr>
            <w:r w:rsidRPr="00A52AEE">
              <w:rPr>
                <w:lang w:eastAsia="en-GB"/>
              </w:rPr>
              <w:t>895</w:t>
            </w:r>
          </w:p>
        </w:tc>
        <w:tc>
          <w:tcPr>
            <w:tcW w:w="288" w:type="pct"/>
            <w:tcBorders>
              <w:top w:val="nil"/>
              <w:left w:val="nil"/>
              <w:bottom w:val="single" w:sz="4" w:space="0" w:color="auto"/>
              <w:right w:val="single" w:sz="4" w:space="0" w:color="auto"/>
            </w:tcBorders>
            <w:shd w:val="clear" w:color="000000" w:fill="FFFFFF"/>
            <w:noWrap/>
            <w:vAlign w:val="center"/>
            <w:hideMark/>
          </w:tcPr>
          <w:p w14:paraId="211B5BB4"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199CBAD" w14:textId="77777777" w:rsidR="002C6E12" w:rsidRPr="00A52AEE" w:rsidRDefault="002C6E12" w:rsidP="00FE68E8">
            <w:pPr>
              <w:jc w:val="right"/>
              <w:rPr>
                <w:lang w:eastAsia="en-GB"/>
              </w:rPr>
            </w:pPr>
            <w:r w:rsidRPr="00A52AEE">
              <w:rPr>
                <w:lang w:eastAsia="en-GB"/>
              </w:rPr>
              <w:t>985</w:t>
            </w:r>
          </w:p>
        </w:tc>
        <w:tc>
          <w:tcPr>
            <w:tcW w:w="287" w:type="pct"/>
            <w:tcBorders>
              <w:top w:val="nil"/>
              <w:left w:val="nil"/>
              <w:bottom w:val="single" w:sz="4" w:space="0" w:color="auto"/>
              <w:right w:val="single" w:sz="4" w:space="0" w:color="auto"/>
            </w:tcBorders>
            <w:shd w:val="clear" w:color="000000" w:fill="FFFFFF"/>
            <w:noWrap/>
            <w:vAlign w:val="center"/>
            <w:hideMark/>
          </w:tcPr>
          <w:p w14:paraId="74278A08"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BE73B1C" w14:textId="77777777" w:rsidR="002C6E12" w:rsidRPr="00A52AEE" w:rsidRDefault="002C6E12" w:rsidP="00FE68E8">
            <w:pPr>
              <w:jc w:val="right"/>
              <w:rPr>
                <w:lang w:eastAsia="en-GB"/>
              </w:rPr>
            </w:pPr>
            <w:r w:rsidRPr="00A52AEE">
              <w:rPr>
                <w:lang w:eastAsia="en-GB"/>
              </w:rPr>
              <w:t>1060</w:t>
            </w:r>
          </w:p>
        </w:tc>
        <w:tc>
          <w:tcPr>
            <w:tcW w:w="283" w:type="pct"/>
            <w:tcBorders>
              <w:top w:val="nil"/>
              <w:left w:val="nil"/>
              <w:bottom w:val="single" w:sz="4" w:space="0" w:color="auto"/>
              <w:right w:val="single" w:sz="4" w:space="0" w:color="auto"/>
            </w:tcBorders>
            <w:shd w:val="clear" w:color="000000" w:fill="FFFFFF"/>
            <w:noWrap/>
            <w:vAlign w:val="center"/>
            <w:hideMark/>
          </w:tcPr>
          <w:p w14:paraId="60D371B8" w14:textId="77777777" w:rsidR="002C6E12" w:rsidRPr="00A52AEE" w:rsidRDefault="002C6E12" w:rsidP="00FE68E8">
            <w:pPr>
              <w:jc w:val="right"/>
              <w:rPr>
                <w:lang w:eastAsia="en-GB"/>
              </w:rPr>
            </w:pPr>
            <w:r w:rsidRPr="00A52AEE">
              <w:rPr>
                <w:lang w:eastAsia="en-GB"/>
              </w:rPr>
              <w:t>2%</w:t>
            </w:r>
          </w:p>
        </w:tc>
      </w:tr>
      <w:tr w:rsidR="00BD5EF5" w:rsidRPr="00A52AEE" w14:paraId="73B8E09A"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9D30EC9" w14:textId="7312C275" w:rsidR="002C6E12" w:rsidRPr="00855E4A" w:rsidRDefault="00E012DF" w:rsidP="00A52AEE">
            <w:pPr>
              <w:rPr>
                <w:sz w:val="22"/>
                <w:lang w:eastAsia="en-GB"/>
              </w:rPr>
            </w:pPr>
            <w:r w:rsidRPr="00855E4A">
              <w:rPr>
                <w:sz w:val="22"/>
                <w:lang w:eastAsia="en-GB"/>
              </w:rPr>
              <w:t>Redbridge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60EB2184" w14:textId="77777777" w:rsidR="002C6E12" w:rsidRPr="00A52AEE" w:rsidRDefault="002C6E12" w:rsidP="00FE68E8">
            <w:pPr>
              <w:jc w:val="right"/>
              <w:rPr>
                <w:lang w:eastAsia="en-GB"/>
              </w:rPr>
            </w:pPr>
            <w:r w:rsidRPr="00A52AEE">
              <w:rPr>
                <w:lang w:eastAsia="en-GB"/>
              </w:rPr>
              <w:t>630</w:t>
            </w:r>
          </w:p>
        </w:tc>
        <w:tc>
          <w:tcPr>
            <w:tcW w:w="287" w:type="pct"/>
            <w:tcBorders>
              <w:top w:val="nil"/>
              <w:left w:val="nil"/>
              <w:bottom w:val="single" w:sz="4" w:space="0" w:color="auto"/>
              <w:right w:val="single" w:sz="4" w:space="0" w:color="auto"/>
            </w:tcBorders>
            <w:shd w:val="clear" w:color="000000" w:fill="FFFFFF"/>
            <w:noWrap/>
            <w:vAlign w:val="center"/>
            <w:hideMark/>
          </w:tcPr>
          <w:p w14:paraId="37719F64"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CFCA263" w14:textId="77777777" w:rsidR="002C6E12" w:rsidRPr="00A52AEE" w:rsidRDefault="002C6E12" w:rsidP="00FE68E8">
            <w:pPr>
              <w:jc w:val="right"/>
              <w:rPr>
                <w:lang w:eastAsia="en-GB"/>
              </w:rPr>
            </w:pPr>
            <w:r w:rsidRPr="00A52AEE">
              <w:rPr>
                <w:lang w:eastAsia="en-GB"/>
              </w:rPr>
              <w:t>495</w:t>
            </w:r>
          </w:p>
        </w:tc>
        <w:tc>
          <w:tcPr>
            <w:tcW w:w="287" w:type="pct"/>
            <w:tcBorders>
              <w:top w:val="nil"/>
              <w:left w:val="nil"/>
              <w:bottom w:val="single" w:sz="4" w:space="0" w:color="auto"/>
              <w:right w:val="single" w:sz="4" w:space="0" w:color="auto"/>
            </w:tcBorders>
            <w:shd w:val="clear" w:color="000000" w:fill="FFFFFF"/>
            <w:noWrap/>
            <w:vAlign w:val="center"/>
            <w:hideMark/>
          </w:tcPr>
          <w:p w14:paraId="22EE6863"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F276F30" w14:textId="77777777" w:rsidR="002C6E12" w:rsidRPr="00A52AEE" w:rsidRDefault="002C6E12" w:rsidP="00FE68E8">
            <w:pPr>
              <w:jc w:val="right"/>
              <w:rPr>
                <w:lang w:eastAsia="en-GB"/>
              </w:rPr>
            </w:pPr>
            <w:r w:rsidRPr="00A52AEE">
              <w:rPr>
                <w:lang w:eastAsia="en-GB"/>
              </w:rPr>
              <w:t>495</w:t>
            </w:r>
          </w:p>
        </w:tc>
        <w:tc>
          <w:tcPr>
            <w:tcW w:w="288" w:type="pct"/>
            <w:tcBorders>
              <w:top w:val="nil"/>
              <w:left w:val="nil"/>
              <w:bottom w:val="single" w:sz="4" w:space="0" w:color="auto"/>
              <w:right w:val="single" w:sz="4" w:space="0" w:color="auto"/>
            </w:tcBorders>
            <w:shd w:val="clear" w:color="000000" w:fill="FFFFFF"/>
            <w:noWrap/>
            <w:vAlign w:val="center"/>
            <w:hideMark/>
          </w:tcPr>
          <w:p w14:paraId="16E15A6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E552230" w14:textId="77777777" w:rsidR="002C6E12" w:rsidRPr="00A52AEE" w:rsidRDefault="002C6E12" w:rsidP="00FE68E8">
            <w:pPr>
              <w:jc w:val="right"/>
              <w:rPr>
                <w:lang w:eastAsia="en-GB"/>
              </w:rPr>
            </w:pPr>
            <w:r w:rsidRPr="00A52AEE">
              <w:rPr>
                <w:lang w:eastAsia="en-GB"/>
              </w:rPr>
              <w:t>485</w:t>
            </w:r>
          </w:p>
        </w:tc>
        <w:tc>
          <w:tcPr>
            <w:tcW w:w="287" w:type="pct"/>
            <w:tcBorders>
              <w:top w:val="nil"/>
              <w:left w:val="nil"/>
              <w:bottom w:val="single" w:sz="4" w:space="0" w:color="auto"/>
              <w:right w:val="single" w:sz="4" w:space="0" w:color="auto"/>
            </w:tcBorders>
            <w:shd w:val="clear" w:color="000000" w:fill="FFFFFF"/>
            <w:noWrap/>
            <w:vAlign w:val="center"/>
            <w:hideMark/>
          </w:tcPr>
          <w:p w14:paraId="030D7B4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7404072" w14:textId="77777777" w:rsidR="002C6E12" w:rsidRPr="00A52AEE" w:rsidRDefault="002C6E12" w:rsidP="00FE68E8">
            <w:pPr>
              <w:jc w:val="right"/>
              <w:rPr>
                <w:lang w:eastAsia="en-GB"/>
              </w:rPr>
            </w:pPr>
            <w:r w:rsidRPr="00A52AEE">
              <w:rPr>
                <w:lang w:eastAsia="en-GB"/>
              </w:rPr>
              <w:t>545</w:t>
            </w:r>
          </w:p>
        </w:tc>
        <w:tc>
          <w:tcPr>
            <w:tcW w:w="283" w:type="pct"/>
            <w:tcBorders>
              <w:top w:val="nil"/>
              <w:left w:val="nil"/>
              <w:bottom w:val="single" w:sz="4" w:space="0" w:color="auto"/>
              <w:right w:val="single" w:sz="4" w:space="0" w:color="auto"/>
            </w:tcBorders>
            <w:shd w:val="clear" w:color="000000" w:fill="FFFFFF"/>
            <w:noWrap/>
            <w:vAlign w:val="center"/>
            <w:hideMark/>
          </w:tcPr>
          <w:p w14:paraId="36F5187A" w14:textId="77777777" w:rsidR="002C6E12" w:rsidRPr="00A52AEE" w:rsidRDefault="002C6E12" w:rsidP="00FE68E8">
            <w:pPr>
              <w:jc w:val="right"/>
              <w:rPr>
                <w:lang w:eastAsia="en-GB"/>
              </w:rPr>
            </w:pPr>
            <w:r w:rsidRPr="00A52AEE">
              <w:rPr>
                <w:lang w:eastAsia="en-GB"/>
              </w:rPr>
              <w:t>1%</w:t>
            </w:r>
          </w:p>
        </w:tc>
      </w:tr>
      <w:tr w:rsidR="00BD5EF5" w:rsidRPr="00A52AEE" w14:paraId="66760FB5"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68D5D72" w14:textId="6D7AD60C" w:rsidR="002C6E12" w:rsidRPr="00855E4A" w:rsidRDefault="00E012DF" w:rsidP="00A52AEE">
            <w:pPr>
              <w:rPr>
                <w:sz w:val="22"/>
                <w:lang w:eastAsia="en-GB"/>
              </w:rPr>
            </w:pPr>
            <w:r w:rsidRPr="00855E4A">
              <w:rPr>
                <w:sz w:val="22"/>
                <w:lang w:eastAsia="en-GB"/>
              </w:rPr>
              <w:t>Richmond Adult Community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4846AEA9" w14:textId="77777777" w:rsidR="002C6E12" w:rsidRPr="00A52AEE" w:rsidRDefault="002C6E12" w:rsidP="00FE68E8">
            <w:pPr>
              <w:jc w:val="right"/>
              <w:rPr>
                <w:lang w:eastAsia="en-GB"/>
              </w:rPr>
            </w:pPr>
            <w:r w:rsidRPr="00A52AEE">
              <w:rPr>
                <w:lang w:eastAsia="en-GB"/>
              </w:rPr>
              <w:t>785</w:t>
            </w:r>
          </w:p>
        </w:tc>
        <w:tc>
          <w:tcPr>
            <w:tcW w:w="287" w:type="pct"/>
            <w:tcBorders>
              <w:top w:val="nil"/>
              <w:left w:val="nil"/>
              <w:bottom w:val="single" w:sz="4" w:space="0" w:color="auto"/>
              <w:right w:val="single" w:sz="4" w:space="0" w:color="auto"/>
            </w:tcBorders>
            <w:shd w:val="clear" w:color="000000" w:fill="FFFFFF"/>
            <w:noWrap/>
            <w:vAlign w:val="center"/>
            <w:hideMark/>
          </w:tcPr>
          <w:p w14:paraId="5AA777D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5AD42E7" w14:textId="77777777" w:rsidR="002C6E12" w:rsidRPr="00A52AEE" w:rsidRDefault="002C6E12" w:rsidP="00FE68E8">
            <w:pPr>
              <w:jc w:val="right"/>
              <w:rPr>
                <w:lang w:eastAsia="en-GB"/>
              </w:rPr>
            </w:pPr>
            <w:r w:rsidRPr="00A52AEE">
              <w:rPr>
                <w:lang w:eastAsia="en-GB"/>
              </w:rPr>
              <w:t>730</w:t>
            </w:r>
          </w:p>
        </w:tc>
        <w:tc>
          <w:tcPr>
            <w:tcW w:w="287" w:type="pct"/>
            <w:tcBorders>
              <w:top w:val="nil"/>
              <w:left w:val="nil"/>
              <w:bottom w:val="single" w:sz="4" w:space="0" w:color="auto"/>
              <w:right w:val="single" w:sz="4" w:space="0" w:color="auto"/>
            </w:tcBorders>
            <w:shd w:val="clear" w:color="000000" w:fill="FFFFFF"/>
            <w:noWrap/>
            <w:vAlign w:val="center"/>
            <w:hideMark/>
          </w:tcPr>
          <w:p w14:paraId="42EC82EA"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06673389" w14:textId="77777777" w:rsidR="002C6E12" w:rsidRPr="00A52AEE" w:rsidRDefault="002C6E12" w:rsidP="00FE68E8">
            <w:pPr>
              <w:jc w:val="right"/>
              <w:rPr>
                <w:lang w:eastAsia="en-GB"/>
              </w:rPr>
            </w:pPr>
            <w:r w:rsidRPr="00A52AEE">
              <w:rPr>
                <w:lang w:eastAsia="en-GB"/>
              </w:rPr>
              <w:t>375</w:t>
            </w:r>
          </w:p>
        </w:tc>
        <w:tc>
          <w:tcPr>
            <w:tcW w:w="288" w:type="pct"/>
            <w:tcBorders>
              <w:top w:val="nil"/>
              <w:left w:val="nil"/>
              <w:bottom w:val="single" w:sz="4" w:space="0" w:color="auto"/>
              <w:right w:val="single" w:sz="4" w:space="0" w:color="auto"/>
            </w:tcBorders>
            <w:shd w:val="clear" w:color="000000" w:fill="FFFFFF"/>
            <w:noWrap/>
            <w:vAlign w:val="center"/>
            <w:hideMark/>
          </w:tcPr>
          <w:p w14:paraId="4030D12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BD4C2D3" w14:textId="77777777" w:rsidR="002C6E12" w:rsidRPr="00A52AEE" w:rsidRDefault="002C6E12" w:rsidP="00FE68E8">
            <w:pPr>
              <w:jc w:val="right"/>
              <w:rPr>
                <w:lang w:eastAsia="en-GB"/>
              </w:rPr>
            </w:pPr>
            <w:r w:rsidRPr="00A52AEE">
              <w:rPr>
                <w:lang w:eastAsia="en-GB"/>
              </w:rPr>
              <w:t>275</w:t>
            </w:r>
          </w:p>
        </w:tc>
        <w:tc>
          <w:tcPr>
            <w:tcW w:w="287" w:type="pct"/>
            <w:tcBorders>
              <w:top w:val="nil"/>
              <w:left w:val="nil"/>
              <w:bottom w:val="single" w:sz="4" w:space="0" w:color="auto"/>
              <w:right w:val="single" w:sz="4" w:space="0" w:color="auto"/>
            </w:tcBorders>
            <w:shd w:val="clear" w:color="000000" w:fill="FFFFFF"/>
            <w:noWrap/>
            <w:vAlign w:val="center"/>
            <w:hideMark/>
          </w:tcPr>
          <w:p w14:paraId="1C42E395"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D21972E" w14:textId="77777777" w:rsidR="002C6E12" w:rsidRPr="00A52AEE" w:rsidRDefault="002C6E12" w:rsidP="00FE68E8">
            <w:pPr>
              <w:jc w:val="right"/>
              <w:rPr>
                <w:lang w:eastAsia="en-GB"/>
              </w:rPr>
            </w:pPr>
            <w:r w:rsidRPr="00A52AEE">
              <w:rPr>
                <w:lang w:eastAsia="en-GB"/>
              </w:rPr>
              <w:t>475</w:t>
            </w:r>
          </w:p>
        </w:tc>
        <w:tc>
          <w:tcPr>
            <w:tcW w:w="283" w:type="pct"/>
            <w:tcBorders>
              <w:top w:val="nil"/>
              <w:left w:val="nil"/>
              <w:bottom w:val="single" w:sz="4" w:space="0" w:color="auto"/>
              <w:right w:val="single" w:sz="4" w:space="0" w:color="auto"/>
            </w:tcBorders>
            <w:shd w:val="clear" w:color="000000" w:fill="FFFFFF"/>
            <w:noWrap/>
            <w:vAlign w:val="center"/>
            <w:hideMark/>
          </w:tcPr>
          <w:p w14:paraId="1CB1A790" w14:textId="77777777" w:rsidR="002C6E12" w:rsidRPr="00A52AEE" w:rsidRDefault="002C6E12" w:rsidP="00FE68E8">
            <w:pPr>
              <w:jc w:val="right"/>
              <w:rPr>
                <w:lang w:eastAsia="en-GB"/>
              </w:rPr>
            </w:pPr>
            <w:r w:rsidRPr="00A52AEE">
              <w:rPr>
                <w:lang w:eastAsia="en-GB"/>
              </w:rPr>
              <w:t>1%</w:t>
            </w:r>
          </w:p>
        </w:tc>
      </w:tr>
      <w:tr w:rsidR="00BD5EF5" w:rsidRPr="00A52AEE" w14:paraId="2877FC96"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A458F22" w14:textId="425E537D" w:rsidR="002C6E12" w:rsidRPr="00855E4A" w:rsidRDefault="00E012DF" w:rsidP="00A52AEE">
            <w:pPr>
              <w:rPr>
                <w:sz w:val="22"/>
                <w:lang w:eastAsia="en-GB"/>
              </w:rPr>
            </w:pPr>
            <w:r w:rsidRPr="00855E4A">
              <w:rPr>
                <w:sz w:val="22"/>
                <w:lang w:eastAsia="en-GB"/>
              </w:rPr>
              <w:t>Richmond upon Thames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990F946" w14:textId="77777777" w:rsidR="002C6E12" w:rsidRPr="00A52AEE" w:rsidRDefault="002C6E12" w:rsidP="00FE68E8">
            <w:pPr>
              <w:jc w:val="right"/>
              <w:rPr>
                <w:lang w:eastAsia="en-GB"/>
              </w:rPr>
            </w:pPr>
            <w:r w:rsidRPr="00A52AEE">
              <w:rPr>
                <w:lang w:eastAsia="en-GB"/>
              </w:rPr>
              <w:t>1805</w:t>
            </w:r>
          </w:p>
        </w:tc>
        <w:tc>
          <w:tcPr>
            <w:tcW w:w="287" w:type="pct"/>
            <w:tcBorders>
              <w:top w:val="nil"/>
              <w:left w:val="nil"/>
              <w:bottom w:val="single" w:sz="4" w:space="0" w:color="auto"/>
              <w:right w:val="single" w:sz="4" w:space="0" w:color="auto"/>
            </w:tcBorders>
            <w:shd w:val="clear" w:color="000000" w:fill="FFFFFF"/>
            <w:noWrap/>
            <w:vAlign w:val="center"/>
            <w:hideMark/>
          </w:tcPr>
          <w:p w14:paraId="09B7B7D1"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6813880B" w14:textId="77777777" w:rsidR="002C6E12" w:rsidRPr="00A52AEE" w:rsidRDefault="002C6E12" w:rsidP="00FE68E8">
            <w:pPr>
              <w:jc w:val="right"/>
              <w:rPr>
                <w:lang w:eastAsia="en-GB"/>
              </w:rPr>
            </w:pPr>
            <w:r w:rsidRPr="00A52AEE">
              <w:rPr>
                <w:lang w:eastAsia="en-GB"/>
              </w:rPr>
              <w:t>1805</w:t>
            </w:r>
          </w:p>
        </w:tc>
        <w:tc>
          <w:tcPr>
            <w:tcW w:w="287" w:type="pct"/>
            <w:tcBorders>
              <w:top w:val="nil"/>
              <w:left w:val="nil"/>
              <w:bottom w:val="single" w:sz="4" w:space="0" w:color="auto"/>
              <w:right w:val="single" w:sz="4" w:space="0" w:color="auto"/>
            </w:tcBorders>
            <w:shd w:val="clear" w:color="000000" w:fill="FFFFFF"/>
            <w:noWrap/>
            <w:vAlign w:val="center"/>
            <w:hideMark/>
          </w:tcPr>
          <w:p w14:paraId="5056F3E6"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32D79998" w14:textId="77777777" w:rsidR="002C6E12" w:rsidRPr="00A52AEE" w:rsidRDefault="002C6E12" w:rsidP="00FE68E8">
            <w:pPr>
              <w:jc w:val="right"/>
              <w:rPr>
                <w:lang w:eastAsia="en-GB"/>
              </w:rPr>
            </w:pPr>
            <w:r w:rsidRPr="00A52AEE">
              <w:rPr>
                <w:lang w:eastAsia="en-GB"/>
              </w:rPr>
              <w:t>1900</w:t>
            </w:r>
          </w:p>
        </w:tc>
        <w:tc>
          <w:tcPr>
            <w:tcW w:w="288" w:type="pct"/>
            <w:tcBorders>
              <w:top w:val="nil"/>
              <w:left w:val="nil"/>
              <w:bottom w:val="single" w:sz="4" w:space="0" w:color="auto"/>
              <w:right w:val="single" w:sz="4" w:space="0" w:color="auto"/>
            </w:tcBorders>
            <w:shd w:val="clear" w:color="000000" w:fill="FFFFFF"/>
            <w:noWrap/>
            <w:vAlign w:val="center"/>
            <w:hideMark/>
          </w:tcPr>
          <w:p w14:paraId="142C2A4C"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7D5F636C" w14:textId="77777777" w:rsidR="002C6E12" w:rsidRPr="00A52AEE" w:rsidRDefault="002C6E12" w:rsidP="00FE68E8">
            <w:pPr>
              <w:jc w:val="right"/>
              <w:rPr>
                <w:lang w:eastAsia="en-GB"/>
              </w:rPr>
            </w:pPr>
            <w:r w:rsidRPr="00A52AEE">
              <w:rPr>
                <w:lang w:eastAsia="en-GB"/>
              </w:rPr>
              <w:t>1780</w:t>
            </w:r>
          </w:p>
        </w:tc>
        <w:tc>
          <w:tcPr>
            <w:tcW w:w="287" w:type="pct"/>
            <w:tcBorders>
              <w:top w:val="nil"/>
              <w:left w:val="nil"/>
              <w:bottom w:val="single" w:sz="4" w:space="0" w:color="auto"/>
              <w:right w:val="single" w:sz="4" w:space="0" w:color="auto"/>
            </w:tcBorders>
            <w:shd w:val="clear" w:color="000000" w:fill="FFFFFF"/>
            <w:noWrap/>
            <w:vAlign w:val="center"/>
            <w:hideMark/>
          </w:tcPr>
          <w:p w14:paraId="4F7620D1"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01D5D210" w14:textId="77777777" w:rsidR="002C6E12" w:rsidRPr="00A52AEE" w:rsidRDefault="002C6E12" w:rsidP="00FE68E8">
            <w:pPr>
              <w:jc w:val="right"/>
              <w:rPr>
                <w:lang w:eastAsia="en-GB"/>
              </w:rPr>
            </w:pPr>
            <w:r w:rsidRPr="00A52AEE">
              <w:rPr>
                <w:lang w:eastAsia="en-GB"/>
              </w:rPr>
              <w:t>1990</w:t>
            </w:r>
          </w:p>
        </w:tc>
        <w:tc>
          <w:tcPr>
            <w:tcW w:w="283" w:type="pct"/>
            <w:tcBorders>
              <w:top w:val="nil"/>
              <w:left w:val="nil"/>
              <w:bottom w:val="single" w:sz="4" w:space="0" w:color="auto"/>
              <w:right w:val="single" w:sz="4" w:space="0" w:color="auto"/>
            </w:tcBorders>
            <w:shd w:val="clear" w:color="000000" w:fill="FFFFFF"/>
            <w:noWrap/>
            <w:vAlign w:val="center"/>
            <w:hideMark/>
          </w:tcPr>
          <w:p w14:paraId="02E86504" w14:textId="77777777" w:rsidR="002C6E12" w:rsidRPr="00A52AEE" w:rsidRDefault="002C6E12" w:rsidP="00FE68E8">
            <w:pPr>
              <w:jc w:val="right"/>
              <w:rPr>
                <w:lang w:eastAsia="en-GB"/>
              </w:rPr>
            </w:pPr>
            <w:r w:rsidRPr="00A52AEE">
              <w:rPr>
                <w:lang w:eastAsia="en-GB"/>
              </w:rPr>
              <w:t>4%</w:t>
            </w:r>
          </w:p>
        </w:tc>
      </w:tr>
      <w:tr w:rsidR="00BD5EF5" w:rsidRPr="00A52AEE" w14:paraId="6A275C1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E21BE76" w14:textId="0AF3B9D2" w:rsidR="002C6E12" w:rsidRPr="00855E4A" w:rsidRDefault="00E012DF" w:rsidP="00A52AEE">
            <w:pPr>
              <w:rPr>
                <w:sz w:val="22"/>
                <w:lang w:eastAsia="en-GB"/>
              </w:rPr>
            </w:pPr>
            <w:r w:rsidRPr="00855E4A">
              <w:rPr>
                <w:sz w:val="22"/>
                <w:lang w:eastAsia="en-GB"/>
              </w:rPr>
              <w:t>Sir George Monoux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F947B01" w14:textId="77777777" w:rsidR="002C6E12" w:rsidRPr="00A52AEE" w:rsidRDefault="002C6E12" w:rsidP="00FE68E8">
            <w:pPr>
              <w:jc w:val="right"/>
              <w:rPr>
                <w:lang w:eastAsia="en-GB"/>
              </w:rPr>
            </w:pPr>
            <w:r w:rsidRPr="00A52AEE">
              <w:rPr>
                <w:lang w:eastAsia="en-GB"/>
              </w:rPr>
              <w:t>750</w:t>
            </w:r>
          </w:p>
        </w:tc>
        <w:tc>
          <w:tcPr>
            <w:tcW w:w="287" w:type="pct"/>
            <w:tcBorders>
              <w:top w:val="nil"/>
              <w:left w:val="nil"/>
              <w:bottom w:val="single" w:sz="4" w:space="0" w:color="auto"/>
              <w:right w:val="single" w:sz="4" w:space="0" w:color="auto"/>
            </w:tcBorders>
            <w:shd w:val="clear" w:color="000000" w:fill="FFFFFF"/>
            <w:noWrap/>
            <w:vAlign w:val="center"/>
            <w:hideMark/>
          </w:tcPr>
          <w:p w14:paraId="4E3F8970"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68870BD" w14:textId="77777777" w:rsidR="002C6E12" w:rsidRPr="00A52AEE" w:rsidRDefault="002C6E12" w:rsidP="00FE68E8">
            <w:pPr>
              <w:jc w:val="right"/>
              <w:rPr>
                <w:lang w:eastAsia="en-GB"/>
              </w:rPr>
            </w:pPr>
            <w:r w:rsidRPr="00A52AEE">
              <w:rPr>
                <w:lang w:eastAsia="en-GB"/>
              </w:rPr>
              <w:t>740</w:t>
            </w:r>
          </w:p>
        </w:tc>
        <w:tc>
          <w:tcPr>
            <w:tcW w:w="287" w:type="pct"/>
            <w:tcBorders>
              <w:top w:val="nil"/>
              <w:left w:val="nil"/>
              <w:bottom w:val="single" w:sz="4" w:space="0" w:color="auto"/>
              <w:right w:val="single" w:sz="4" w:space="0" w:color="auto"/>
            </w:tcBorders>
            <w:shd w:val="clear" w:color="000000" w:fill="FFFFFF"/>
            <w:noWrap/>
            <w:vAlign w:val="center"/>
            <w:hideMark/>
          </w:tcPr>
          <w:p w14:paraId="6B5A07CE"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7EA617E" w14:textId="77777777" w:rsidR="002C6E12" w:rsidRPr="00A52AEE" w:rsidRDefault="002C6E12" w:rsidP="00FE68E8">
            <w:pPr>
              <w:jc w:val="right"/>
              <w:rPr>
                <w:lang w:eastAsia="en-GB"/>
              </w:rPr>
            </w:pPr>
            <w:r w:rsidRPr="00A52AEE">
              <w:rPr>
                <w:lang w:eastAsia="en-GB"/>
              </w:rPr>
              <w:t>765</w:t>
            </w:r>
          </w:p>
        </w:tc>
        <w:tc>
          <w:tcPr>
            <w:tcW w:w="288" w:type="pct"/>
            <w:tcBorders>
              <w:top w:val="nil"/>
              <w:left w:val="nil"/>
              <w:bottom w:val="single" w:sz="4" w:space="0" w:color="auto"/>
              <w:right w:val="single" w:sz="4" w:space="0" w:color="auto"/>
            </w:tcBorders>
            <w:shd w:val="clear" w:color="000000" w:fill="FFFFFF"/>
            <w:noWrap/>
            <w:vAlign w:val="center"/>
            <w:hideMark/>
          </w:tcPr>
          <w:p w14:paraId="75AB221F"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148E923" w14:textId="77777777" w:rsidR="002C6E12" w:rsidRPr="00A52AEE" w:rsidRDefault="002C6E12" w:rsidP="00FE68E8">
            <w:pPr>
              <w:jc w:val="right"/>
              <w:rPr>
                <w:lang w:eastAsia="en-GB"/>
              </w:rPr>
            </w:pPr>
            <w:r w:rsidRPr="00A52AEE">
              <w:rPr>
                <w:lang w:eastAsia="en-GB"/>
              </w:rPr>
              <w:t>840</w:t>
            </w:r>
          </w:p>
        </w:tc>
        <w:tc>
          <w:tcPr>
            <w:tcW w:w="287" w:type="pct"/>
            <w:tcBorders>
              <w:top w:val="nil"/>
              <w:left w:val="nil"/>
              <w:bottom w:val="single" w:sz="4" w:space="0" w:color="auto"/>
              <w:right w:val="single" w:sz="4" w:space="0" w:color="auto"/>
            </w:tcBorders>
            <w:shd w:val="clear" w:color="000000" w:fill="FFFFFF"/>
            <w:noWrap/>
            <w:vAlign w:val="center"/>
            <w:hideMark/>
          </w:tcPr>
          <w:p w14:paraId="2524B085"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0B9498C4" w14:textId="77777777" w:rsidR="002C6E12" w:rsidRPr="00A52AEE" w:rsidRDefault="002C6E12" w:rsidP="00FE68E8">
            <w:pPr>
              <w:jc w:val="right"/>
              <w:rPr>
                <w:lang w:eastAsia="en-GB"/>
              </w:rPr>
            </w:pPr>
            <w:r w:rsidRPr="00A52AEE">
              <w:rPr>
                <w:lang w:eastAsia="en-GB"/>
              </w:rPr>
              <w:t>975</w:t>
            </w:r>
          </w:p>
        </w:tc>
        <w:tc>
          <w:tcPr>
            <w:tcW w:w="283" w:type="pct"/>
            <w:tcBorders>
              <w:top w:val="nil"/>
              <w:left w:val="nil"/>
              <w:bottom w:val="single" w:sz="4" w:space="0" w:color="auto"/>
              <w:right w:val="single" w:sz="4" w:space="0" w:color="auto"/>
            </w:tcBorders>
            <w:shd w:val="clear" w:color="000000" w:fill="FFFFFF"/>
            <w:noWrap/>
            <w:vAlign w:val="center"/>
            <w:hideMark/>
          </w:tcPr>
          <w:p w14:paraId="5EB53E64" w14:textId="77777777" w:rsidR="002C6E12" w:rsidRPr="00A52AEE" w:rsidRDefault="002C6E12" w:rsidP="00FE68E8">
            <w:pPr>
              <w:jc w:val="right"/>
              <w:rPr>
                <w:lang w:eastAsia="en-GB"/>
              </w:rPr>
            </w:pPr>
            <w:r w:rsidRPr="00A52AEE">
              <w:rPr>
                <w:lang w:eastAsia="en-GB"/>
              </w:rPr>
              <w:t>2%</w:t>
            </w:r>
          </w:p>
        </w:tc>
      </w:tr>
      <w:tr w:rsidR="00BD5EF5" w:rsidRPr="00A52AEE" w14:paraId="36C50FD1"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304CF6D" w14:textId="1B9F8D50" w:rsidR="002C6E12" w:rsidRPr="00855E4A" w:rsidRDefault="00E012DF" w:rsidP="00A52AEE">
            <w:pPr>
              <w:rPr>
                <w:sz w:val="22"/>
                <w:lang w:eastAsia="en-GB"/>
              </w:rPr>
            </w:pPr>
            <w:r w:rsidRPr="00855E4A">
              <w:rPr>
                <w:sz w:val="22"/>
                <w:lang w:eastAsia="en-GB"/>
              </w:rPr>
              <w:t>South Thames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6A963FBE" w14:textId="77777777" w:rsidR="002C6E12" w:rsidRPr="00A52AEE" w:rsidRDefault="002C6E12" w:rsidP="00FE68E8">
            <w:pPr>
              <w:jc w:val="right"/>
              <w:rPr>
                <w:lang w:eastAsia="en-GB"/>
              </w:rPr>
            </w:pPr>
            <w:r w:rsidRPr="00A52AEE">
              <w:rPr>
                <w:lang w:eastAsia="en-GB"/>
              </w:rPr>
              <w:t>885</w:t>
            </w:r>
          </w:p>
        </w:tc>
        <w:tc>
          <w:tcPr>
            <w:tcW w:w="287" w:type="pct"/>
            <w:tcBorders>
              <w:top w:val="nil"/>
              <w:left w:val="nil"/>
              <w:bottom w:val="single" w:sz="4" w:space="0" w:color="auto"/>
              <w:right w:val="single" w:sz="4" w:space="0" w:color="auto"/>
            </w:tcBorders>
            <w:shd w:val="clear" w:color="000000" w:fill="FFFFFF"/>
            <w:noWrap/>
            <w:vAlign w:val="center"/>
            <w:hideMark/>
          </w:tcPr>
          <w:p w14:paraId="2118503E"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CCB1A70" w14:textId="77777777" w:rsidR="002C6E12" w:rsidRPr="00A52AEE" w:rsidRDefault="002C6E12" w:rsidP="00FE68E8">
            <w:pPr>
              <w:jc w:val="right"/>
              <w:rPr>
                <w:lang w:eastAsia="en-GB"/>
              </w:rPr>
            </w:pPr>
            <w:r w:rsidRPr="00A52AEE">
              <w:rPr>
                <w:lang w:eastAsia="en-GB"/>
              </w:rPr>
              <w:t>835</w:t>
            </w:r>
          </w:p>
        </w:tc>
        <w:tc>
          <w:tcPr>
            <w:tcW w:w="287" w:type="pct"/>
            <w:tcBorders>
              <w:top w:val="nil"/>
              <w:left w:val="nil"/>
              <w:bottom w:val="single" w:sz="4" w:space="0" w:color="auto"/>
              <w:right w:val="single" w:sz="4" w:space="0" w:color="auto"/>
            </w:tcBorders>
            <w:shd w:val="clear" w:color="000000" w:fill="FFFFFF"/>
            <w:noWrap/>
            <w:vAlign w:val="center"/>
            <w:hideMark/>
          </w:tcPr>
          <w:p w14:paraId="56C21234"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6E4134B9" w14:textId="77777777" w:rsidR="002C6E12" w:rsidRPr="00A52AEE" w:rsidRDefault="002C6E12" w:rsidP="00FE68E8">
            <w:pPr>
              <w:jc w:val="right"/>
              <w:rPr>
                <w:lang w:eastAsia="en-GB"/>
              </w:rPr>
            </w:pPr>
            <w:r w:rsidRPr="00A52AEE">
              <w:rPr>
                <w:lang w:eastAsia="en-GB"/>
              </w:rPr>
              <w:t>1710</w:t>
            </w:r>
          </w:p>
        </w:tc>
        <w:tc>
          <w:tcPr>
            <w:tcW w:w="288" w:type="pct"/>
            <w:tcBorders>
              <w:top w:val="nil"/>
              <w:left w:val="nil"/>
              <w:bottom w:val="single" w:sz="4" w:space="0" w:color="auto"/>
              <w:right w:val="single" w:sz="4" w:space="0" w:color="auto"/>
            </w:tcBorders>
            <w:shd w:val="clear" w:color="000000" w:fill="FFFFFF"/>
            <w:noWrap/>
            <w:vAlign w:val="center"/>
            <w:hideMark/>
          </w:tcPr>
          <w:p w14:paraId="56908342"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0108641B" w14:textId="77777777" w:rsidR="002C6E12" w:rsidRPr="00A52AEE" w:rsidRDefault="002C6E12" w:rsidP="00FE68E8">
            <w:pPr>
              <w:jc w:val="right"/>
              <w:rPr>
                <w:lang w:eastAsia="en-GB"/>
              </w:rPr>
            </w:pPr>
            <w:r w:rsidRPr="00A52AEE">
              <w:rPr>
                <w:lang w:eastAsia="en-GB"/>
              </w:rPr>
              <w:t>1715</w:t>
            </w:r>
          </w:p>
        </w:tc>
        <w:tc>
          <w:tcPr>
            <w:tcW w:w="287" w:type="pct"/>
            <w:tcBorders>
              <w:top w:val="nil"/>
              <w:left w:val="nil"/>
              <w:bottom w:val="single" w:sz="4" w:space="0" w:color="auto"/>
              <w:right w:val="single" w:sz="4" w:space="0" w:color="auto"/>
            </w:tcBorders>
            <w:shd w:val="clear" w:color="000000" w:fill="FFFFFF"/>
            <w:noWrap/>
            <w:vAlign w:val="center"/>
            <w:hideMark/>
          </w:tcPr>
          <w:p w14:paraId="39F50D37"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0908D3AC" w14:textId="77777777" w:rsidR="002C6E12" w:rsidRPr="00A52AEE" w:rsidRDefault="002C6E12" w:rsidP="00FE68E8">
            <w:pPr>
              <w:jc w:val="right"/>
              <w:rPr>
                <w:lang w:eastAsia="en-GB"/>
              </w:rPr>
            </w:pPr>
            <w:r w:rsidRPr="00A52AEE">
              <w:rPr>
                <w:lang w:eastAsia="en-GB"/>
              </w:rPr>
              <w:t>1540</w:t>
            </w:r>
          </w:p>
        </w:tc>
        <w:tc>
          <w:tcPr>
            <w:tcW w:w="283" w:type="pct"/>
            <w:tcBorders>
              <w:top w:val="nil"/>
              <w:left w:val="nil"/>
              <w:bottom w:val="single" w:sz="4" w:space="0" w:color="auto"/>
              <w:right w:val="single" w:sz="4" w:space="0" w:color="auto"/>
            </w:tcBorders>
            <w:shd w:val="clear" w:color="000000" w:fill="FFFFFF"/>
            <w:noWrap/>
            <w:vAlign w:val="center"/>
            <w:hideMark/>
          </w:tcPr>
          <w:p w14:paraId="32AD2083" w14:textId="77777777" w:rsidR="002C6E12" w:rsidRPr="00A52AEE" w:rsidRDefault="002C6E12" w:rsidP="00FE68E8">
            <w:pPr>
              <w:jc w:val="right"/>
              <w:rPr>
                <w:lang w:eastAsia="en-GB"/>
              </w:rPr>
            </w:pPr>
            <w:r w:rsidRPr="00A52AEE">
              <w:rPr>
                <w:lang w:eastAsia="en-GB"/>
              </w:rPr>
              <w:t>3%</w:t>
            </w:r>
          </w:p>
        </w:tc>
      </w:tr>
      <w:tr w:rsidR="00BD5EF5" w:rsidRPr="00A52AEE" w14:paraId="237119C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0FC90AE" w14:textId="4E2A6730" w:rsidR="002C6E12" w:rsidRPr="00855E4A" w:rsidRDefault="00E012DF" w:rsidP="00A52AEE">
            <w:pPr>
              <w:rPr>
                <w:sz w:val="22"/>
                <w:lang w:eastAsia="en-GB"/>
              </w:rPr>
            </w:pPr>
            <w:r w:rsidRPr="00855E4A">
              <w:rPr>
                <w:sz w:val="22"/>
                <w:lang w:eastAsia="en-GB"/>
              </w:rPr>
              <w:t>Southgate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4472F30" w14:textId="77777777" w:rsidR="002C6E12" w:rsidRPr="00A52AEE" w:rsidRDefault="002C6E12" w:rsidP="00FE68E8">
            <w:pPr>
              <w:jc w:val="right"/>
              <w:rPr>
                <w:lang w:eastAsia="en-GB"/>
              </w:rPr>
            </w:pPr>
            <w:r w:rsidRPr="00A52AEE">
              <w:rPr>
                <w:lang w:eastAsia="en-GB"/>
              </w:rPr>
              <w:t>495</w:t>
            </w:r>
          </w:p>
        </w:tc>
        <w:tc>
          <w:tcPr>
            <w:tcW w:w="287" w:type="pct"/>
            <w:tcBorders>
              <w:top w:val="nil"/>
              <w:left w:val="nil"/>
              <w:bottom w:val="single" w:sz="4" w:space="0" w:color="auto"/>
              <w:right w:val="single" w:sz="4" w:space="0" w:color="auto"/>
            </w:tcBorders>
            <w:shd w:val="clear" w:color="000000" w:fill="FFFFFF"/>
            <w:noWrap/>
            <w:vAlign w:val="center"/>
            <w:hideMark/>
          </w:tcPr>
          <w:p w14:paraId="29EA255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6A68F50" w14:textId="77777777" w:rsidR="002C6E12" w:rsidRPr="00A52AEE" w:rsidRDefault="002C6E12" w:rsidP="00FE68E8">
            <w:pPr>
              <w:jc w:val="right"/>
              <w:rPr>
                <w:lang w:eastAsia="en-GB"/>
              </w:rPr>
            </w:pPr>
            <w:r w:rsidRPr="00A52AEE">
              <w:rPr>
                <w:lang w:eastAsia="en-GB"/>
              </w:rPr>
              <w:t>445</w:t>
            </w:r>
          </w:p>
        </w:tc>
        <w:tc>
          <w:tcPr>
            <w:tcW w:w="287" w:type="pct"/>
            <w:tcBorders>
              <w:top w:val="nil"/>
              <w:left w:val="nil"/>
              <w:bottom w:val="single" w:sz="4" w:space="0" w:color="auto"/>
              <w:right w:val="single" w:sz="4" w:space="0" w:color="auto"/>
            </w:tcBorders>
            <w:shd w:val="clear" w:color="000000" w:fill="FFFFFF"/>
            <w:noWrap/>
            <w:vAlign w:val="center"/>
            <w:hideMark/>
          </w:tcPr>
          <w:p w14:paraId="0ED49F5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DF1BE0D" w14:textId="77777777" w:rsidR="002C6E12" w:rsidRPr="00A52AEE" w:rsidRDefault="002C6E12" w:rsidP="00FE68E8">
            <w:pPr>
              <w:jc w:val="right"/>
              <w:rPr>
                <w:lang w:eastAsia="en-GB"/>
              </w:rPr>
            </w:pPr>
            <w:r w:rsidRPr="00A52AEE">
              <w:rPr>
                <w:lang w:eastAsia="en-GB"/>
              </w:rPr>
              <w:t>590</w:t>
            </w:r>
          </w:p>
        </w:tc>
        <w:tc>
          <w:tcPr>
            <w:tcW w:w="288" w:type="pct"/>
            <w:tcBorders>
              <w:top w:val="nil"/>
              <w:left w:val="nil"/>
              <w:bottom w:val="single" w:sz="4" w:space="0" w:color="auto"/>
              <w:right w:val="single" w:sz="4" w:space="0" w:color="auto"/>
            </w:tcBorders>
            <w:shd w:val="clear" w:color="000000" w:fill="FFFFFF"/>
            <w:noWrap/>
            <w:vAlign w:val="center"/>
            <w:hideMark/>
          </w:tcPr>
          <w:p w14:paraId="0E14AC5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A24B1F1" w14:textId="77777777" w:rsidR="002C6E12" w:rsidRPr="00A52AEE" w:rsidRDefault="002C6E12" w:rsidP="00FE68E8">
            <w:pPr>
              <w:jc w:val="right"/>
              <w:rPr>
                <w:lang w:eastAsia="en-GB"/>
              </w:rPr>
            </w:pPr>
            <w:r w:rsidRPr="00A52AEE">
              <w:rPr>
                <w:lang w:eastAsia="en-GB"/>
              </w:rPr>
              <w:t>600</w:t>
            </w:r>
          </w:p>
        </w:tc>
        <w:tc>
          <w:tcPr>
            <w:tcW w:w="287" w:type="pct"/>
            <w:tcBorders>
              <w:top w:val="nil"/>
              <w:left w:val="nil"/>
              <w:bottom w:val="single" w:sz="4" w:space="0" w:color="auto"/>
              <w:right w:val="single" w:sz="4" w:space="0" w:color="auto"/>
            </w:tcBorders>
            <w:shd w:val="clear" w:color="000000" w:fill="FFFFFF"/>
            <w:noWrap/>
            <w:vAlign w:val="center"/>
            <w:hideMark/>
          </w:tcPr>
          <w:p w14:paraId="7CCB3BB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BBE1101" w14:textId="77777777" w:rsidR="002C6E12" w:rsidRPr="00A52AEE" w:rsidRDefault="002C6E12" w:rsidP="00FE68E8">
            <w:pPr>
              <w:jc w:val="right"/>
              <w:rPr>
                <w:lang w:eastAsia="en-GB"/>
              </w:rPr>
            </w:pPr>
            <w:r w:rsidRPr="00A52AEE">
              <w:rPr>
                <w:lang w:eastAsia="en-GB"/>
              </w:rPr>
              <w:t>345</w:t>
            </w:r>
          </w:p>
        </w:tc>
        <w:tc>
          <w:tcPr>
            <w:tcW w:w="283" w:type="pct"/>
            <w:tcBorders>
              <w:top w:val="nil"/>
              <w:left w:val="nil"/>
              <w:bottom w:val="single" w:sz="4" w:space="0" w:color="auto"/>
              <w:right w:val="single" w:sz="4" w:space="0" w:color="auto"/>
            </w:tcBorders>
            <w:shd w:val="clear" w:color="000000" w:fill="FFFFFF"/>
            <w:noWrap/>
            <w:vAlign w:val="center"/>
            <w:hideMark/>
          </w:tcPr>
          <w:p w14:paraId="659F1838" w14:textId="77777777" w:rsidR="002C6E12" w:rsidRPr="00A52AEE" w:rsidRDefault="002C6E12" w:rsidP="00FE68E8">
            <w:pPr>
              <w:jc w:val="right"/>
              <w:rPr>
                <w:lang w:eastAsia="en-GB"/>
              </w:rPr>
            </w:pPr>
            <w:r w:rsidRPr="00A52AEE">
              <w:rPr>
                <w:lang w:eastAsia="en-GB"/>
              </w:rPr>
              <w:t>1%</w:t>
            </w:r>
          </w:p>
        </w:tc>
      </w:tr>
      <w:tr w:rsidR="00BD5EF5" w:rsidRPr="00A52AEE" w14:paraId="65393D0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4F69D51" w14:textId="739359BA" w:rsidR="002C6E12" w:rsidRPr="00855E4A" w:rsidRDefault="00E012DF" w:rsidP="00A52AEE">
            <w:pPr>
              <w:rPr>
                <w:sz w:val="22"/>
                <w:lang w:eastAsia="en-GB"/>
              </w:rPr>
            </w:pPr>
            <w:r w:rsidRPr="00855E4A">
              <w:rPr>
                <w:sz w:val="22"/>
                <w:lang w:eastAsia="en-GB"/>
              </w:rPr>
              <w:t>Southwark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43FE04D7" w14:textId="77777777" w:rsidR="002C6E12" w:rsidRPr="00A52AEE" w:rsidRDefault="002C6E12" w:rsidP="00FE68E8">
            <w:pPr>
              <w:jc w:val="right"/>
              <w:rPr>
                <w:lang w:eastAsia="en-GB"/>
              </w:rPr>
            </w:pPr>
            <w:r w:rsidRPr="00A52AEE">
              <w:rPr>
                <w:lang w:eastAsia="en-GB"/>
              </w:rPr>
              <w:t>720</w:t>
            </w:r>
          </w:p>
        </w:tc>
        <w:tc>
          <w:tcPr>
            <w:tcW w:w="287" w:type="pct"/>
            <w:tcBorders>
              <w:top w:val="nil"/>
              <w:left w:val="nil"/>
              <w:bottom w:val="single" w:sz="4" w:space="0" w:color="auto"/>
              <w:right w:val="single" w:sz="4" w:space="0" w:color="auto"/>
            </w:tcBorders>
            <w:shd w:val="clear" w:color="000000" w:fill="FFFFFF"/>
            <w:noWrap/>
            <w:vAlign w:val="center"/>
            <w:hideMark/>
          </w:tcPr>
          <w:p w14:paraId="030C92D6"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469D058" w14:textId="77777777" w:rsidR="002C6E12" w:rsidRPr="00A52AEE" w:rsidRDefault="002C6E12" w:rsidP="00FE68E8">
            <w:pPr>
              <w:jc w:val="right"/>
              <w:rPr>
                <w:lang w:eastAsia="en-GB"/>
              </w:rPr>
            </w:pPr>
            <w:r w:rsidRPr="00A52AEE">
              <w:rPr>
                <w:lang w:eastAsia="en-GB"/>
              </w:rPr>
              <w:t>1425</w:t>
            </w:r>
          </w:p>
        </w:tc>
        <w:tc>
          <w:tcPr>
            <w:tcW w:w="287" w:type="pct"/>
            <w:tcBorders>
              <w:top w:val="nil"/>
              <w:left w:val="nil"/>
              <w:bottom w:val="single" w:sz="4" w:space="0" w:color="auto"/>
              <w:right w:val="single" w:sz="4" w:space="0" w:color="auto"/>
            </w:tcBorders>
            <w:shd w:val="clear" w:color="000000" w:fill="FFFFFF"/>
            <w:noWrap/>
            <w:vAlign w:val="center"/>
            <w:hideMark/>
          </w:tcPr>
          <w:p w14:paraId="3A6A8714"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23CCE335" w14:textId="77777777" w:rsidR="002C6E12" w:rsidRPr="00A52AEE" w:rsidRDefault="002C6E12" w:rsidP="00FE68E8">
            <w:pPr>
              <w:jc w:val="right"/>
              <w:rPr>
                <w:lang w:eastAsia="en-GB"/>
              </w:rPr>
            </w:pPr>
            <w:r w:rsidRPr="00A52AEE">
              <w:rPr>
                <w:lang w:eastAsia="en-GB"/>
              </w:rPr>
              <w:t>930</w:t>
            </w:r>
          </w:p>
        </w:tc>
        <w:tc>
          <w:tcPr>
            <w:tcW w:w="288" w:type="pct"/>
            <w:tcBorders>
              <w:top w:val="nil"/>
              <w:left w:val="nil"/>
              <w:bottom w:val="single" w:sz="4" w:space="0" w:color="auto"/>
              <w:right w:val="single" w:sz="4" w:space="0" w:color="auto"/>
            </w:tcBorders>
            <w:shd w:val="clear" w:color="000000" w:fill="FFFFFF"/>
            <w:noWrap/>
            <w:vAlign w:val="center"/>
            <w:hideMark/>
          </w:tcPr>
          <w:p w14:paraId="06353309"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1F39E63" w14:textId="77777777" w:rsidR="002C6E12" w:rsidRPr="00A52AEE" w:rsidRDefault="002C6E12" w:rsidP="00FE68E8">
            <w:pPr>
              <w:jc w:val="right"/>
              <w:rPr>
                <w:lang w:eastAsia="en-GB"/>
              </w:rPr>
            </w:pPr>
            <w:r w:rsidRPr="00A52AEE">
              <w:rPr>
                <w:lang w:eastAsia="en-GB"/>
              </w:rPr>
              <w:t>620</w:t>
            </w:r>
          </w:p>
        </w:tc>
        <w:tc>
          <w:tcPr>
            <w:tcW w:w="287" w:type="pct"/>
            <w:tcBorders>
              <w:top w:val="nil"/>
              <w:left w:val="nil"/>
              <w:bottom w:val="single" w:sz="4" w:space="0" w:color="auto"/>
              <w:right w:val="single" w:sz="4" w:space="0" w:color="auto"/>
            </w:tcBorders>
            <w:shd w:val="clear" w:color="000000" w:fill="FFFFFF"/>
            <w:noWrap/>
            <w:vAlign w:val="center"/>
            <w:hideMark/>
          </w:tcPr>
          <w:p w14:paraId="3A1005B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3B74D51" w14:textId="77777777" w:rsidR="002C6E12" w:rsidRPr="00A52AEE" w:rsidRDefault="002C6E12" w:rsidP="00FE68E8">
            <w:pPr>
              <w:jc w:val="right"/>
              <w:rPr>
                <w:lang w:eastAsia="en-GB"/>
              </w:rPr>
            </w:pPr>
            <w:r w:rsidRPr="00A52AEE">
              <w:rPr>
                <w:lang w:eastAsia="en-GB"/>
              </w:rPr>
              <w:t>375</w:t>
            </w:r>
          </w:p>
        </w:tc>
        <w:tc>
          <w:tcPr>
            <w:tcW w:w="283" w:type="pct"/>
            <w:tcBorders>
              <w:top w:val="nil"/>
              <w:left w:val="nil"/>
              <w:bottom w:val="single" w:sz="4" w:space="0" w:color="auto"/>
              <w:right w:val="single" w:sz="4" w:space="0" w:color="auto"/>
            </w:tcBorders>
            <w:shd w:val="clear" w:color="000000" w:fill="FFFFFF"/>
            <w:noWrap/>
            <w:vAlign w:val="center"/>
            <w:hideMark/>
          </w:tcPr>
          <w:p w14:paraId="7A1DD31F" w14:textId="77777777" w:rsidR="002C6E12" w:rsidRPr="00A52AEE" w:rsidRDefault="002C6E12" w:rsidP="00FE68E8">
            <w:pPr>
              <w:jc w:val="right"/>
              <w:rPr>
                <w:lang w:eastAsia="en-GB"/>
              </w:rPr>
            </w:pPr>
            <w:r w:rsidRPr="00A52AEE">
              <w:rPr>
                <w:lang w:eastAsia="en-GB"/>
              </w:rPr>
              <w:t>1%</w:t>
            </w:r>
          </w:p>
        </w:tc>
      </w:tr>
      <w:tr w:rsidR="00BD5EF5" w:rsidRPr="00A52AEE" w14:paraId="4CD826F2"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FE71D9E" w14:textId="76475B56" w:rsidR="002C6E12" w:rsidRPr="00855E4A" w:rsidRDefault="00E012DF" w:rsidP="00A52AEE">
            <w:pPr>
              <w:rPr>
                <w:sz w:val="22"/>
                <w:lang w:eastAsia="en-GB"/>
              </w:rPr>
            </w:pPr>
            <w:r w:rsidRPr="00855E4A">
              <w:rPr>
                <w:sz w:val="22"/>
                <w:lang w:eastAsia="en-GB"/>
              </w:rPr>
              <w:lastRenderedPageBreak/>
              <w:t>St Charles Catholic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40681BB4" w14:textId="77777777" w:rsidR="002C6E12" w:rsidRPr="00A52AEE" w:rsidRDefault="002C6E12" w:rsidP="00FE68E8">
            <w:pPr>
              <w:jc w:val="right"/>
              <w:rPr>
                <w:lang w:eastAsia="en-GB"/>
              </w:rPr>
            </w:pPr>
            <w:r w:rsidRPr="00A52AEE">
              <w:rPr>
                <w:lang w:eastAsia="en-GB"/>
              </w:rPr>
              <w:t>385</w:t>
            </w:r>
          </w:p>
        </w:tc>
        <w:tc>
          <w:tcPr>
            <w:tcW w:w="287" w:type="pct"/>
            <w:tcBorders>
              <w:top w:val="nil"/>
              <w:left w:val="nil"/>
              <w:bottom w:val="single" w:sz="4" w:space="0" w:color="auto"/>
              <w:right w:val="single" w:sz="4" w:space="0" w:color="auto"/>
            </w:tcBorders>
            <w:shd w:val="clear" w:color="000000" w:fill="FFFFFF"/>
            <w:noWrap/>
            <w:vAlign w:val="center"/>
            <w:hideMark/>
          </w:tcPr>
          <w:p w14:paraId="74FB920B"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721E9F09" w14:textId="77777777" w:rsidR="002C6E12" w:rsidRPr="00A52AEE" w:rsidRDefault="002C6E12" w:rsidP="00FE68E8">
            <w:pPr>
              <w:jc w:val="right"/>
              <w:rPr>
                <w:lang w:eastAsia="en-GB"/>
              </w:rPr>
            </w:pPr>
            <w:r w:rsidRPr="00A52AEE">
              <w:rPr>
                <w:lang w:eastAsia="en-GB"/>
              </w:rPr>
              <w:t>355</w:t>
            </w:r>
          </w:p>
        </w:tc>
        <w:tc>
          <w:tcPr>
            <w:tcW w:w="287" w:type="pct"/>
            <w:tcBorders>
              <w:top w:val="nil"/>
              <w:left w:val="nil"/>
              <w:bottom w:val="single" w:sz="4" w:space="0" w:color="auto"/>
              <w:right w:val="single" w:sz="4" w:space="0" w:color="auto"/>
            </w:tcBorders>
            <w:shd w:val="clear" w:color="000000" w:fill="FFFFFF"/>
            <w:noWrap/>
            <w:vAlign w:val="center"/>
            <w:hideMark/>
          </w:tcPr>
          <w:p w14:paraId="1BC823F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81892C5" w14:textId="77777777" w:rsidR="002C6E12" w:rsidRPr="00A52AEE" w:rsidRDefault="002C6E12" w:rsidP="00FE68E8">
            <w:pPr>
              <w:jc w:val="right"/>
              <w:rPr>
                <w:lang w:eastAsia="en-GB"/>
              </w:rPr>
            </w:pPr>
            <w:r w:rsidRPr="00A52AEE">
              <w:rPr>
                <w:lang w:eastAsia="en-GB"/>
              </w:rPr>
              <w:t>315</w:t>
            </w:r>
          </w:p>
        </w:tc>
        <w:tc>
          <w:tcPr>
            <w:tcW w:w="288" w:type="pct"/>
            <w:tcBorders>
              <w:top w:val="nil"/>
              <w:left w:val="nil"/>
              <w:bottom w:val="single" w:sz="4" w:space="0" w:color="auto"/>
              <w:right w:val="single" w:sz="4" w:space="0" w:color="auto"/>
            </w:tcBorders>
            <w:shd w:val="clear" w:color="000000" w:fill="FFFFFF"/>
            <w:noWrap/>
            <w:vAlign w:val="center"/>
            <w:hideMark/>
          </w:tcPr>
          <w:p w14:paraId="11C379D1"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3251022" w14:textId="77777777" w:rsidR="002C6E12" w:rsidRPr="00A52AEE" w:rsidRDefault="002C6E12" w:rsidP="00FE68E8">
            <w:pPr>
              <w:jc w:val="right"/>
              <w:rPr>
                <w:lang w:eastAsia="en-GB"/>
              </w:rPr>
            </w:pPr>
            <w:r w:rsidRPr="00A52AEE">
              <w:rPr>
                <w:lang w:eastAsia="en-GB"/>
              </w:rPr>
              <w:t>320</w:t>
            </w:r>
          </w:p>
        </w:tc>
        <w:tc>
          <w:tcPr>
            <w:tcW w:w="287" w:type="pct"/>
            <w:tcBorders>
              <w:top w:val="nil"/>
              <w:left w:val="nil"/>
              <w:bottom w:val="single" w:sz="4" w:space="0" w:color="auto"/>
              <w:right w:val="single" w:sz="4" w:space="0" w:color="auto"/>
            </w:tcBorders>
            <w:shd w:val="clear" w:color="000000" w:fill="FFFFFF"/>
            <w:noWrap/>
            <w:vAlign w:val="center"/>
            <w:hideMark/>
          </w:tcPr>
          <w:p w14:paraId="0FE8AD97"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C582709" w14:textId="77777777" w:rsidR="002C6E12" w:rsidRPr="00A52AEE" w:rsidRDefault="002C6E12" w:rsidP="00FE68E8">
            <w:pPr>
              <w:jc w:val="right"/>
              <w:rPr>
                <w:lang w:eastAsia="en-GB"/>
              </w:rPr>
            </w:pPr>
            <w:r w:rsidRPr="00A52AEE">
              <w:rPr>
                <w:lang w:eastAsia="en-GB"/>
              </w:rPr>
              <w:t>510</w:t>
            </w:r>
          </w:p>
        </w:tc>
        <w:tc>
          <w:tcPr>
            <w:tcW w:w="283" w:type="pct"/>
            <w:tcBorders>
              <w:top w:val="nil"/>
              <w:left w:val="nil"/>
              <w:bottom w:val="single" w:sz="4" w:space="0" w:color="auto"/>
              <w:right w:val="single" w:sz="4" w:space="0" w:color="auto"/>
            </w:tcBorders>
            <w:shd w:val="clear" w:color="000000" w:fill="FFFFFF"/>
            <w:noWrap/>
            <w:vAlign w:val="center"/>
            <w:hideMark/>
          </w:tcPr>
          <w:p w14:paraId="0CDE726B" w14:textId="77777777" w:rsidR="002C6E12" w:rsidRPr="00A52AEE" w:rsidRDefault="002C6E12" w:rsidP="00FE68E8">
            <w:pPr>
              <w:jc w:val="right"/>
              <w:rPr>
                <w:lang w:eastAsia="en-GB"/>
              </w:rPr>
            </w:pPr>
            <w:r w:rsidRPr="00A52AEE">
              <w:rPr>
                <w:lang w:eastAsia="en-GB"/>
              </w:rPr>
              <w:t>1%</w:t>
            </w:r>
          </w:p>
        </w:tc>
      </w:tr>
      <w:tr w:rsidR="00BD5EF5" w:rsidRPr="00A52AEE" w14:paraId="76C0C77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1B5AF4F9" w14:textId="38C97B10" w:rsidR="002C6E12" w:rsidRPr="00855E4A" w:rsidRDefault="00E012DF" w:rsidP="00A52AEE">
            <w:pPr>
              <w:rPr>
                <w:sz w:val="22"/>
                <w:lang w:eastAsia="en-GB"/>
              </w:rPr>
            </w:pPr>
            <w:r w:rsidRPr="00855E4A">
              <w:rPr>
                <w:sz w:val="22"/>
                <w:lang w:eastAsia="en-GB"/>
              </w:rPr>
              <w:t>St Dominic's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B74ACE2" w14:textId="77777777" w:rsidR="002C6E12" w:rsidRPr="00A52AEE" w:rsidRDefault="002C6E12" w:rsidP="00FE68E8">
            <w:pPr>
              <w:jc w:val="right"/>
              <w:rPr>
                <w:lang w:eastAsia="en-GB"/>
              </w:rPr>
            </w:pPr>
            <w:r w:rsidRPr="00A52AEE">
              <w:rPr>
                <w:lang w:eastAsia="en-GB"/>
              </w:rPr>
              <w:t>475</w:t>
            </w:r>
          </w:p>
        </w:tc>
        <w:tc>
          <w:tcPr>
            <w:tcW w:w="287" w:type="pct"/>
            <w:tcBorders>
              <w:top w:val="nil"/>
              <w:left w:val="nil"/>
              <w:bottom w:val="single" w:sz="4" w:space="0" w:color="auto"/>
              <w:right w:val="single" w:sz="4" w:space="0" w:color="auto"/>
            </w:tcBorders>
            <w:shd w:val="clear" w:color="000000" w:fill="FFFFFF"/>
            <w:noWrap/>
            <w:vAlign w:val="center"/>
            <w:hideMark/>
          </w:tcPr>
          <w:p w14:paraId="161904F7"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8E0274F" w14:textId="77777777" w:rsidR="002C6E12" w:rsidRPr="00A52AEE" w:rsidRDefault="002C6E12" w:rsidP="00FE68E8">
            <w:pPr>
              <w:jc w:val="right"/>
              <w:rPr>
                <w:lang w:eastAsia="en-GB"/>
              </w:rPr>
            </w:pPr>
            <w:r w:rsidRPr="00A52AEE">
              <w:rPr>
                <w:lang w:eastAsia="en-GB"/>
              </w:rPr>
              <w:t>510</w:t>
            </w:r>
          </w:p>
        </w:tc>
        <w:tc>
          <w:tcPr>
            <w:tcW w:w="287" w:type="pct"/>
            <w:tcBorders>
              <w:top w:val="nil"/>
              <w:left w:val="nil"/>
              <w:bottom w:val="single" w:sz="4" w:space="0" w:color="auto"/>
              <w:right w:val="single" w:sz="4" w:space="0" w:color="auto"/>
            </w:tcBorders>
            <w:shd w:val="clear" w:color="000000" w:fill="FFFFFF"/>
            <w:noWrap/>
            <w:vAlign w:val="center"/>
            <w:hideMark/>
          </w:tcPr>
          <w:p w14:paraId="2A50E8A7"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7CFA182B" w14:textId="77777777" w:rsidR="002C6E12" w:rsidRPr="00A52AEE" w:rsidRDefault="002C6E12" w:rsidP="00FE68E8">
            <w:pPr>
              <w:jc w:val="right"/>
              <w:rPr>
                <w:lang w:eastAsia="en-GB"/>
              </w:rPr>
            </w:pPr>
            <w:r w:rsidRPr="00A52AEE">
              <w:rPr>
                <w:lang w:eastAsia="en-GB"/>
              </w:rPr>
              <w:t>485</w:t>
            </w:r>
          </w:p>
        </w:tc>
        <w:tc>
          <w:tcPr>
            <w:tcW w:w="288" w:type="pct"/>
            <w:tcBorders>
              <w:top w:val="nil"/>
              <w:left w:val="nil"/>
              <w:bottom w:val="single" w:sz="4" w:space="0" w:color="auto"/>
              <w:right w:val="single" w:sz="4" w:space="0" w:color="auto"/>
            </w:tcBorders>
            <w:shd w:val="clear" w:color="000000" w:fill="FFFFFF"/>
            <w:noWrap/>
            <w:vAlign w:val="center"/>
            <w:hideMark/>
          </w:tcPr>
          <w:p w14:paraId="217E3118"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12E28C9" w14:textId="77777777" w:rsidR="002C6E12" w:rsidRPr="00A52AEE" w:rsidRDefault="002C6E12" w:rsidP="00FE68E8">
            <w:pPr>
              <w:jc w:val="right"/>
              <w:rPr>
                <w:lang w:eastAsia="en-GB"/>
              </w:rPr>
            </w:pPr>
            <w:r w:rsidRPr="00A52AEE">
              <w:rPr>
                <w:lang w:eastAsia="en-GB"/>
              </w:rPr>
              <w:t>535</w:t>
            </w:r>
          </w:p>
        </w:tc>
        <w:tc>
          <w:tcPr>
            <w:tcW w:w="287" w:type="pct"/>
            <w:tcBorders>
              <w:top w:val="nil"/>
              <w:left w:val="nil"/>
              <w:bottom w:val="single" w:sz="4" w:space="0" w:color="auto"/>
              <w:right w:val="single" w:sz="4" w:space="0" w:color="auto"/>
            </w:tcBorders>
            <w:shd w:val="clear" w:color="000000" w:fill="FFFFFF"/>
            <w:noWrap/>
            <w:vAlign w:val="center"/>
            <w:hideMark/>
          </w:tcPr>
          <w:p w14:paraId="62DF49E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B244864" w14:textId="77777777" w:rsidR="002C6E12" w:rsidRPr="00A52AEE" w:rsidRDefault="002C6E12" w:rsidP="00FE68E8">
            <w:pPr>
              <w:jc w:val="right"/>
              <w:rPr>
                <w:lang w:eastAsia="en-GB"/>
              </w:rPr>
            </w:pPr>
            <w:r w:rsidRPr="00A52AEE">
              <w:rPr>
                <w:lang w:eastAsia="en-GB"/>
              </w:rPr>
              <w:t>505</w:t>
            </w:r>
          </w:p>
        </w:tc>
        <w:tc>
          <w:tcPr>
            <w:tcW w:w="283" w:type="pct"/>
            <w:tcBorders>
              <w:top w:val="nil"/>
              <w:left w:val="nil"/>
              <w:bottom w:val="single" w:sz="4" w:space="0" w:color="auto"/>
              <w:right w:val="single" w:sz="4" w:space="0" w:color="auto"/>
            </w:tcBorders>
            <w:shd w:val="clear" w:color="000000" w:fill="FFFFFF"/>
            <w:noWrap/>
            <w:vAlign w:val="center"/>
            <w:hideMark/>
          </w:tcPr>
          <w:p w14:paraId="29F9FF38" w14:textId="77777777" w:rsidR="002C6E12" w:rsidRPr="00A52AEE" w:rsidRDefault="002C6E12" w:rsidP="00FE68E8">
            <w:pPr>
              <w:jc w:val="right"/>
              <w:rPr>
                <w:lang w:eastAsia="en-GB"/>
              </w:rPr>
            </w:pPr>
            <w:r w:rsidRPr="00A52AEE">
              <w:rPr>
                <w:lang w:eastAsia="en-GB"/>
              </w:rPr>
              <w:t>1%</w:t>
            </w:r>
          </w:p>
        </w:tc>
      </w:tr>
      <w:tr w:rsidR="00BD5EF5" w:rsidRPr="00A52AEE" w14:paraId="5DE2BAB8"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CB1A61A" w14:textId="4DE4F005" w:rsidR="002C6E12" w:rsidRPr="00855E4A" w:rsidRDefault="00E012DF" w:rsidP="00A52AEE">
            <w:pPr>
              <w:rPr>
                <w:sz w:val="22"/>
                <w:lang w:eastAsia="en-GB"/>
              </w:rPr>
            </w:pPr>
            <w:r w:rsidRPr="00855E4A">
              <w:rPr>
                <w:sz w:val="22"/>
                <w:lang w:eastAsia="en-GB"/>
              </w:rPr>
              <w:t>St Francis Xavier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263E2D5B" w14:textId="77777777" w:rsidR="002C6E12" w:rsidRPr="00A52AEE" w:rsidRDefault="002C6E12" w:rsidP="00FE68E8">
            <w:pPr>
              <w:jc w:val="right"/>
              <w:rPr>
                <w:lang w:eastAsia="en-GB"/>
              </w:rPr>
            </w:pPr>
            <w:r w:rsidRPr="00A52AEE">
              <w:rPr>
                <w:lang w:eastAsia="en-GB"/>
              </w:rPr>
              <w:t>555</w:t>
            </w:r>
          </w:p>
        </w:tc>
        <w:tc>
          <w:tcPr>
            <w:tcW w:w="287" w:type="pct"/>
            <w:tcBorders>
              <w:top w:val="nil"/>
              <w:left w:val="nil"/>
              <w:bottom w:val="single" w:sz="4" w:space="0" w:color="auto"/>
              <w:right w:val="single" w:sz="4" w:space="0" w:color="auto"/>
            </w:tcBorders>
            <w:shd w:val="clear" w:color="000000" w:fill="FFFFFF"/>
            <w:noWrap/>
            <w:vAlign w:val="center"/>
            <w:hideMark/>
          </w:tcPr>
          <w:p w14:paraId="3A5EC3D7"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08BE964" w14:textId="77777777" w:rsidR="002C6E12" w:rsidRPr="00A52AEE" w:rsidRDefault="002C6E12" w:rsidP="00FE68E8">
            <w:pPr>
              <w:jc w:val="right"/>
              <w:rPr>
                <w:lang w:eastAsia="en-GB"/>
              </w:rPr>
            </w:pPr>
            <w:r w:rsidRPr="00A52AEE">
              <w:rPr>
                <w:lang w:eastAsia="en-GB"/>
              </w:rPr>
              <w:t>610</w:t>
            </w:r>
          </w:p>
        </w:tc>
        <w:tc>
          <w:tcPr>
            <w:tcW w:w="287" w:type="pct"/>
            <w:tcBorders>
              <w:top w:val="nil"/>
              <w:left w:val="nil"/>
              <w:bottom w:val="single" w:sz="4" w:space="0" w:color="auto"/>
              <w:right w:val="single" w:sz="4" w:space="0" w:color="auto"/>
            </w:tcBorders>
            <w:shd w:val="clear" w:color="000000" w:fill="FFFFFF"/>
            <w:noWrap/>
            <w:vAlign w:val="center"/>
            <w:hideMark/>
          </w:tcPr>
          <w:p w14:paraId="72859CC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ADD983B" w14:textId="77777777" w:rsidR="002C6E12" w:rsidRPr="00A52AEE" w:rsidRDefault="002C6E12" w:rsidP="00FE68E8">
            <w:pPr>
              <w:jc w:val="right"/>
              <w:rPr>
                <w:lang w:eastAsia="en-GB"/>
              </w:rPr>
            </w:pPr>
            <w:r w:rsidRPr="00A52AEE">
              <w:rPr>
                <w:lang w:eastAsia="en-GB"/>
              </w:rPr>
              <w:t>630</w:t>
            </w:r>
          </w:p>
        </w:tc>
        <w:tc>
          <w:tcPr>
            <w:tcW w:w="288" w:type="pct"/>
            <w:tcBorders>
              <w:top w:val="nil"/>
              <w:left w:val="nil"/>
              <w:bottom w:val="single" w:sz="4" w:space="0" w:color="auto"/>
              <w:right w:val="single" w:sz="4" w:space="0" w:color="auto"/>
            </w:tcBorders>
            <w:shd w:val="clear" w:color="000000" w:fill="FFFFFF"/>
            <w:noWrap/>
            <w:vAlign w:val="center"/>
            <w:hideMark/>
          </w:tcPr>
          <w:p w14:paraId="7225B99E"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C4EC65B" w14:textId="77777777" w:rsidR="002C6E12" w:rsidRPr="00A52AEE" w:rsidRDefault="002C6E12" w:rsidP="00FE68E8">
            <w:pPr>
              <w:jc w:val="right"/>
              <w:rPr>
                <w:lang w:eastAsia="en-GB"/>
              </w:rPr>
            </w:pPr>
            <w:r w:rsidRPr="00A52AEE">
              <w:rPr>
                <w:lang w:eastAsia="en-GB"/>
              </w:rPr>
              <w:t>615</w:t>
            </w:r>
          </w:p>
        </w:tc>
        <w:tc>
          <w:tcPr>
            <w:tcW w:w="287" w:type="pct"/>
            <w:tcBorders>
              <w:top w:val="nil"/>
              <w:left w:val="nil"/>
              <w:bottom w:val="single" w:sz="4" w:space="0" w:color="auto"/>
              <w:right w:val="single" w:sz="4" w:space="0" w:color="auto"/>
            </w:tcBorders>
            <w:shd w:val="clear" w:color="000000" w:fill="FFFFFF"/>
            <w:noWrap/>
            <w:vAlign w:val="center"/>
            <w:hideMark/>
          </w:tcPr>
          <w:p w14:paraId="651C5085"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A49F8C1" w14:textId="77777777" w:rsidR="002C6E12" w:rsidRPr="00A52AEE" w:rsidRDefault="002C6E12" w:rsidP="00FE68E8">
            <w:pPr>
              <w:jc w:val="right"/>
              <w:rPr>
                <w:lang w:eastAsia="en-GB"/>
              </w:rPr>
            </w:pPr>
            <w:r w:rsidRPr="00A52AEE">
              <w:rPr>
                <w:lang w:eastAsia="en-GB"/>
              </w:rPr>
              <w:t>610</w:t>
            </w:r>
          </w:p>
        </w:tc>
        <w:tc>
          <w:tcPr>
            <w:tcW w:w="283" w:type="pct"/>
            <w:tcBorders>
              <w:top w:val="nil"/>
              <w:left w:val="nil"/>
              <w:bottom w:val="single" w:sz="4" w:space="0" w:color="auto"/>
              <w:right w:val="single" w:sz="4" w:space="0" w:color="auto"/>
            </w:tcBorders>
            <w:shd w:val="clear" w:color="000000" w:fill="FFFFFF"/>
            <w:noWrap/>
            <w:vAlign w:val="center"/>
            <w:hideMark/>
          </w:tcPr>
          <w:p w14:paraId="52D8AFF2" w14:textId="77777777" w:rsidR="002C6E12" w:rsidRPr="00A52AEE" w:rsidRDefault="002C6E12" w:rsidP="00FE68E8">
            <w:pPr>
              <w:jc w:val="right"/>
              <w:rPr>
                <w:lang w:eastAsia="en-GB"/>
              </w:rPr>
            </w:pPr>
            <w:r w:rsidRPr="00A52AEE">
              <w:rPr>
                <w:lang w:eastAsia="en-GB"/>
              </w:rPr>
              <w:t>1%</w:t>
            </w:r>
          </w:p>
        </w:tc>
      </w:tr>
      <w:tr w:rsidR="00BD5EF5" w:rsidRPr="00A52AEE" w14:paraId="22E78AEB"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5E21FC95" w14:textId="33F34A3A" w:rsidR="002C6E12" w:rsidRPr="00855E4A" w:rsidRDefault="00E012DF" w:rsidP="00A52AEE">
            <w:pPr>
              <w:rPr>
                <w:sz w:val="22"/>
                <w:lang w:eastAsia="en-GB"/>
              </w:rPr>
            </w:pPr>
            <w:r w:rsidRPr="00855E4A">
              <w:rPr>
                <w:sz w:val="22"/>
                <w:lang w:eastAsia="en-GB"/>
              </w:rPr>
              <w:t>Stanmore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58E3D4DE" w14:textId="77777777" w:rsidR="002C6E12" w:rsidRPr="00A52AEE" w:rsidRDefault="002C6E12" w:rsidP="00FE68E8">
            <w:pPr>
              <w:jc w:val="right"/>
              <w:rPr>
                <w:lang w:eastAsia="en-GB"/>
              </w:rPr>
            </w:pPr>
            <w:r w:rsidRPr="00A52AEE">
              <w:rPr>
                <w:lang w:eastAsia="en-GB"/>
              </w:rPr>
              <w:t>690</w:t>
            </w:r>
          </w:p>
        </w:tc>
        <w:tc>
          <w:tcPr>
            <w:tcW w:w="287" w:type="pct"/>
            <w:tcBorders>
              <w:top w:val="nil"/>
              <w:left w:val="nil"/>
              <w:bottom w:val="single" w:sz="4" w:space="0" w:color="auto"/>
              <w:right w:val="single" w:sz="4" w:space="0" w:color="auto"/>
            </w:tcBorders>
            <w:shd w:val="clear" w:color="000000" w:fill="FFFFFF"/>
            <w:noWrap/>
            <w:vAlign w:val="center"/>
            <w:hideMark/>
          </w:tcPr>
          <w:p w14:paraId="376A2257"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DB42756" w14:textId="77777777" w:rsidR="002C6E12" w:rsidRPr="00A52AEE" w:rsidRDefault="002C6E12" w:rsidP="00FE68E8">
            <w:pPr>
              <w:jc w:val="right"/>
              <w:rPr>
                <w:lang w:eastAsia="en-GB"/>
              </w:rPr>
            </w:pPr>
            <w:r w:rsidRPr="00A52AEE">
              <w:rPr>
                <w:lang w:eastAsia="en-GB"/>
              </w:rPr>
              <w:t>860</w:t>
            </w:r>
          </w:p>
        </w:tc>
        <w:tc>
          <w:tcPr>
            <w:tcW w:w="287" w:type="pct"/>
            <w:tcBorders>
              <w:top w:val="nil"/>
              <w:left w:val="nil"/>
              <w:bottom w:val="single" w:sz="4" w:space="0" w:color="auto"/>
              <w:right w:val="single" w:sz="4" w:space="0" w:color="auto"/>
            </w:tcBorders>
            <w:shd w:val="clear" w:color="000000" w:fill="FFFFFF"/>
            <w:noWrap/>
            <w:vAlign w:val="center"/>
            <w:hideMark/>
          </w:tcPr>
          <w:p w14:paraId="0356163E"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89FEFB7" w14:textId="77777777" w:rsidR="002C6E12" w:rsidRPr="00A52AEE" w:rsidRDefault="002C6E12" w:rsidP="00FE68E8">
            <w:pPr>
              <w:jc w:val="right"/>
              <w:rPr>
                <w:lang w:eastAsia="en-GB"/>
              </w:rPr>
            </w:pPr>
            <w:r w:rsidRPr="00A52AEE">
              <w:rPr>
                <w:lang w:eastAsia="en-GB"/>
              </w:rPr>
              <w:t>800</w:t>
            </w:r>
          </w:p>
        </w:tc>
        <w:tc>
          <w:tcPr>
            <w:tcW w:w="288" w:type="pct"/>
            <w:tcBorders>
              <w:top w:val="nil"/>
              <w:left w:val="nil"/>
              <w:bottom w:val="single" w:sz="4" w:space="0" w:color="auto"/>
              <w:right w:val="single" w:sz="4" w:space="0" w:color="auto"/>
            </w:tcBorders>
            <w:shd w:val="clear" w:color="000000" w:fill="FFFFFF"/>
            <w:noWrap/>
            <w:vAlign w:val="center"/>
            <w:hideMark/>
          </w:tcPr>
          <w:p w14:paraId="4ABBF2E2"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76192CF" w14:textId="77777777" w:rsidR="002C6E12" w:rsidRPr="00A52AEE" w:rsidRDefault="002C6E12" w:rsidP="00FE68E8">
            <w:pPr>
              <w:jc w:val="right"/>
              <w:rPr>
                <w:lang w:eastAsia="en-GB"/>
              </w:rPr>
            </w:pPr>
            <w:r w:rsidRPr="00A52AEE">
              <w:rPr>
                <w:lang w:eastAsia="en-GB"/>
              </w:rPr>
              <w:t>875</w:t>
            </w:r>
          </w:p>
        </w:tc>
        <w:tc>
          <w:tcPr>
            <w:tcW w:w="287" w:type="pct"/>
            <w:tcBorders>
              <w:top w:val="nil"/>
              <w:left w:val="nil"/>
              <w:bottom w:val="single" w:sz="4" w:space="0" w:color="auto"/>
              <w:right w:val="single" w:sz="4" w:space="0" w:color="auto"/>
            </w:tcBorders>
            <w:shd w:val="clear" w:color="000000" w:fill="FFFFFF"/>
            <w:noWrap/>
            <w:vAlign w:val="center"/>
            <w:hideMark/>
          </w:tcPr>
          <w:p w14:paraId="6549C658"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5A4B122E" w14:textId="77777777" w:rsidR="002C6E12" w:rsidRPr="00A52AEE" w:rsidRDefault="002C6E12" w:rsidP="00FE68E8">
            <w:pPr>
              <w:jc w:val="right"/>
              <w:rPr>
                <w:lang w:eastAsia="en-GB"/>
              </w:rPr>
            </w:pPr>
            <w:r w:rsidRPr="00A52AEE">
              <w:rPr>
                <w:lang w:eastAsia="en-GB"/>
              </w:rPr>
              <w:t>890</w:t>
            </w:r>
          </w:p>
        </w:tc>
        <w:tc>
          <w:tcPr>
            <w:tcW w:w="283" w:type="pct"/>
            <w:tcBorders>
              <w:top w:val="nil"/>
              <w:left w:val="nil"/>
              <w:bottom w:val="single" w:sz="4" w:space="0" w:color="auto"/>
              <w:right w:val="single" w:sz="4" w:space="0" w:color="auto"/>
            </w:tcBorders>
            <w:shd w:val="clear" w:color="000000" w:fill="FFFFFF"/>
            <w:noWrap/>
            <w:vAlign w:val="center"/>
            <w:hideMark/>
          </w:tcPr>
          <w:p w14:paraId="0D05645A" w14:textId="77777777" w:rsidR="002C6E12" w:rsidRPr="00A52AEE" w:rsidRDefault="002C6E12" w:rsidP="00FE68E8">
            <w:pPr>
              <w:jc w:val="right"/>
              <w:rPr>
                <w:lang w:eastAsia="en-GB"/>
              </w:rPr>
            </w:pPr>
            <w:r w:rsidRPr="00A52AEE">
              <w:rPr>
                <w:lang w:eastAsia="en-GB"/>
              </w:rPr>
              <w:t>2%</w:t>
            </w:r>
          </w:p>
        </w:tc>
      </w:tr>
      <w:tr w:rsidR="00BD5EF5" w:rsidRPr="00A52AEE" w14:paraId="074A649C"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27C91205" w14:textId="37B5AC24" w:rsidR="002C6E12" w:rsidRPr="00855E4A" w:rsidRDefault="00E012DF" w:rsidP="00A52AEE">
            <w:pPr>
              <w:rPr>
                <w:sz w:val="22"/>
                <w:lang w:eastAsia="en-GB"/>
              </w:rPr>
            </w:pPr>
            <w:r w:rsidRPr="00855E4A">
              <w:rPr>
                <w:sz w:val="22"/>
                <w:lang w:eastAsia="en-GB"/>
              </w:rPr>
              <w:t>The Brooke House Sixth Form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67C50994" w14:textId="77777777" w:rsidR="002C6E12" w:rsidRPr="00A52AEE" w:rsidRDefault="002C6E12" w:rsidP="00FE68E8">
            <w:pPr>
              <w:jc w:val="right"/>
              <w:rPr>
                <w:lang w:eastAsia="en-GB"/>
              </w:rPr>
            </w:pPr>
            <w:r w:rsidRPr="00A52AEE">
              <w:rPr>
                <w:lang w:eastAsia="en-GB"/>
              </w:rPr>
              <w:t>340</w:t>
            </w:r>
          </w:p>
        </w:tc>
        <w:tc>
          <w:tcPr>
            <w:tcW w:w="287" w:type="pct"/>
            <w:tcBorders>
              <w:top w:val="nil"/>
              <w:left w:val="nil"/>
              <w:bottom w:val="single" w:sz="4" w:space="0" w:color="auto"/>
              <w:right w:val="single" w:sz="4" w:space="0" w:color="auto"/>
            </w:tcBorders>
            <w:shd w:val="clear" w:color="000000" w:fill="FFFFFF"/>
            <w:noWrap/>
            <w:vAlign w:val="center"/>
            <w:hideMark/>
          </w:tcPr>
          <w:p w14:paraId="0D0D62B6"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590A1D4" w14:textId="77777777" w:rsidR="002C6E12" w:rsidRPr="00A52AEE" w:rsidRDefault="002C6E12" w:rsidP="00FE68E8">
            <w:pPr>
              <w:jc w:val="right"/>
              <w:rPr>
                <w:lang w:eastAsia="en-GB"/>
              </w:rPr>
            </w:pPr>
            <w:r w:rsidRPr="00A52AEE">
              <w:rPr>
                <w:lang w:eastAsia="en-GB"/>
              </w:rPr>
              <w:t>255</w:t>
            </w:r>
          </w:p>
        </w:tc>
        <w:tc>
          <w:tcPr>
            <w:tcW w:w="287" w:type="pct"/>
            <w:tcBorders>
              <w:top w:val="nil"/>
              <w:left w:val="nil"/>
              <w:bottom w:val="single" w:sz="4" w:space="0" w:color="auto"/>
              <w:right w:val="single" w:sz="4" w:space="0" w:color="auto"/>
            </w:tcBorders>
            <w:shd w:val="clear" w:color="000000" w:fill="FFFFFF"/>
            <w:noWrap/>
            <w:vAlign w:val="center"/>
            <w:hideMark/>
          </w:tcPr>
          <w:p w14:paraId="289D275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FFA3E72" w14:textId="77777777" w:rsidR="002C6E12" w:rsidRPr="00A52AEE" w:rsidRDefault="002C6E12" w:rsidP="00FE68E8">
            <w:pPr>
              <w:jc w:val="right"/>
              <w:rPr>
                <w:lang w:eastAsia="en-GB"/>
              </w:rPr>
            </w:pPr>
            <w:r w:rsidRPr="00A52AEE">
              <w:rPr>
                <w:lang w:eastAsia="en-GB"/>
              </w:rPr>
              <w:t>295</w:t>
            </w:r>
          </w:p>
        </w:tc>
        <w:tc>
          <w:tcPr>
            <w:tcW w:w="288" w:type="pct"/>
            <w:tcBorders>
              <w:top w:val="nil"/>
              <w:left w:val="nil"/>
              <w:bottom w:val="single" w:sz="4" w:space="0" w:color="auto"/>
              <w:right w:val="single" w:sz="4" w:space="0" w:color="auto"/>
            </w:tcBorders>
            <w:shd w:val="clear" w:color="000000" w:fill="FFFFFF"/>
            <w:noWrap/>
            <w:vAlign w:val="center"/>
            <w:hideMark/>
          </w:tcPr>
          <w:p w14:paraId="2E3A6419"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11ECDE7" w14:textId="77777777" w:rsidR="002C6E12" w:rsidRPr="00A52AEE" w:rsidRDefault="002C6E12" w:rsidP="00FE68E8">
            <w:pPr>
              <w:jc w:val="right"/>
              <w:rPr>
                <w:lang w:eastAsia="en-GB"/>
              </w:rPr>
            </w:pPr>
            <w:r w:rsidRPr="00A52AEE">
              <w:rPr>
                <w:lang w:eastAsia="en-GB"/>
              </w:rPr>
              <w:t>495</w:t>
            </w:r>
          </w:p>
        </w:tc>
        <w:tc>
          <w:tcPr>
            <w:tcW w:w="287" w:type="pct"/>
            <w:tcBorders>
              <w:top w:val="nil"/>
              <w:left w:val="nil"/>
              <w:bottom w:val="single" w:sz="4" w:space="0" w:color="auto"/>
              <w:right w:val="single" w:sz="4" w:space="0" w:color="auto"/>
            </w:tcBorders>
            <w:shd w:val="clear" w:color="000000" w:fill="FFFFFF"/>
            <w:noWrap/>
            <w:vAlign w:val="center"/>
            <w:hideMark/>
          </w:tcPr>
          <w:p w14:paraId="65CDE0F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263B8F70" w14:textId="77777777" w:rsidR="002C6E12" w:rsidRPr="00A52AEE" w:rsidRDefault="002C6E12" w:rsidP="00FE68E8">
            <w:pPr>
              <w:jc w:val="right"/>
              <w:rPr>
                <w:lang w:eastAsia="en-GB"/>
              </w:rPr>
            </w:pPr>
            <w:r w:rsidRPr="00A52AEE">
              <w:rPr>
                <w:lang w:eastAsia="en-GB"/>
              </w:rPr>
              <w:t>600</w:t>
            </w:r>
          </w:p>
        </w:tc>
        <w:tc>
          <w:tcPr>
            <w:tcW w:w="283" w:type="pct"/>
            <w:tcBorders>
              <w:top w:val="nil"/>
              <w:left w:val="nil"/>
              <w:bottom w:val="single" w:sz="4" w:space="0" w:color="auto"/>
              <w:right w:val="single" w:sz="4" w:space="0" w:color="auto"/>
            </w:tcBorders>
            <w:shd w:val="clear" w:color="000000" w:fill="FFFFFF"/>
            <w:noWrap/>
            <w:vAlign w:val="center"/>
            <w:hideMark/>
          </w:tcPr>
          <w:p w14:paraId="55FA8843" w14:textId="77777777" w:rsidR="002C6E12" w:rsidRPr="00A52AEE" w:rsidRDefault="002C6E12" w:rsidP="00FE68E8">
            <w:pPr>
              <w:jc w:val="right"/>
              <w:rPr>
                <w:lang w:eastAsia="en-GB"/>
              </w:rPr>
            </w:pPr>
            <w:r w:rsidRPr="00A52AEE">
              <w:rPr>
                <w:lang w:eastAsia="en-GB"/>
              </w:rPr>
              <w:t>1%</w:t>
            </w:r>
          </w:p>
        </w:tc>
      </w:tr>
      <w:tr w:rsidR="00BD5EF5" w:rsidRPr="00A52AEE" w14:paraId="71A2345C"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4C026839" w14:textId="0307821C" w:rsidR="002C6E12" w:rsidRPr="00855E4A" w:rsidRDefault="00E012DF" w:rsidP="00A52AEE">
            <w:pPr>
              <w:rPr>
                <w:sz w:val="22"/>
                <w:lang w:eastAsia="en-GB"/>
              </w:rPr>
            </w:pPr>
            <w:r w:rsidRPr="00855E4A">
              <w:rPr>
                <w:sz w:val="22"/>
                <w:lang w:eastAsia="en-GB"/>
              </w:rPr>
              <w:t>The City Literary Institute</w:t>
            </w:r>
          </w:p>
        </w:tc>
        <w:tc>
          <w:tcPr>
            <w:tcW w:w="430" w:type="pct"/>
            <w:tcBorders>
              <w:top w:val="nil"/>
              <w:left w:val="nil"/>
              <w:bottom w:val="single" w:sz="4" w:space="0" w:color="auto"/>
              <w:right w:val="single" w:sz="4" w:space="0" w:color="auto"/>
            </w:tcBorders>
            <w:shd w:val="clear" w:color="000000" w:fill="FFFFFF"/>
            <w:noWrap/>
            <w:vAlign w:val="center"/>
            <w:hideMark/>
          </w:tcPr>
          <w:p w14:paraId="13652B5A" w14:textId="77777777" w:rsidR="002C6E12" w:rsidRPr="00A52AEE" w:rsidRDefault="002C6E12" w:rsidP="00FE68E8">
            <w:pPr>
              <w:jc w:val="right"/>
              <w:rPr>
                <w:lang w:eastAsia="en-GB"/>
              </w:rPr>
            </w:pPr>
            <w:r w:rsidRPr="00A52AEE">
              <w:rPr>
                <w:lang w:eastAsia="en-GB"/>
              </w:rPr>
              <w:t>485</w:t>
            </w:r>
          </w:p>
        </w:tc>
        <w:tc>
          <w:tcPr>
            <w:tcW w:w="287" w:type="pct"/>
            <w:tcBorders>
              <w:top w:val="nil"/>
              <w:left w:val="nil"/>
              <w:bottom w:val="single" w:sz="4" w:space="0" w:color="auto"/>
              <w:right w:val="single" w:sz="4" w:space="0" w:color="auto"/>
            </w:tcBorders>
            <w:shd w:val="clear" w:color="000000" w:fill="FFFFFF"/>
            <w:noWrap/>
            <w:vAlign w:val="center"/>
            <w:hideMark/>
          </w:tcPr>
          <w:p w14:paraId="2B3CCA9A"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635448B" w14:textId="77777777" w:rsidR="002C6E12" w:rsidRPr="00A52AEE" w:rsidRDefault="002C6E12" w:rsidP="00FE68E8">
            <w:pPr>
              <w:jc w:val="right"/>
              <w:rPr>
                <w:lang w:eastAsia="en-GB"/>
              </w:rPr>
            </w:pPr>
            <w:r w:rsidRPr="00A52AEE">
              <w:rPr>
                <w:lang w:eastAsia="en-GB"/>
              </w:rPr>
              <w:t>435</w:t>
            </w:r>
          </w:p>
        </w:tc>
        <w:tc>
          <w:tcPr>
            <w:tcW w:w="287" w:type="pct"/>
            <w:tcBorders>
              <w:top w:val="nil"/>
              <w:left w:val="nil"/>
              <w:bottom w:val="single" w:sz="4" w:space="0" w:color="auto"/>
              <w:right w:val="single" w:sz="4" w:space="0" w:color="auto"/>
            </w:tcBorders>
            <w:shd w:val="clear" w:color="000000" w:fill="FFFFFF"/>
            <w:noWrap/>
            <w:vAlign w:val="center"/>
            <w:hideMark/>
          </w:tcPr>
          <w:p w14:paraId="54937717"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84C8B17" w14:textId="77777777" w:rsidR="002C6E12" w:rsidRPr="00A52AEE" w:rsidRDefault="002C6E12" w:rsidP="00FE68E8">
            <w:pPr>
              <w:jc w:val="right"/>
              <w:rPr>
                <w:lang w:eastAsia="en-GB"/>
              </w:rPr>
            </w:pPr>
            <w:r w:rsidRPr="00A52AEE">
              <w:rPr>
                <w:lang w:eastAsia="en-GB"/>
              </w:rPr>
              <w:t>325</w:t>
            </w:r>
          </w:p>
        </w:tc>
        <w:tc>
          <w:tcPr>
            <w:tcW w:w="288" w:type="pct"/>
            <w:tcBorders>
              <w:top w:val="nil"/>
              <w:left w:val="nil"/>
              <w:bottom w:val="single" w:sz="4" w:space="0" w:color="auto"/>
              <w:right w:val="single" w:sz="4" w:space="0" w:color="auto"/>
            </w:tcBorders>
            <w:shd w:val="clear" w:color="000000" w:fill="FFFFFF"/>
            <w:noWrap/>
            <w:vAlign w:val="center"/>
            <w:hideMark/>
          </w:tcPr>
          <w:p w14:paraId="6B80D41C"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48561F72" w14:textId="77777777" w:rsidR="002C6E12" w:rsidRPr="00A52AEE" w:rsidRDefault="002C6E12" w:rsidP="00FE68E8">
            <w:pPr>
              <w:jc w:val="right"/>
              <w:rPr>
                <w:lang w:eastAsia="en-GB"/>
              </w:rPr>
            </w:pPr>
            <w:r w:rsidRPr="00A52AEE">
              <w:rPr>
                <w:lang w:eastAsia="en-GB"/>
              </w:rPr>
              <w:t>250</w:t>
            </w:r>
          </w:p>
        </w:tc>
        <w:tc>
          <w:tcPr>
            <w:tcW w:w="287" w:type="pct"/>
            <w:tcBorders>
              <w:top w:val="nil"/>
              <w:left w:val="nil"/>
              <w:bottom w:val="single" w:sz="4" w:space="0" w:color="auto"/>
              <w:right w:val="single" w:sz="4" w:space="0" w:color="auto"/>
            </w:tcBorders>
            <w:shd w:val="clear" w:color="000000" w:fill="FFFFFF"/>
            <w:noWrap/>
            <w:vAlign w:val="center"/>
            <w:hideMark/>
          </w:tcPr>
          <w:p w14:paraId="2B013A32"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9226B93" w14:textId="77777777" w:rsidR="002C6E12" w:rsidRPr="00A52AEE" w:rsidRDefault="002C6E12" w:rsidP="00FE68E8">
            <w:pPr>
              <w:jc w:val="right"/>
              <w:rPr>
                <w:lang w:eastAsia="en-GB"/>
              </w:rPr>
            </w:pPr>
            <w:r w:rsidRPr="00A52AEE">
              <w:rPr>
                <w:lang w:eastAsia="en-GB"/>
              </w:rPr>
              <w:t>225</w:t>
            </w:r>
          </w:p>
        </w:tc>
        <w:tc>
          <w:tcPr>
            <w:tcW w:w="283" w:type="pct"/>
            <w:tcBorders>
              <w:top w:val="nil"/>
              <w:left w:val="nil"/>
              <w:bottom w:val="single" w:sz="4" w:space="0" w:color="auto"/>
              <w:right w:val="single" w:sz="4" w:space="0" w:color="auto"/>
            </w:tcBorders>
            <w:shd w:val="clear" w:color="000000" w:fill="FFFFFF"/>
            <w:noWrap/>
            <w:vAlign w:val="center"/>
            <w:hideMark/>
          </w:tcPr>
          <w:p w14:paraId="6885D751" w14:textId="77777777" w:rsidR="002C6E12" w:rsidRPr="00A52AEE" w:rsidRDefault="002C6E12" w:rsidP="00FE68E8">
            <w:pPr>
              <w:jc w:val="right"/>
              <w:rPr>
                <w:lang w:eastAsia="en-GB"/>
              </w:rPr>
            </w:pPr>
            <w:r w:rsidRPr="00A52AEE">
              <w:rPr>
                <w:lang w:eastAsia="en-GB"/>
              </w:rPr>
              <w:t>0%</w:t>
            </w:r>
          </w:p>
        </w:tc>
      </w:tr>
      <w:tr w:rsidR="00BD5EF5" w:rsidRPr="00A52AEE" w14:paraId="09408F19"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6BFA9E0" w14:textId="5B0681E9" w:rsidR="002C6E12" w:rsidRPr="00855E4A" w:rsidRDefault="00E012DF" w:rsidP="00A52AEE">
            <w:pPr>
              <w:rPr>
                <w:sz w:val="22"/>
                <w:lang w:eastAsia="en-GB"/>
              </w:rPr>
            </w:pPr>
            <w:r w:rsidRPr="00855E4A">
              <w:rPr>
                <w:sz w:val="22"/>
                <w:lang w:eastAsia="en-GB"/>
              </w:rPr>
              <w:t>Tower Hamlets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31E4EB57" w14:textId="77777777" w:rsidR="002C6E12" w:rsidRPr="00A52AEE" w:rsidRDefault="002C6E12" w:rsidP="00FE68E8">
            <w:pPr>
              <w:jc w:val="right"/>
              <w:rPr>
                <w:lang w:eastAsia="en-GB"/>
              </w:rPr>
            </w:pPr>
            <w:r w:rsidRPr="00A52AEE">
              <w:rPr>
                <w:lang w:eastAsia="en-GB"/>
              </w:rPr>
              <w:t>880</w:t>
            </w:r>
          </w:p>
        </w:tc>
        <w:tc>
          <w:tcPr>
            <w:tcW w:w="287" w:type="pct"/>
            <w:tcBorders>
              <w:top w:val="nil"/>
              <w:left w:val="nil"/>
              <w:bottom w:val="single" w:sz="4" w:space="0" w:color="auto"/>
              <w:right w:val="single" w:sz="4" w:space="0" w:color="auto"/>
            </w:tcBorders>
            <w:shd w:val="clear" w:color="000000" w:fill="FFFFFF"/>
            <w:noWrap/>
            <w:vAlign w:val="center"/>
            <w:hideMark/>
          </w:tcPr>
          <w:p w14:paraId="362530EA"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BD23F59" w14:textId="77777777" w:rsidR="002C6E12" w:rsidRPr="00A52AEE" w:rsidRDefault="002C6E12" w:rsidP="00FE68E8">
            <w:pPr>
              <w:jc w:val="right"/>
              <w:rPr>
                <w:lang w:eastAsia="en-GB"/>
              </w:rPr>
            </w:pPr>
            <w:r w:rsidRPr="00A52AEE">
              <w:rPr>
                <w:lang w:eastAsia="en-GB"/>
              </w:rPr>
              <w:t>965</w:t>
            </w:r>
          </w:p>
        </w:tc>
        <w:tc>
          <w:tcPr>
            <w:tcW w:w="287" w:type="pct"/>
            <w:tcBorders>
              <w:top w:val="nil"/>
              <w:left w:val="nil"/>
              <w:bottom w:val="single" w:sz="4" w:space="0" w:color="auto"/>
              <w:right w:val="single" w:sz="4" w:space="0" w:color="auto"/>
            </w:tcBorders>
            <w:shd w:val="clear" w:color="000000" w:fill="FFFFFF"/>
            <w:noWrap/>
            <w:vAlign w:val="center"/>
            <w:hideMark/>
          </w:tcPr>
          <w:p w14:paraId="5BD517F7"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9054862" w14:textId="77777777" w:rsidR="002C6E12" w:rsidRPr="00A52AEE" w:rsidRDefault="002C6E12" w:rsidP="00FE68E8">
            <w:pPr>
              <w:jc w:val="right"/>
              <w:rPr>
                <w:lang w:eastAsia="en-GB"/>
              </w:rPr>
            </w:pPr>
            <w:r w:rsidRPr="00A52AEE">
              <w:rPr>
                <w:lang w:eastAsia="en-GB"/>
              </w:rPr>
              <w:t>910</w:t>
            </w:r>
          </w:p>
        </w:tc>
        <w:tc>
          <w:tcPr>
            <w:tcW w:w="288" w:type="pct"/>
            <w:tcBorders>
              <w:top w:val="nil"/>
              <w:left w:val="nil"/>
              <w:bottom w:val="single" w:sz="4" w:space="0" w:color="auto"/>
              <w:right w:val="single" w:sz="4" w:space="0" w:color="auto"/>
            </w:tcBorders>
            <w:shd w:val="clear" w:color="000000" w:fill="FFFFFF"/>
            <w:noWrap/>
            <w:vAlign w:val="center"/>
            <w:hideMark/>
          </w:tcPr>
          <w:p w14:paraId="7AB68F6B"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8A90870" w14:textId="77777777" w:rsidR="002C6E12" w:rsidRPr="00A52AEE" w:rsidRDefault="002C6E12" w:rsidP="00FE68E8">
            <w:pPr>
              <w:jc w:val="right"/>
              <w:rPr>
                <w:lang w:eastAsia="en-GB"/>
              </w:rPr>
            </w:pPr>
            <w:r w:rsidRPr="00A52AEE">
              <w:rPr>
                <w:lang w:eastAsia="en-GB"/>
              </w:rPr>
              <w:t>980</w:t>
            </w:r>
          </w:p>
        </w:tc>
        <w:tc>
          <w:tcPr>
            <w:tcW w:w="287" w:type="pct"/>
            <w:tcBorders>
              <w:top w:val="nil"/>
              <w:left w:val="nil"/>
              <w:bottom w:val="single" w:sz="4" w:space="0" w:color="auto"/>
              <w:right w:val="single" w:sz="4" w:space="0" w:color="auto"/>
            </w:tcBorders>
            <w:shd w:val="clear" w:color="000000" w:fill="FFFFFF"/>
            <w:noWrap/>
            <w:vAlign w:val="center"/>
            <w:hideMark/>
          </w:tcPr>
          <w:p w14:paraId="17B5813D"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292BBEC1" w14:textId="77777777" w:rsidR="002C6E12" w:rsidRPr="00A52AEE" w:rsidRDefault="002C6E12" w:rsidP="00FE68E8">
            <w:pPr>
              <w:jc w:val="right"/>
              <w:rPr>
                <w:lang w:eastAsia="en-GB"/>
              </w:rPr>
            </w:pPr>
            <w:r w:rsidRPr="00A52AEE">
              <w:rPr>
                <w:lang w:eastAsia="en-GB"/>
              </w:rPr>
              <w:t>895</w:t>
            </w:r>
          </w:p>
        </w:tc>
        <w:tc>
          <w:tcPr>
            <w:tcW w:w="283" w:type="pct"/>
            <w:tcBorders>
              <w:top w:val="nil"/>
              <w:left w:val="nil"/>
              <w:bottom w:val="single" w:sz="4" w:space="0" w:color="auto"/>
              <w:right w:val="single" w:sz="4" w:space="0" w:color="auto"/>
            </w:tcBorders>
            <w:shd w:val="clear" w:color="000000" w:fill="FFFFFF"/>
            <w:noWrap/>
            <w:vAlign w:val="center"/>
            <w:hideMark/>
          </w:tcPr>
          <w:p w14:paraId="0E41B16E" w14:textId="77777777" w:rsidR="002C6E12" w:rsidRPr="00A52AEE" w:rsidRDefault="002C6E12" w:rsidP="00FE68E8">
            <w:pPr>
              <w:jc w:val="right"/>
              <w:rPr>
                <w:lang w:eastAsia="en-GB"/>
              </w:rPr>
            </w:pPr>
            <w:r w:rsidRPr="00A52AEE">
              <w:rPr>
                <w:lang w:eastAsia="en-GB"/>
              </w:rPr>
              <w:t>2%</w:t>
            </w:r>
          </w:p>
        </w:tc>
      </w:tr>
      <w:tr w:rsidR="00BD5EF5" w:rsidRPr="00A52AEE" w14:paraId="73F74B46"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0CBE6629" w14:textId="18CFADDE" w:rsidR="002C6E12" w:rsidRPr="00855E4A" w:rsidRDefault="00E012DF" w:rsidP="00A52AEE">
            <w:pPr>
              <w:rPr>
                <w:sz w:val="22"/>
                <w:lang w:eastAsia="en-GB"/>
              </w:rPr>
            </w:pPr>
            <w:r w:rsidRPr="00855E4A">
              <w:rPr>
                <w:sz w:val="22"/>
                <w:lang w:eastAsia="en-GB"/>
              </w:rPr>
              <w:t>Uxbridge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7F61EF95" w14:textId="77777777" w:rsidR="002C6E12" w:rsidRPr="00A52AEE" w:rsidRDefault="002C6E12" w:rsidP="00FE68E8">
            <w:pPr>
              <w:jc w:val="right"/>
              <w:rPr>
                <w:lang w:eastAsia="en-GB"/>
              </w:rPr>
            </w:pPr>
            <w:r w:rsidRPr="00A52AEE">
              <w:rPr>
                <w:lang w:eastAsia="en-GB"/>
              </w:rPr>
              <w:t>1270</w:t>
            </w:r>
          </w:p>
        </w:tc>
        <w:tc>
          <w:tcPr>
            <w:tcW w:w="287" w:type="pct"/>
            <w:tcBorders>
              <w:top w:val="nil"/>
              <w:left w:val="nil"/>
              <w:bottom w:val="single" w:sz="4" w:space="0" w:color="auto"/>
              <w:right w:val="single" w:sz="4" w:space="0" w:color="auto"/>
            </w:tcBorders>
            <w:shd w:val="clear" w:color="000000" w:fill="FFFFFF"/>
            <w:noWrap/>
            <w:vAlign w:val="center"/>
            <w:hideMark/>
          </w:tcPr>
          <w:p w14:paraId="6B312C46"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587C7117" w14:textId="77777777" w:rsidR="002C6E12" w:rsidRPr="00A52AEE" w:rsidRDefault="002C6E12" w:rsidP="00FE68E8">
            <w:pPr>
              <w:jc w:val="right"/>
              <w:rPr>
                <w:lang w:eastAsia="en-GB"/>
              </w:rPr>
            </w:pPr>
            <w:r w:rsidRPr="00A52AEE">
              <w:rPr>
                <w:lang w:eastAsia="en-GB"/>
              </w:rPr>
              <w:t>1720</w:t>
            </w:r>
          </w:p>
        </w:tc>
        <w:tc>
          <w:tcPr>
            <w:tcW w:w="287" w:type="pct"/>
            <w:tcBorders>
              <w:top w:val="nil"/>
              <w:left w:val="nil"/>
              <w:bottom w:val="single" w:sz="4" w:space="0" w:color="auto"/>
              <w:right w:val="single" w:sz="4" w:space="0" w:color="auto"/>
            </w:tcBorders>
            <w:shd w:val="clear" w:color="000000" w:fill="FFFFFF"/>
            <w:noWrap/>
            <w:vAlign w:val="center"/>
            <w:hideMark/>
          </w:tcPr>
          <w:p w14:paraId="390B5C58"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03E25F69" w14:textId="77777777" w:rsidR="002C6E12" w:rsidRPr="00A52AEE" w:rsidRDefault="002C6E12" w:rsidP="00FE68E8">
            <w:pPr>
              <w:jc w:val="right"/>
              <w:rPr>
                <w:lang w:eastAsia="en-GB"/>
              </w:rPr>
            </w:pPr>
            <w:r w:rsidRPr="00A52AEE">
              <w:rPr>
                <w:lang w:eastAsia="en-GB"/>
              </w:rPr>
              <w:t>1700</w:t>
            </w:r>
          </w:p>
        </w:tc>
        <w:tc>
          <w:tcPr>
            <w:tcW w:w="288" w:type="pct"/>
            <w:tcBorders>
              <w:top w:val="nil"/>
              <w:left w:val="nil"/>
              <w:bottom w:val="single" w:sz="4" w:space="0" w:color="auto"/>
              <w:right w:val="single" w:sz="4" w:space="0" w:color="auto"/>
            </w:tcBorders>
            <w:shd w:val="clear" w:color="000000" w:fill="FFFFFF"/>
            <w:noWrap/>
            <w:vAlign w:val="center"/>
            <w:hideMark/>
          </w:tcPr>
          <w:p w14:paraId="1E72DE8B"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37D03218" w14:textId="77777777" w:rsidR="002C6E12" w:rsidRPr="00A52AEE" w:rsidRDefault="002C6E12" w:rsidP="00FE68E8">
            <w:pPr>
              <w:jc w:val="right"/>
              <w:rPr>
                <w:lang w:eastAsia="en-GB"/>
              </w:rPr>
            </w:pPr>
            <w:r w:rsidRPr="00A52AEE">
              <w:rPr>
                <w:lang w:eastAsia="en-GB"/>
              </w:rPr>
              <w:t>1700</w:t>
            </w:r>
          </w:p>
        </w:tc>
        <w:tc>
          <w:tcPr>
            <w:tcW w:w="287" w:type="pct"/>
            <w:tcBorders>
              <w:top w:val="nil"/>
              <w:left w:val="nil"/>
              <w:bottom w:val="single" w:sz="4" w:space="0" w:color="auto"/>
              <w:right w:val="single" w:sz="4" w:space="0" w:color="auto"/>
            </w:tcBorders>
            <w:shd w:val="clear" w:color="000000" w:fill="FFFFFF"/>
            <w:noWrap/>
            <w:vAlign w:val="center"/>
            <w:hideMark/>
          </w:tcPr>
          <w:p w14:paraId="491E9404" w14:textId="77777777" w:rsidR="002C6E12" w:rsidRPr="00A52AEE" w:rsidRDefault="002C6E12"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noWrap/>
            <w:vAlign w:val="center"/>
            <w:hideMark/>
          </w:tcPr>
          <w:p w14:paraId="35213A5D" w14:textId="77777777" w:rsidR="002C6E12" w:rsidRPr="00A52AEE" w:rsidRDefault="002C6E12" w:rsidP="00FE68E8">
            <w:pPr>
              <w:jc w:val="right"/>
              <w:rPr>
                <w:lang w:eastAsia="en-GB"/>
              </w:rPr>
            </w:pPr>
            <w:r w:rsidRPr="00A52AEE">
              <w:rPr>
                <w:lang w:eastAsia="en-GB"/>
              </w:rPr>
              <w:t>1405</w:t>
            </w:r>
          </w:p>
        </w:tc>
        <w:tc>
          <w:tcPr>
            <w:tcW w:w="283" w:type="pct"/>
            <w:tcBorders>
              <w:top w:val="nil"/>
              <w:left w:val="nil"/>
              <w:bottom w:val="single" w:sz="4" w:space="0" w:color="auto"/>
              <w:right w:val="single" w:sz="4" w:space="0" w:color="auto"/>
            </w:tcBorders>
            <w:shd w:val="clear" w:color="000000" w:fill="FFFFFF"/>
            <w:noWrap/>
            <w:vAlign w:val="center"/>
            <w:hideMark/>
          </w:tcPr>
          <w:p w14:paraId="56C8E49D" w14:textId="77777777" w:rsidR="002C6E12" w:rsidRPr="00A52AEE" w:rsidRDefault="002C6E12" w:rsidP="00FE68E8">
            <w:pPr>
              <w:jc w:val="right"/>
              <w:rPr>
                <w:lang w:eastAsia="en-GB"/>
              </w:rPr>
            </w:pPr>
            <w:r w:rsidRPr="00A52AEE">
              <w:rPr>
                <w:lang w:eastAsia="en-GB"/>
              </w:rPr>
              <w:t>3%</w:t>
            </w:r>
          </w:p>
        </w:tc>
      </w:tr>
      <w:tr w:rsidR="00BD5EF5" w:rsidRPr="00A52AEE" w14:paraId="27519478"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10FC060" w14:textId="2D68354A" w:rsidR="002C6E12" w:rsidRPr="00855E4A" w:rsidRDefault="00E012DF" w:rsidP="00A52AEE">
            <w:pPr>
              <w:rPr>
                <w:sz w:val="22"/>
                <w:lang w:eastAsia="en-GB"/>
              </w:rPr>
            </w:pPr>
            <w:r w:rsidRPr="00855E4A">
              <w:rPr>
                <w:sz w:val="22"/>
                <w:lang w:eastAsia="en-GB"/>
              </w:rPr>
              <w:t>Waltham Forest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4541E23" w14:textId="77777777" w:rsidR="002C6E12" w:rsidRPr="00A52AEE" w:rsidRDefault="002C6E12" w:rsidP="00FE68E8">
            <w:pPr>
              <w:jc w:val="right"/>
              <w:rPr>
                <w:lang w:eastAsia="en-GB"/>
              </w:rPr>
            </w:pPr>
            <w:r w:rsidRPr="00A52AEE">
              <w:rPr>
                <w:lang w:eastAsia="en-GB"/>
              </w:rPr>
              <w:t>790</w:t>
            </w:r>
          </w:p>
        </w:tc>
        <w:tc>
          <w:tcPr>
            <w:tcW w:w="287" w:type="pct"/>
            <w:tcBorders>
              <w:top w:val="nil"/>
              <w:left w:val="nil"/>
              <w:bottom w:val="single" w:sz="4" w:space="0" w:color="auto"/>
              <w:right w:val="single" w:sz="4" w:space="0" w:color="auto"/>
            </w:tcBorders>
            <w:shd w:val="clear" w:color="000000" w:fill="FFFFFF"/>
            <w:noWrap/>
            <w:vAlign w:val="center"/>
            <w:hideMark/>
          </w:tcPr>
          <w:p w14:paraId="2A14D08D"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7B916EA9" w14:textId="77777777" w:rsidR="002C6E12" w:rsidRPr="00A52AEE" w:rsidRDefault="002C6E12" w:rsidP="00FE68E8">
            <w:pPr>
              <w:jc w:val="right"/>
              <w:rPr>
                <w:lang w:eastAsia="en-GB"/>
              </w:rPr>
            </w:pPr>
            <w:r w:rsidRPr="00A52AEE">
              <w:rPr>
                <w:lang w:eastAsia="en-GB"/>
              </w:rPr>
              <w:t>1010</w:t>
            </w:r>
          </w:p>
        </w:tc>
        <w:tc>
          <w:tcPr>
            <w:tcW w:w="287" w:type="pct"/>
            <w:tcBorders>
              <w:top w:val="nil"/>
              <w:left w:val="nil"/>
              <w:bottom w:val="single" w:sz="4" w:space="0" w:color="auto"/>
              <w:right w:val="single" w:sz="4" w:space="0" w:color="auto"/>
            </w:tcBorders>
            <w:shd w:val="clear" w:color="000000" w:fill="FFFFFF"/>
            <w:noWrap/>
            <w:vAlign w:val="center"/>
            <w:hideMark/>
          </w:tcPr>
          <w:p w14:paraId="154F4780"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D76C7F4" w14:textId="77777777" w:rsidR="002C6E12" w:rsidRPr="00A52AEE" w:rsidRDefault="002C6E12" w:rsidP="00FE68E8">
            <w:pPr>
              <w:jc w:val="right"/>
              <w:rPr>
                <w:lang w:eastAsia="en-GB"/>
              </w:rPr>
            </w:pPr>
            <w:r w:rsidRPr="00A52AEE">
              <w:rPr>
                <w:lang w:eastAsia="en-GB"/>
              </w:rPr>
              <w:t>880</w:t>
            </w:r>
          </w:p>
        </w:tc>
        <w:tc>
          <w:tcPr>
            <w:tcW w:w="288" w:type="pct"/>
            <w:tcBorders>
              <w:top w:val="nil"/>
              <w:left w:val="nil"/>
              <w:bottom w:val="single" w:sz="4" w:space="0" w:color="auto"/>
              <w:right w:val="single" w:sz="4" w:space="0" w:color="auto"/>
            </w:tcBorders>
            <w:shd w:val="clear" w:color="000000" w:fill="FFFFFF"/>
            <w:noWrap/>
            <w:vAlign w:val="center"/>
            <w:hideMark/>
          </w:tcPr>
          <w:p w14:paraId="70E195EF"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1941D7CE" w14:textId="77777777" w:rsidR="002C6E12" w:rsidRPr="00A52AEE" w:rsidRDefault="002C6E12" w:rsidP="00FE68E8">
            <w:pPr>
              <w:jc w:val="right"/>
              <w:rPr>
                <w:lang w:eastAsia="en-GB"/>
              </w:rPr>
            </w:pPr>
            <w:r w:rsidRPr="00A52AEE">
              <w:rPr>
                <w:lang w:eastAsia="en-GB"/>
              </w:rPr>
              <w:t>845</w:t>
            </w:r>
          </w:p>
        </w:tc>
        <w:tc>
          <w:tcPr>
            <w:tcW w:w="287" w:type="pct"/>
            <w:tcBorders>
              <w:top w:val="nil"/>
              <w:left w:val="nil"/>
              <w:bottom w:val="single" w:sz="4" w:space="0" w:color="auto"/>
              <w:right w:val="single" w:sz="4" w:space="0" w:color="auto"/>
            </w:tcBorders>
            <w:shd w:val="clear" w:color="000000" w:fill="FFFFFF"/>
            <w:noWrap/>
            <w:vAlign w:val="center"/>
            <w:hideMark/>
          </w:tcPr>
          <w:p w14:paraId="0E00B58F"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4C41D982" w14:textId="77777777" w:rsidR="002C6E12" w:rsidRPr="00A52AEE" w:rsidRDefault="002C6E12" w:rsidP="00FE68E8">
            <w:pPr>
              <w:jc w:val="right"/>
              <w:rPr>
                <w:lang w:eastAsia="en-GB"/>
              </w:rPr>
            </w:pPr>
            <w:r w:rsidRPr="00A52AEE">
              <w:rPr>
                <w:lang w:eastAsia="en-GB"/>
              </w:rPr>
              <w:t>1020</w:t>
            </w:r>
          </w:p>
        </w:tc>
        <w:tc>
          <w:tcPr>
            <w:tcW w:w="283" w:type="pct"/>
            <w:tcBorders>
              <w:top w:val="nil"/>
              <w:left w:val="nil"/>
              <w:bottom w:val="single" w:sz="4" w:space="0" w:color="auto"/>
              <w:right w:val="single" w:sz="4" w:space="0" w:color="auto"/>
            </w:tcBorders>
            <w:shd w:val="clear" w:color="000000" w:fill="FFFFFF"/>
            <w:noWrap/>
            <w:vAlign w:val="center"/>
            <w:hideMark/>
          </w:tcPr>
          <w:p w14:paraId="154230AA" w14:textId="77777777" w:rsidR="002C6E12" w:rsidRPr="00A52AEE" w:rsidRDefault="002C6E12" w:rsidP="00FE68E8">
            <w:pPr>
              <w:jc w:val="right"/>
              <w:rPr>
                <w:lang w:eastAsia="en-GB"/>
              </w:rPr>
            </w:pPr>
            <w:r w:rsidRPr="00A52AEE">
              <w:rPr>
                <w:lang w:eastAsia="en-GB"/>
              </w:rPr>
              <w:t>2%</w:t>
            </w:r>
          </w:p>
        </w:tc>
      </w:tr>
      <w:tr w:rsidR="00BD5EF5" w:rsidRPr="00A52AEE" w14:paraId="305FFF81"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FB98799" w14:textId="221F8FDD" w:rsidR="002C6E12" w:rsidRPr="00855E4A" w:rsidRDefault="00E012DF" w:rsidP="00A52AEE">
            <w:pPr>
              <w:rPr>
                <w:sz w:val="22"/>
                <w:lang w:eastAsia="en-GB"/>
              </w:rPr>
            </w:pPr>
            <w:r w:rsidRPr="00855E4A">
              <w:rPr>
                <w:sz w:val="22"/>
                <w:lang w:eastAsia="en-GB"/>
              </w:rPr>
              <w:t>West Thames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0B93E7C7" w14:textId="77777777" w:rsidR="002C6E12" w:rsidRPr="00A52AEE" w:rsidRDefault="002C6E12" w:rsidP="00FE68E8">
            <w:pPr>
              <w:jc w:val="right"/>
              <w:rPr>
                <w:lang w:eastAsia="en-GB"/>
              </w:rPr>
            </w:pPr>
            <w:r w:rsidRPr="00A52AEE">
              <w:rPr>
                <w:lang w:eastAsia="en-GB"/>
              </w:rPr>
              <w:t>605</w:t>
            </w:r>
          </w:p>
        </w:tc>
        <w:tc>
          <w:tcPr>
            <w:tcW w:w="287" w:type="pct"/>
            <w:tcBorders>
              <w:top w:val="nil"/>
              <w:left w:val="nil"/>
              <w:bottom w:val="single" w:sz="4" w:space="0" w:color="auto"/>
              <w:right w:val="single" w:sz="4" w:space="0" w:color="auto"/>
            </w:tcBorders>
            <w:shd w:val="clear" w:color="000000" w:fill="FFFFFF"/>
            <w:noWrap/>
            <w:vAlign w:val="center"/>
            <w:hideMark/>
          </w:tcPr>
          <w:p w14:paraId="442F860C"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6E366282" w14:textId="77777777" w:rsidR="002C6E12" w:rsidRPr="00A52AEE" w:rsidRDefault="002C6E12" w:rsidP="00FE68E8">
            <w:pPr>
              <w:jc w:val="right"/>
              <w:rPr>
                <w:lang w:eastAsia="en-GB"/>
              </w:rPr>
            </w:pPr>
            <w:r w:rsidRPr="00A52AEE">
              <w:rPr>
                <w:lang w:eastAsia="en-GB"/>
              </w:rPr>
              <w:t>575</w:t>
            </w:r>
          </w:p>
        </w:tc>
        <w:tc>
          <w:tcPr>
            <w:tcW w:w="287" w:type="pct"/>
            <w:tcBorders>
              <w:top w:val="nil"/>
              <w:left w:val="nil"/>
              <w:bottom w:val="single" w:sz="4" w:space="0" w:color="auto"/>
              <w:right w:val="single" w:sz="4" w:space="0" w:color="auto"/>
            </w:tcBorders>
            <w:shd w:val="clear" w:color="000000" w:fill="FFFFFF"/>
            <w:noWrap/>
            <w:vAlign w:val="center"/>
            <w:hideMark/>
          </w:tcPr>
          <w:p w14:paraId="376E0180"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123C511D" w14:textId="77777777" w:rsidR="002C6E12" w:rsidRPr="00A52AEE" w:rsidRDefault="002C6E12" w:rsidP="00FE68E8">
            <w:pPr>
              <w:jc w:val="right"/>
              <w:rPr>
                <w:lang w:eastAsia="en-GB"/>
              </w:rPr>
            </w:pPr>
            <w:r w:rsidRPr="00A52AEE">
              <w:rPr>
                <w:lang w:eastAsia="en-GB"/>
              </w:rPr>
              <w:t>755</w:t>
            </w:r>
          </w:p>
        </w:tc>
        <w:tc>
          <w:tcPr>
            <w:tcW w:w="288" w:type="pct"/>
            <w:tcBorders>
              <w:top w:val="nil"/>
              <w:left w:val="nil"/>
              <w:bottom w:val="single" w:sz="4" w:space="0" w:color="auto"/>
              <w:right w:val="single" w:sz="4" w:space="0" w:color="auto"/>
            </w:tcBorders>
            <w:shd w:val="clear" w:color="000000" w:fill="FFFFFF"/>
            <w:noWrap/>
            <w:vAlign w:val="center"/>
            <w:hideMark/>
          </w:tcPr>
          <w:p w14:paraId="2F006F32" w14:textId="77777777" w:rsidR="002C6E12" w:rsidRPr="00A52AEE" w:rsidRDefault="002C6E12"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noWrap/>
            <w:vAlign w:val="center"/>
            <w:hideMark/>
          </w:tcPr>
          <w:p w14:paraId="3EB6AAB4" w14:textId="77777777" w:rsidR="002C6E12" w:rsidRPr="00A52AEE" w:rsidRDefault="002C6E12" w:rsidP="00FE68E8">
            <w:pPr>
              <w:jc w:val="right"/>
              <w:rPr>
                <w:lang w:eastAsia="en-GB"/>
              </w:rPr>
            </w:pPr>
            <w:r w:rsidRPr="00A52AEE">
              <w:rPr>
                <w:lang w:eastAsia="en-GB"/>
              </w:rPr>
              <w:t>640</w:t>
            </w:r>
          </w:p>
        </w:tc>
        <w:tc>
          <w:tcPr>
            <w:tcW w:w="287" w:type="pct"/>
            <w:tcBorders>
              <w:top w:val="nil"/>
              <w:left w:val="nil"/>
              <w:bottom w:val="single" w:sz="4" w:space="0" w:color="auto"/>
              <w:right w:val="single" w:sz="4" w:space="0" w:color="auto"/>
            </w:tcBorders>
            <w:shd w:val="clear" w:color="000000" w:fill="FFFFFF"/>
            <w:noWrap/>
            <w:vAlign w:val="center"/>
            <w:hideMark/>
          </w:tcPr>
          <w:p w14:paraId="00BF978E"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125E618" w14:textId="77777777" w:rsidR="002C6E12" w:rsidRPr="00A52AEE" w:rsidRDefault="002C6E12" w:rsidP="00FE68E8">
            <w:pPr>
              <w:jc w:val="right"/>
              <w:rPr>
                <w:lang w:eastAsia="en-GB"/>
              </w:rPr>
            </w:pPr>
            <w:r w:rsidRPr="00A52AEE">
              <w:rPr>
                <w:lang w:eastAsia="en-GB"/>
              </w:rPr>
              <w:t>1090</w:t>
            </w:r>
          </w:p>
        </w:tc>
        <w:tc>
          <w:tcPr>
            <w:tcW w:w="283" w:type="pct"/>
            <w:tcBorders>
              <w:top w:val="nil"/>
              <w:left w:val="nil"/>
              <w:bottom w:val="single" w:sz="4" w:space="0" w:color="auto"/>
              <w:right w:val="single" w:sz="4" w:space="0" w:color="auto"/>
            </w:tcBorders>
            <w:shd w:val="clear" w:color="000000" w:fill="FFFFFF"/>
            <w:noWrap/>
            <w:vAlign w:val="center"/>
            <w:hideMark/>
          </w:tcPr>
          <w:p w14:paraId="35F919D0" w14:textId="77777777" w:rsidR="002C6E12" w:rsidRPr="00A52AEE" w:rsidRDefault="002C6E12" w:rsidP="00FE68E8">
            <w:pPr>
              <w:jc w:val="right"/>
              <w:rPr>
                <w:lang w:eastAsia="en-GB"/>
              </w:rPr>
            </w:pPr>
            <w:r w:rsidRPr="00A52AEE">
              <w:rPr>
                <w:lang w:eastAsia="en-GB"/>
              </w:rPr>
              <w:t>2%</w:t>
            </w:r>
          </w:p>
        </w:tc>
      </w:tr>
      <w:tr w:rsidR="00BD5EF5" w:rsidRPr="00A52AEE" w14:paraId="56374515"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6DD9C184" w14:textId="121228CA" w:rsidR="002C6E12" w:rsidRPr="00855E4A" w:rsidRDefault="00E012DF" w:rsidP="00A52AEE">
            <w:pPr>
              <w:rPr>
                <w:sz w:val="22"/>
                <w:lang w:eastAsia="en-GB"/>
              </w:rPr>
            </w:pPr>
            <w:r w:rsidRPr="00855E4A">
              <w:rPr>
                <w:sz w:val="22"/>
                <w:lang w:eastAsia="en-GB"/>
              </w:rPr>
              <w:t>Westminster Kingsway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55E1D3FF" w14:textId="77777777" w:rsidR="002C6E12" w:rsidRPr="00A52AEE" w:rsidRDefault="002C6E12" w:rsidP="00FE68E8">
            <w:pPr>
              <w:jc w:val="right"/>
              <w:rPr>
                <w:lang w:eastAsia="en-GB"/>
              </w:rPr>
            </w:pPr>
            <w:r w:rsidRPr="00A52AEE">
              <w:rPr>
                <w:lang w:eastAsia="en-GB"/>
              </w:rPr>
              <w:t>1340</w:t>
            </w:r>
          </w:p>
        </w:tc>
        <w:tc>
          <w:tcPr>
            <w:tcW w:w="287" w:type="pct"/>
            <w:tcBorders>
              <w:top w:val="nil"/>
              <w:left w:val="nil"/>
              <w:bottom w:val="single" w:sz="4" w:space="0" w:color="auto"/>
              <w:right w:val="single" w:sz="4" w:space="0" w:color="auto"/>
            </w:tcBorders>
            <w:shd w:val="clear" w:color="000000" w:fill="FFFFFF"/>
            <w:noWrap/>
            <w:vAlign w:val="center"/>
            <w:hideMark/>
          </w:tcPr>
          <w:p w14:paraId="538EBEF8"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26410810" w14:textId="77777777" w:rsidR="002C6E12" w:rsidRPr="00A52AEE" w:rsidRDefault="002C6E12" w:rsidP="00FE68E8">
            <w:pPr>
              <w:jc w:val="right"/>
              <w:rPr>
                <w:lang w:eastAsia="en-GB"/>
              </w:rPr>
            </w:pPr>
            <w:r w:rsidRPr="00A52AEE">
              <w:rPr>
                <w:lang w:eastAsia="en-GB"/>
              </w:rPr>
              <w:t>1350</w:t>
            </w:r>
          </w:p>
        </w:tc>
        <w:tc>
          <w:tcPr>
            <w:tcW w:w="287" w:type="pct"/>
            <w:tcBorders>
              <w:top w:val="nil"/>
              <w:left w:val="nil"/>
              <w:bottom w:val="single" w:sz="4" w:space="0" w:color="auto"/>
              <w:right w:val="single" w:sz="4" w:space="0" w:color="auto"/>
            </w:tcBorders>
            <w:shd w:val="clear" w:color="000000" w:fill="FFFFFF"/>
            <w:noWrap/>
            <w:vAlign w:val="center"/>
            <w:hideMark/>
          </w:tcPr>
          <w:p w14:paraId="27DF0ABB"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32AB7543" w14:textId="77777777" w:rsidR="002C6E12" w:rsidRPr="00A52AEE" w:rsidRDefault="002C6E12" w:rsidP="00FE68E8">
            <w:pPr>
              <w:jc w:val="right"/>
              <w:rPr>
                <w:lang w:eastAsia="en-GB"/>
              </w:rPr>
            </w:pPr>
            <w:r w:rsidRPr="00A52AEE">
              <w:rPr>
                <w:lang w:eastAsia="en-GB"/>
              </w:rPr>
              <w:t>1560</w:t>
            </w:r>
          </w:p>
        </w:tc>
        <w:tc>
          <w:tcPr>
            <w:tcW w:w="288" w:type="pct"/>
            <w:tcBorders>
              <w:top w:val="nil"/>
              <w:left w:val="nil"/>
              <w:bottom w:val="single" w:sz="4" w:space="0" w:color="auto"/>
              <w:right w:val="single" w:sz="4" w:space="0" w:color="auto"/>
            </w:tcBorders>
            <w:shd w:val="clear" w:color="000000" w:fill="FFFFFF"/>
            <w:noWrap/>
            <w:vAlign w:val="center"/>
            <w:hideMark/>
          </w:tcPr>
          <w:p w14:paraId="76BE5032"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7E178B97" w14:textId="77777777" w:rsidR="002C6E12" w:rsidRPr="00A52AEE" w:rsidRDefault="002C6E12" w:rsidP="00FE68E8">
            <w:pPr>
              <w:jc w:val="right"/>
              <w:rPr>
                <w:lang w:eastAsia="en-GB"/>
              </w:rPr>
            </w:pPr>
            <w:r w:rsidRPr="00A52AEE">
              <w:rPr>
                <w:lang w:eastAsia="en-GB"/>
              </w:rPr>
              <w:t>1415</w:t>
            </w:r>
          </w:p>
        </w:tc>
        <w:tc>
          <w:tcPr>
            <w:tcW w:w="287" w:type="pct"/>
            <w:tcBorders>
              <w:top w:val="nil"/>
              <w:left w:val="nil"/>
              <w:bottom w:val="single" w:sz="4" w:space="0" w:color="auto"/>
              <w:right w:val="single" w:sz="4" w:space="0" w:color="auto"/>
            </w:tcBorders>
            <w:shd w:val="clear" w:color="000000" w:fill="FFFFFF"/>
            <w:noWrap/>
            <w:vAlign w:val="center"/>
            <w:hideMark/>
          </w:tcPr>
          <w:p w14:paraId="685322C1" w14:textId="77777777" w:rsidR="002C6E12" w:rsidRPr="00A52AEE" w:rsidRDefault="002C6E12"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noWrap/>
            <w:vAlign w:val="center"/>
            <w:hideMark/>
          </w:tcPr>
          <w:p w14:paraId="58692C8A" w14:textId="77777777" w:rsidR="002C6E12" w:rsidRPr="00A52AEE" w:rsidRDefault="002C6E12" w:rsidP="00FE68E8">
            <w:pPr>
              <w:jc w:val="right"/>
              <w:rPr>
                <w:lang w:eastAsia="en-GB"/>
              </w:rPr>
            </w:pPr>
            <w:r w:rsidRPr="00A52AEE">
              <w:rPr>
                <w:lang w:eastAsia="en-GB"/>
              </w:rPr>
              <w:t>2070</w:t>
            </w:r>
          </w:p>
        </w:tc>
        <w:tc>
          <w:tcPr>
            <w:tcW w:w="283" w:type="pct"/>
            <w:tcBorders>
              <w:top w:val="nil"/>
              <w:left w:val="nil"/>
              <w:bottom w:val="single" w:sz="4" w:space="0" w:color="auto"/>
              <w:right w:val="single" w:sz="4" w:space="0" w:color="auto"/>
            </w:tcBorders>
            <w:shd w:val="clear" w:color="000000" w:fill="FFFFFF"/>
            <w:noWrap/>
            <w:vAlign w:val="center"/>
            <w:hideMark/>
          </w:tcPr>
          <w:p w14:paraId="55DE8F96" w14:textId="77777777" w:rsidR="002C6E12" w:rsidRPr="00A52AEE" w:rsidRDefault="002C6E12" w:rsidP="00FE68E8">
            <w:pPr>
              <w:jc w:val="right"/>
              <w:rPr>
                <w:lang w:eastAsia="en-GB"/>
              </w:rPr>
            </w:pPr>
            <w:r w:rsidRPr="00A52AEE">
              <w:rPr>
                <w:lang w:eastAsia="en-GB"/>
              </w:rPr>
              <w:t>4%</w:t>
            </w:r>
          </w:p>
        </w:tc>
      </w:tr>
      <w:tr w:rsidR="00BD5EF5" w:rsidRPr="00A52AEE" w14:paraId="015020CA"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21621D6F" w14:textId="4A0D0D79" w:rsidR="002C6E12" w:rsidRPr="00855E4A" w:rsidRDefault="00E012DF" w:rsidP="00A52AEE">
            <w:pPr>
              <w:rPr>
                <w:sz w:val="22"/>
                <w:lang w:eastAsia="en-GB"/>
              </w:rPr>
            </w:pPr>
            <w:r w:rsidRPr="00855E4A">
              <w:rPr>
                <w:sz w:val="22"/>
                <w:lang w:eastAsia="en-GB"/>
              </w:rPr>
              <w:t>Woodhouse College</w:t>
            </w:r>
          </w:p>
        </w:tc>
        <w:tc>
          <w:tcPr>
            <w:tcW w:w="430" w:type="pct"/>
            <w:tcBorders>
              <w:top w:val="nil"/>
              <w:left w:val="nil"/>
              <w:bottom w:val="single" w:sz="4" w:space="0" w:color="auto"/>
              <w:right w:val="single" w:sz="4" w:space="0" w:color="auto"/>
            </w:tcBorders>
            <w:shd w:val="clear" w:color="000000" w:fill="FFFFFF"/>
            <w:noWrap/>
            <w:vAlign w:val="center"/>
            <w:hideMark/>
          </w:tcPr>
          <w:p w14:paraId="4C0FE6E4" w14:textId="77777777" w:rsidR="002C6E12" w:rsidRPr="00A52AEE" w:rsidRDefault="002C6E12" w:rsidP="00FE68E8">
            <w:pPr>
              <w:jc w:val="right"/>
              <w:rPr>
                <w:lang w:eastAsia="en-GB"/>
              </w:rPr>
            </w:pPr>
            <w:r w:rsidRPr="00A52AEE">
              <w:rPr>
                <w:lang w:eastAsia="en-GB"/>
              </w:rPr>
              <w:t>555</w:t>
            </w:r>
          </w:p>
        </w:tc>
        <w:tc>
          <w:tcPr>
            <w:tcW w:w="287" w:type="pct"/>
            <w:tcBorders>
              <w:top w:val="nil"/>
              <w:left w:val="nil"/>
              <w:bottom w:val="single" w:sz="4" w:space="0" w:color="auto"/>
              <w:right w:val="single" w:sz="4" w:space="0" w:color="auto"/>
            </w:tcBorders>
            <w:shd w:val="clear" w:color="000000" w:fill="FFFFFF"/>
            <w:noWrap/>
            <w:vAlign w:val="center"/>
            <w:hideMark/>
          </w:tcPr>
          <w:p w14:paraId="1919A22E"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76F8107" w14:textId="77777777" w:rsidR="002C6E12" w:rsidRPr="00A52AEE" w:rsidRDefault="002C6E12" w:rsidP="00FE68E8">
            <w:pPr>
              <w:jc w:val="right"/>
              <w:rPr>
                <w:lang w:eastAsia="en-GB"/>
              </w:rPr>
            </w:pPr>
            <w:r w:rsidRPr="00A52AEE">
              <w:rPr>
                <w:lang w:eastAsia="en-GB"/>
              </w:rPr>
              <w:t>650</w:t>
            </w:r>
          </w:p>
        </w:tc>
        <w:tc>
          <w:tcPr>
            <w:tcW w:w="287" w:type="pct"/>
            <w:tcBorders>
              <w:top w:val="nil"/>
              <w:left w:val="nil"/>
              <w:bottom w:val="single" w:sz="4" w:space="0" w:color="auto"/>
              <w:right w:val="single" w:sz="4" w:space="0" w:color="auto"/>
            </w:tcBorders>
            <w:shd w:val="clear" w:color="000000" w:fill="FFFFFF"/>
            <w:noWrap/>
            <w:vAlign w:val="center"/>
            <w:hideMark/>
          </w:tcPr>
          <w:p w14:paraId="5BB59380"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5FE88AE9" w14:textId="77777777" w:rsidR="002C6E12" w:rsidRPr="00A52AEE" w:rsidRDefault="002C6E12" w:rsidP="00FE68E8">
            <w:pPr>
              <w:jc w:val="right"/>
              <w:rPr>
                <w:lang w:eastAsia="en-GB"/>
              </w:rPr>
            </w:pPr>
            <w:r w:rsidRPr="00A52AEE">
              <w:rPr>
                <w:lang w:eastAsia="en-GB"/>
              </w:rPr>
              <w:t>580</w:t>
            </w:r>
          </w:p>
        </w:tc>
        <w:tc>
          <w:tcPr>
            <w:tcW w:w="288" w:type="pct"/>
            <w:tcBorders>
              <w:top w:val="nil"/>
              <w:left w:val="nil"/>
              <w:bottom w:val="single" w:sz="4" w:space="0" w:color="auto"/>
              <w:right w:val="single" w:sz="4" w:space="0" w:color="auto"/>
            </w:tcBorders>
            <w:shd w:val="clear" w:color="000000" w:fill="FFFFFF"/>
            <w:noWrap/>
            <w:vAlign w:val="center"/>
            <w:hideMark/>
          </w:tcPr>
          <w:p w14:paraId="7725FEAF"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07A86AF3" w14:textId="77777777" w:rsidR="002C6E12" w:rsidRPr="00A52AEE" w:rsidRDefault="002C6E12" w:rsidP="00FE68E8">
            <w:pPr>
              <w:jc w:val="right"/>
              <w:rPr>
                <w:lang w:eastAsia="en-GB"/>
              </w:rPr>
            </w:pPr>
            <w:r w:rsidRPr="00A52AEE">
              <w:rPr>
                <w:lang w:eastAsia="en-GB"/>
              </w:rPr>
              <w:t>635</w:t>
            </w:r>
          </w:p>
        </w:tc>
        <w:tc>
          <w:tcPr>
            <w:tcW w:w="287" w:type="pct"/>
            <w:tcBorders>
              <w:top w:val="nil"/>
              <w:left w:val="nil"/>
              <w:bottom w:val="single" w:sz="4" w:space="0" w:color="auto"/>
              <w:right w:val="single" w:sz="4" w:space="0" w:color="auto"/>
            </w:tcBorders>
            <w:shd w:val="clear" w:color="000000" w:fill="FFFFFF"/>
            <w:noWrap/>
            <w:vAlign w:val="center"/>
            <w:hideMark/>
          </w:tcPr>
          <w:p w14:paraId="631BAAFE" w14:textId="77777777" w:rsidR="002C6E12" w:rsidRPr="00A52AEE" w:rsidRDefault="002C6E12"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noWrap/>
            <w:vAlign w:val="center"/>
            <w:hideMark/>
          </w:tcPr>
          <w:p w14:paraId="377BAD63" w14:textId="77777777" w:rsidR="002C6E12" w:rsidRPr="00A52AEE" w:rsidRDefault="002C6E12" w:rsidP="00FE68E8">
            <w:pPr>
              <w:jc w:val="right"/>
              <w:rPr>
                <w:lang w:eastAsia="en-GB"/>
              </w:rPr>
            </w:pPr>
            <w:r w:rsidRPr="00A52AEE">
              <w:rPr>
                <w:lang w:eastAsia="en-GB"/>
              </w:rPr>
              <w:t>605</w:t>
            </w:r>
          </w:p>
        </w:tc>
        <w:tc>
          <w:tcPr>
            <w:tcW w:w="283" w:type="pct"/>
            <w:tcBorders>
              <w:top w:val="nil"/>
              <w:left w:val="nil"/>
              <w:bottom w:val="single" w:sz="4" w:space="0" w:color="auto"/>
              <w:right w:val="single" w:sz="4" w:space="0" w:color="auto"/>
            </w:tcBorders>
            <w:shd w:val="clear" w:color="000000" w:fill="FFFFFF"/>
            <w:noWrap/>
            <w:vAlign w:val="center"/>
            <w:hideMark/>
          </w:tcPr>
          <w:p w14:paraId="1EB78403" w14:textId="77777777" w:rsidR="002C6E12" w:rsidRPr="00A52AEE" w:rsidRDefault="002C6E12" w:rsidP="00FE68E8">
            <w:pPr>
              <w:jc w:val="right"/>
              <w:rPr>
                <w:lang w:eastAsia="en-GB"/>
              </w:rPr>
            </w:pPr>
            <w:r w:rsidRPr="00A52AEE">
              <w:rPr>
                <w:lang w:eastAsia="en-GB"/>
              </w:rPr>
              <w:t>1%</w:t>
            </w:r>
          </w:p>
        </w:tc>
      </w:tr>
      <w:tr w:rsidR="00BD5EF5" w:rsidRPr="00A52AEE" w14:paraId="1345C097"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A06939C" w14:textId="4F99B0BA" w:rsidR="002C6E12" w:rsidRPr="00855E4A" w:rsidRDefault="00E012DF" w:rsidP="00A52AEE">
            <w:pPr>
              <w:rPr>
                <w:sz w:val="22"/>
                <w:lang w:eastAsia="en-GB"/>
              </w:rPr>
            </w:pPr>
            <w:r w:rsidRPr="00855E4A">
              <w:rPr>
                <w:sz w:val="22"/>
                <w:lang w:eastAsia="en-GB"/>
              </w:rPr>
              <w:t xml:space="preserve">Working Men's College </w:t>
            </w:r>
          </w:p>
        </w:tc>
        <w:tc>
          <w:tcPr>
            <w:tcW w:w="430" w:type="pct"/>
            <w:tcBorders>
              <w:top w:val="nil"/>
              <w:left w:val="nil"/>
              <w:bottom w:val="single" w:sz="4" w:space="0" w:color="auto"/>
              <w:right w:val="single" w:sz="4" w:space="0" w:color="auto"/>
            </w:tcBorders>
            <w:shd w:val="clear" w:color="000000" w:fill="FFFFFF"/>
            <w:noWrap/>
            <w:vAlign w:val="center"/>
            <w:hideMark/>
          </w:tcPr>
          <w:p w14:paraId="6959CAA5" w14:textId="77777777" w:rsidR="002C6E12" w:rsidRPr="00A52AEE" w:rsidRDefault="002C6E12" w:rsidP="00FE68E8">
            <w:pPr>
              <w:jc w:val="right"/>
              <w:rPr>
                <w:lang w:eastAsia="en-GB"/>
              </w:rPr>
            </w:pPr>
            <w:r w:rsidRPr="00A52AEE">
              <w:rPr>
                <w:lang w:eastAsia="en-GB"/>
              </w:rPr>
              <w:t>100</w:t>
            </w:r>
          </w:p>
        </w:tc>
        <w:tc>
          <w:tcPr>
            <w:tcW w:w="287" w:type="pct"/>
            <w:tcBorders>
              <w:top w:val="nil"/>
              <w:left w:val="nil"/>
              <w:bottom w:val="single" w:sz="4" w:space="0" w:color="auto"/>
              <w:right w:val="single" w:sz="4" w:space="0" w:color="auto"/>
            </w:tcBorders>
            <w:shd w:val="clear" w:color="000000" w:fill="FFFFFF"/>
            <w:noWrap/>
            <w:vAlign w:val="center"/>
            <w:hideMark/>
          </w:tcPr>
          <w:p w14:paraId="34C014CD"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47EAD5C9" w14:textId="77777777" w:rsidR="002C6E12" w:rsidRPr="00A52AEE" w:rsidRDefault="002C6E12" w:rsidP="00FE68E8">
            <w:pPr>
              <w:jc w:val="right"/>
              <w:rPr>
                <w:lang w:eastAsia="en-GB"/>
              </w:rPr>
            </w:pPr>
            <w:r w:rsidRPr="00A52AEE">
              <w:rPr>
                <w:lang w:eastAsia="en-GB"/>
              </w:rPr>
              <w:t>135</w:t>
            </w:r>
          </w:p>
        </w:tc>
        <w:tc>
          <w:tcPr>
            <w:tcW w:w="287" w:type="pct"/>
            <w:tcBorders>
              <w:top w:val="nil"/>
              <w:left w:val="nil"/>
              <w:bottom w:val="single" w:sz="4" w:space="0" w:color="auto"/>
              <w:right w:val="single" w:sz="4" w:space="0" w:color="auto"/>
            </w:tcBorders>
            <w:shd w:val="clear" w:color="000000" w:fill="FFFFFF"/>
            <w:noWrap/>
            <w:vAlign w:val="center"/>
            <w:hideMark/>
          </w:tcPr>
          <w:p w14:paraId="17186DA4"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1F32FC74" w14:textId="77777777" w:rsidR="002C6E12" w:rsidRPr="00A52AEE" w:rsidRDefault="002C6E12" w:rsidP="00FE68E8">
            <w:pPr>
              <w:jc w:val="right"/>
              <w:rPr>
                <w:lang w:eastAsia="en-GB"/>
              </w:rPr>
            </w:pPr>
            <w:r w:rsidRPr="00A52AEE">
              <w:rPr>
                <w:lang w:eastAsia="en-GB"/>
              </w:rPr>
              <w:t>115</w:t>
            </w:r>
          </w:p>
        </w:tc>
        <w:tc>
          <w:tcPr>
            <w:tcW w:w="288" w:type="pct"/>
            <w:tcBorders>
              <w:top w:val="nil"/>
              <w:left w:val="nil"/>
              <w:bottom w:val="single" w:sz="4" w:space="0" w:color="auto"/>
              <w:right w:val="single" w:sz="4" w:space="0" w:color="auto"/>
            </w:tcBorders>
            <w:shd w:val="clear" w:color="000000" w:fill="FFFFFF"/>
            <w:noWrap/>
            <w:vAlign w:val="center"/>
            <w:hideMark/>
          </w:tcPr>
          <w:p w14:paraId="020BB9BF"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16E1926E" w14:textId="77777777" w:rsidR="002C6E12" w:rsidRPr="00A52AEE" w:rsidRDefault="002C6E12" w:rsidP="00FE68E8">
            <w:pPr>
              <w:jc w:val="right"/>
              <w:rPr>
                <w:lang w:eastAsia="en-GB"/>
              </w:rPr>
            </w:pPr>
            <w:r w:rsidRPr="00A52AEE">
              <w:rPr>
                <w:lang w:eastAsia="en-GB"/>
              </w:rPr>
              <w:t>65</w:t>
            </w:r>
          </w:p>
        </w:tc>
        <w:tc>
          <w:tcPr>
            <w:tcW w:w="287" w:type="pct"/>
            <w:tcBorders>
              <w:top w:val="nil"/>
              <w:left w:val="nil"/>
              <w:bottom w:val="single" w:sz="4" w:space="0" w:color="auto"/>
              <w:right w:val="single" w:sz="4" w:space="0" w:color="auto"/>
            </w:tcBorders>
            <w:shd w:val="clear" w:color="000000" w:fill="FFFFFF"/>
            <w:noWrap/>
            <w:vAlign w:val="center"/>
            <w:hideMark/>
          </w:tcPr>
          <w:p w14:paraId="66BB48B9" w14:textId="77777777" w:rsidR="002C6E12" w:rsidRPr="00A52AEE" w:rsidRDefault="002C6E12" w:rsidP="00FE68E8">
            <w:pPr>
              <w:jc w:val="right"/>
              <w:rPr>
                <w:lang w:eastAsia="en-GB"/>
              </w:rPr>
            </w:pPr>
            <w:r w:rsidRPr="00A52AEE">
              <w:rPr>
                <w:lang w:eastAsia="en-GB"/>
              </w:rPr>
              <w:t>0%</w:t>
            </w:r>
          </w:p>
        </w:tc>
        <w:tc>
          <w:tcPr>
            <w:tcW w:w="430" w:type="pct"/>
            <w:tcBorders>
              <w:top w:val="nil"/>
              <w:left w:val="nil"/>
              <w:bottom w:val="single" w:sz="4" w:space="0" w:color="auto"/>
              <w:right w:val="single" w:sz="4" w:space="0" w:color="auto"/>
            </w:tcBorders>
            <w:shd w:val="clear" w:color="000000" w:fill="FFFFFF"/>
            <w:noWrap/>
            <w:vAlign w:val="center"/>
            <w:hideMark/>
          </w:tcPr>
          <w:p w14:paraId="39E1CBFB" w14:textId="77777777" w:rsidR="002C6E12" w:rsidRPr="00A52AEE" w:rsidRDefault="002C6E12" w:rsidP="00FE68E8">
            <w:pPr>
              <w:jc w:val="right"/>
              <w:rPr>
                <w:lang w:eastAsia="en-GB"/>
              </w:rPr>
            </w:pPr>
            <w:r w:rsidRPr="00A52AEE">
              <w:rPr>
                <w:lang w:eastAsia="en-GB"/>
              </w:rPr>
              <w:t>90</w:t>
            </w:r>
          </w:p>
        </w:tc>
        <w:tc>
          <w:tcPr>
            <w:tcW w:w="283" w:type="pct"/>
            <w:tcBorders>
              <w:top w:val="nil"/>
              <w:left w:val="nil"/>
              <w:bottom w:val="single" w:sz="4" w:space="0" w:color="auto"/>
              <w:right w:val="single" w:sz="4" w:space="0" w:color="auto"/>
            </w:tcBorders>
            <w:shd w:val="clear" w:color="000000" w:fill="FFFFFF"/>
            <w:noWrap/>
            <w:vAlign w:val="center"/>
            <w:hideMark/>
          </w:tcPr>
          <w:p w14:paraId="265B2FCE" w14:textId="77777777" w:rsidR="002C6E12" w:rsidRPr="00A52AEE" w:rsidRDefault="002C6E12" w:rsidP="00FE68E8">
            <w:pPr>
              <w:jc w:val="right"/>
              <w:rPr>
                <w:lang w:eastAsia="en-GB"/>
              </w:rPr>
            </w:pPr>
            <w:r w:rsidRPr="00A52AEE">
              <w:rPr>
                <w:lang w:eastAsia="en-GB"/>
              </w:rPr>
              <w:t>0%</w:t>
            </w:r>
          </w:p>
        </w:tc>
      </w:tr>
      <w:tr w:rsidR="00BD5EF5" w:rsidRPr="00A52AEE" w14:paraId="5969BE90" w14:textId="77777777" w:rsidTr="00BD5EF5">
        <w:trPr>
          <w:trHeight w:val="300"/>
        </w:trPr>
        <w:tc>
          <w:tcPr>
            <w:tcW w:w="1418" w:type="pct"/>
            <w:tcBorders>
              <w:top w:val="nil"/>
              <w:left w:val="single" w:sz="4" w:space="0" w:color="auto"/>
              <w:bottom w:val="single" w:sz="4" w:space="0" w:color="auto"/>
              <w:right w:val="single" w:sz="4" w:space="0" w:color="auto"/>
            </w:tcBorders>
            <w:shd w:val="clear" w:color="auto" w:fill="auto"/>
            <w:noWrap/>
            <w:vAlign w:val="center"/>
            <w:hideMark/>
          </w:tcPr>
          <w:p w14:paraId="75FA10A8" w14:textId="77777777" w:rsidR="002C6E12" w:rsidRPr="00A52AEE" w:rsidRDefault="002C6E12" w:rsidP="00A52AEE">
            <w:pPr>
              <w:rPr>
                <w:sz w:val="20"/>
                <w:lang w:eastAsia="en-GB"/>
              </w:rPr>
            </w:pPr>
            <w:r w:rsidRPr="00A52AEE">
              <w:rPr>
                <w:lang w:eastAsia="en-GB"/>
              </w:rPr>
              <w:t>Total</w:t>
            </w:r>
          </w:p>
        </w:tc>
        <w:tc>
          <w:tcPr>
            <w:tcW w:w="430" w:type="pct"/>
            <w:tcBorders>
              <w:top w:val="nil"/>
              <w:left w:val="nil"/>
              <w:bottom w:val="single" w:sz="4" w:space="0" w:color="auto"/>
              <w:right w:val="single" w:sz="4" w:space="0" w:color="auto"/>
            </w:tcBorders>
            <w:shd w:val="clear" w:color="000000" w:fill="FFFFFF"/>
            <w:noWrap/>
            <w:vAlign w:val="center"/>
            <w:hideMark/>
          </w:tcPr>
          <w:p w14:paraId="155DF8E4" w14:textId="77777777" w:rsidR="002C6E12" w:rsidRPr="00A52AEE" w:rsidRDefault="002C6E12" w:rsidP="00FE68E8">
            <w:pPr>
              <w:jc w:val="right"/>
              <w:rPr>
                <w:lang w:eastAsia="en-GB"/>
              </w:rPr>
            </w:pPr>
            <w:r w:rsidRPr="00A52AEE">
              <w:rPr>
                <w:lang w:eastAsia="en-GB"/>
              </w:rPr>
              <w:t>42060</w:t>
            </w:r>
          </w:p>
        </w:tc>
        <w:tc>
          <w:tcPr>
            <w:tcW w:w="287" w:type="pct"/>
            <w:tcBorders>
              <w:top w:val="nil"/>
              <w:left w:val="nil"/>
              <w:bottom w:val="single" w:sz="4" w:space="0" w:color="auto"/>
              <w:right w:val="single" w:sz="4" w:space="0" w:color="auto"/>
            </w:tcBorders>
            <w:shd w:val="clear" w:color="000000" w:fill="FFFFFF"/>
            <w:noWrap/>
            <w:vAlign w:val="center"/>
            <w:hideMark/>
          </w:tcPr>
          <w:p w14:paraId="5122000B" w14:textId="06F521DA" w:rsidR="002C6E12" w:rsidRPr="00A52AEE" w:rsidRDefault="002C6E12" w:rsidP="00FE68E8">
            <w:pPr>
              <w:jc w:val="right"/>
              <w:rPr>
                <w:lang w:eastAsia="en-GB"/>
              </w:rPr>
            </w:pPr>
          </w:p>
        </w:tc>
        <w:tc>
          <w:tcPr>
            <w:tcW w:w="430" w:type="pct"/>
            <w:tcBorders>
              <w:top w:val="nil"/>
              <w:left w:val="nil"/>
              <w:bottom w:val="single" w:sz="4" w:space="0" w:color="auto"/>
              <w:right w:val="single" w:sz="4" w:space="0" w:color="auto"/>
            </w:tcBorders>
            <w:shd w:val="clear" w:color="000000" w:fill="FFFFFF"/>
            <w:noWrap/>
            <w:vAlign w:val="center"/>
            <w:hideMark/>
          </w:tcPr>
          <w:p w14:paraId="20688F33" w14:textId="77777777" w:rsidR="002C6E12" w:rsidRPr="00A52AEE" w:rsidRDefault="002C6E12" w:rsidP="00FE68E8">
            <w:pPr>
              <w:jc w:val="right"/>
              <w:rPr>
                <w:lang w:eastAsia="en-GB"/>
              </w:rPr>
            </w:pPr>
            <w:r w:rsidRPr="00A52AEE">
              <w:rPr>
                <w:lang w:eastAsia="en-GB"/>
              </w:rPr>
              <w:t>44140</w:t>
            </w:r>
          </w:p>
        </w:tc>
        <w:tc>
          <w:tcPr>
            <w:tcW w:w="287" w:type="pct"/>
            <w:tcBorders>
              <w:top w:val="nil"/>
              <w:left w:val="nil"/>
              <w:bottom w:val="single" w:sz="4" w:space="0" w:color="auto"/>
              <w:right w:val="single" w:sz="4" w:space="0" w:color="auto"/>
            </w:tcBorders>
            <w:shd w:val="clear" w:color="000000" w:fill="FFFFFF"/>
            <w:noWrap/>
            <w:vAlign w:val="center"/>
            <w:hideMark/>
          </w:tcPr>
          <w:p w14:paraId="664A4BE6" w14:textId="2E917AC8" w:rsidR="002C6E12" w:rsidRPr="00A52AEE" w:rsidRDefault="002C6E12" w:rsidP="00FE68E8">
            <w:pPr>
              <w:jc w:val="right"/>
              <w:rPr>
                <w:lang w:eastAsia="en-GB"/>
              </w:rPr>
            </w:pPr>
          </w:p>
        </w:tc>
        <w:tc>
          <w:tcPr>
            <w:tcW w:w="430" w:type="pct"/>
            <w:tcBorders>
              <w:top w:val="nil"/>
              <w:left w:val="nil"/>
              <w:bottom w:val="single" w:sz="4" w:space="0" w:color="auto"/>
              <w:right w:val="single" w:sz="4" w:space="0" w:color="auto"/>
            </w:tcBorders>
            <w:shd w:val="clear" w:color="000000" w:fill="FFFFFF"/>
            <w:noWrap/>
            <w:vAlign w:val="center"/>
            <w:hideMark/>
          </w:tcPr>
          <w:p w14:paraId="4B4EB57C" w14:textId="77777777" w:rsidR="002C6E12" w:rsidRPr="00A52AEE" w:rsidRDefault="002C6E12" w:rsidP="00FE68E8">
            <w:pPr>
              <w:jc w:val="right"/>
              <w:rPr>
                <w:lang w:eastAsia="en-GB"/>
              </w:rPr>
            </w:pPr>
            <w:r w:rsidRPr="00A52AEE">
              <w:rPr>
                <w:lang w:eastAsia="en-GB"/>
              </w:rPr>
              <w:t>46085</w:t>
            </w:r>
          </w:p>
        </w:tc>
        <w:tc>
          <w:tcPr>
            <w:tcW w:w="288" w:type="pct"/>
            <w:tcBorders>
              <w:top w:val="nil"/>
              <w:left w:val="nil"/>
              <w:bottom w:val="single" w:sz="4" w:space="0" w:color="auto"/>
              <w:right w:val="single" w:sz="4" w:space="0" w:color="auto"/>
            </w:tcBorders>
            <w:shd w:val="clear" w:color="000000" w:fill="FFFFFF"/>
            <w:noWrap/>
            <w:vAlign w:val="center"/>
            <w:hideMark/>
          </w:tcPr>
          <w:p w14:paraId="25952459" w14:textId="0BC0B1D5" w:rsidR="002C6E12" w:rsidRPr="00A52AEE" w:rsidRDefault="002C6E12" w:rsidP="00FE68E8">
            <w:pPr>
              <w:jc w:val="right"/>
              <w:rPr>
                <w:lang w:eastAsia="en-GB"/>
              </w:rPr>
            </w:pPr>
          </w:p>
        </w:tc>
        <w:tc>
          <w:tcPr>
            <w:tcW w:w="430" w:type="pct"/>
            <w:tcBorders>
              <w:top w:val="nil"/>
              <w:left w:val="nil"/>
              <w:bottom w:val="single" w:sz="4" w:space="0" w:color="auto"/>
              <w:right w:val="single" w:sz="4" w:space="0" w:color="auto"/>
            </w:tcBorders>
            <w:shd w:val="clear" w:color="000000" w:fill="FFFFFF"/>
            <w:noWrap/>
            <w:vAlign w:val="center"/>
            <w:hideMark/>
          </w:tcPr>
          <w:p w14:paraId="65A03D0D" w14:textId="77777777" w:rsidR="002C6E12" w:rsidRPr="00A52AEE" w:rsidRDefault="002C6E12" w:rsidP="00FE68E8">
            <w:pPr>
              <w:jc w:val="right"/>
              <w:rPr>
                <w:lang w:eastAsia="en-GB"/>
              </w:rPr>
            </w:pPr>
            <w:r w:rsidRPr="00A52AEE">
              <w:rPr>
                <w:lang w:eastAsia="en-GB"/>
              </w:rPr>
              <w:t>42835</w:t>
            </w:r>
          </w:p>
        </w:tc>
        <w:tc>
          <w:tcPr>
            <w:tcW w:w="287" w:type="pct"/>
            <w:tcBorders>
              <w:top w:val="nil"/>
              <w:left w:val="nil"/>
              <w:bottom w:val="single" w:sz="4" w:space="0" w:color="auto"/>
              <w:right w:val="single" w:sz="4" w:space="0" w:color="auto"/>
            </w:tcBorders>
            <w:shd w:val="clear" w:color="000000" w:fill="FFFFFF"/>
            <w:noWrap/>
            <w:vAlign w:val="center"/>
            <w:hideMark/>
          </w:tcPr>
          <w:p w14:paraId="4F5309F1" w14:textId="095E491D" w:rsidR="002C6E12" w:rsidRPr="00A52AEE" w:rsidRDefault="002C6E12" w:rsidP="00FE68E8">
            <w:pPr>
              <w:jc w:val="right"/>
              <w:rPr>
                <w:lang w:eastAsia="en-GB"/>
              </w:rPr>
            </w:pPr>
          </w:p>
        </w:tc>
        <w:tc>
          <w:tcPr>
            <w:tcW w:w="430" w:type="pct"/>
            <w:tcBorders>
              <w:top w:val="nil"/>
              <w:left w:val="nil"/>
              <w:bottom w:val="single" w:sz="4" w:space="0" w:color="auto"/>
              <w:right w:val="single" w:sz="4" w:space="0" w:color="auto"/>
            </w:tcBorders>
            <w:shd w:val="clear" w:color="000000" w:fill="FFFFFF"/>
            <w:noWrap/>
            <w:vAlign w:val="center"/>
            <w:hideMark/>
          </w:tcPr>
          <w:p w14:paraId="3FB143CF" w14:textId="77777777" w:rsidR="002C6E12" w:rsidRPr="00A52AEE" w:rsidRDefault="002C6E12" w:rsidP="00FE68E8">
            <w:pPr>
              <w:jc w:val="right"/>
              <w:rPr>
                <w:lang w:eastAsia="en-GB"/>
              </w:rPr>
            </w:pPr>
            <w:r w:rsidRPr="00A52AEE">
              <w:rPr>
                <w:lang w:eastAsia="en-GB"/>
              </w:rPr>
              <w:t>46380</w:t>
            </w:r>
          </w:p>
        </w:tc>
        <w:tc>
          <w:tcPr>
            <w:tcW w:w="283" w:type="pct"/>
            <w:tcBorders>
              <w:top w:val="nil"/>
              <w:left w:val="nil"/>
              <w:bottom w:val="single" w:sz="4" w:space="0" w:color="auto"/>
              <w:right w:val="single" w:sz="4" w:space="0" w:color="auto"/>
            </w:tcBorders>
            <w:shd w:val="clear" w:color="000000" w:fill="FFFFFF"/>
            <w:noWrap/>
            <w:vAlign w:val="center"/>
            <w:hideMark/>
          </w:tcPr>
          <w:p w14:paraId="0E832D33" w14:textId="3C68C105" w:rsidR="002C6E12" w:rsidRPr="00A52AEE" w:rsidRDefault="002C6E12" w:rsidP="00FE68E8">
            <w:pPr>
              <w:jc w:val="right"/>
              <w:rPr>
                <w:lang w:eastAsia="en-GB"/>
              </w:rPr>
            </w:pPr>
          </w:p>
        </w:tc>
      </w:tr>
    </w:tbl>
    <w:p w14:paraId="1C8A17AC" w14:textId="77777777" w:rsidR="00855E4A" w:rsidRDefault="00855E4A" w:rsidP="008D527A">
      <w:pPr>
        <w:pStyle w:val="Heading2"/>
      </w:pPr>
    </w:p>
    <w:p w14:paraId="5B57815A" w14:textId="4B39A8FF" w:rsidR="002C6E12" w:rsidRPr="00A52AEE" w:rsidRDefault="00771DD0" w:rsidP="008D527A">
      <w:pPr>
        <w:pStyle w:val="Heading2"/>
      </w:pPr>
      <w:bookmarkStart w:id="82" w:name="_Toc429151312"/>
      <w:r>
        <w:t>4</w:t>
      </w:r>
      <w:r w:rsidR="00E012DF" w:rsidRPr="00A52AEE">
        <w:t>.8</w:t>
      </w:r>
      <w:r w:rsidR="00E012DF" w:rsidRPr="00A52AEE">
        <w:tab/>
      </w:r>
      <w:r w:rsidR="002C6E12" w:rsidRPr="00A52AEE">
        <w:t>B</w:t>
      </w:r>
      <w:r w:rsidR="00167733" w:rsidRPr="00A52AEE">
        <w:t>reakdown of the cohorts by London b</w:t>
      </w:r>
      <w:r w:rsidR="002C6E12" w:rsidRPr="00A52AEE">
        <w:t>orough</w:t>
      </w:r>
      <w:bookmarkEnd w:id="82"/>
      <w:r w:rsidR="002C6E12" w:rsidRPr="00A52AEE">
        <w:t xml:space="preserve"> </w:t>
      </w:r>
    </w:p>
    <w:p w14:paraId="470A3B1A" w14:textId="0CFAB566" w:rsidR="002C6E12" w:rsidRPr="00A52AEE" w:rsidRDefault="00E012DF" w:rsidP="00A52AEE">
      <w:r w:rsidRPr="00A52AEE">
        <w:t>T</w:t>
      </w:r>
      <w:r w:rsidR="002C6E12" w:rsidRPr="00A52AEE">
        <w:t xml:space="preserve">able </w:t>
      </w:r>
      <w:r w:rsidRPr="00A52AEE">
        <w:t xml:space="preserve">8 </w:t>
      </w:r>
      <w:r w:rsidR="002C6E12" w:rsidRPr="00A52AEE">
        <w:t xml:space="preserve">provides a breakdown of the tracked cohort by </w:t>
      </w:r>
      <w:r w:rsidR="00BD5EF5" w:rsidRPr="00A52AEE">
        <w:t xml:space="preserve">London </w:t>
      </w:r>
      <w:r w:rsidR="002E7F99" w:rsidRPr="00A52AEE">
        <w:t>borough</w:t>
      </w:r>
      <w:r w:rsidR="002C6E12" w:rsidRPr="00A52AEE">
        <w:t>.</w:t>
      </w:r>
      <w:r w:rsidR="00AE31DC" w:rsidRPr="00A52AEE">
        <w:t xml:space="preserve"> There are some fluctuations in the cohort population across the five years and the difference in numbers between the earliest cohort and the latest cohort is provided.</w:t>
      </w:r>
    </w:p>
    <w:p w14:paraId="4085BA2C" w14:textId="77777777" w:rsidR="0038127C" w:rsidRPr="00A52AEE" w:rsidRDefault="0038127C" w:rsidP="00A52AEE"/>
    <w:p w14:paraId="2F407662" w14:textId="20523EFA" w:rsidR="0038127C" w:rsidRPr="00855E4A" w:rsidRDefault="0038127C" w:rsidP="00A52AEE">
      <w:pPr>
        <w:rPr>
          <w:b/>
        </w:rPr>
      </w:pPr>
      <w:r w:rsidRPr="00855E4A">
        <w:rPr>
          <w:b/>
        </w:rPr>
        <w:t xml:space="preserve">Table 8: Cohort breakdown by </w:t>
      </w:r>
      <w:r w:rsidR="00167733" w:rsidRPr="00855E4A">
        <w:rPr>
          <w:b/>
        </w:rPr>
        <w:t>London b</w:t>
      </w:r>
      <w:r w:rsidRPr="00855E4A">
        <w:rPr>
          <w:b/>
        </w:rPr>
        <w:t>orough</w:t>
      </w:r>
    </w:p>
    <w:p w14:paraId="6E8A3360" w14:textId="77777777" w:rsidR="002C6E12" w:rsidRPr="00A52AEE" w:rsidRDefault="002C6E12" w:rsidP="00A52AEE"/>
    <w:tbl>
      <w:tblPr>
        <w:tblW w:w="4959" w:type="pct"/>
        <w:tblLayout w:type="fixed"/>
        <w:tblLook w:val="04A0" w:firstRow="1" w:lastRow="0" w:firstColumn="1" w:lastColumn="0" w:noHBand="0" w:noVBand="1"/>
      </w:tblPr>
      <w:tblGrid>
        <w:gridCol w:w="2181"/>
        <w:gridCol w:w="932"/>
        <w:gridCol w:w="568"/>
        <w:gridCol w:w="710"/>
        <w:gridCol w:w="568"/>
        <w:gridCol w:w="708"/>
        <w:gridCol w:w="566"/>
        <w:gridCol w:w="708"/>
        <w:gridCol w:w="570"/>
        <w:gridCol w:w="710"/>
        <w:gridCol w:w="570"/>
        <w:gridCol w:w="702"/>
      </w:tblGrid>
      <w:tr w:rsidR="00DB2D18" w:rsidRPr="00855E4A" w14:paraId="11DF5340" w14:textId="14F61390" w:rsidTr="00DB2D18">
        <w:trPr>
          <w:trHeight w:val="300"/>
          <w:tblHeader/>
        </w:trPr>
        <w:tc>
          <w:tcPr>
            <w:tcW w:w="1149" w:type="pct"/>
            <w:vMerge w:val="restart"/>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14:paraId="3BE748D7" w14:textId="77777777" w:rsidR="00AE31DC" w:rsidRPr="00855E4A" w:rsidRDefault="00AE31DC" w:rsidP="00A52AEE">
            <w:pPr>
              <w:rPr>
                <w:b/>
                <w:color w:val="FFFFFF" w:themeColor="background1"/>
                <w:lang w:eastAsia="en-GB"/>
              </w:rPr>
            </w:pPr>
            <w:r w:rsidRPr="00855E4A">
              <w:rPr>
                <w:b/>
                <w:color w:val="FFFFFF" w:themeColor="background1"/>
                <w:lang w:eastAsia="en-GB"/>
              </w:rPr>
              <w:t xml:space="preserve">Borough </w:t>
            </w:r>
            <w:r w:rsidR="00E012DF" w:rsidRPr="00855E4A">
              <w:rPr>
                <w:b/>
                <w:color w:val="FFFFFF" w:themeColor="background1"/>
                <w:lang w:eastAsia="en-GB"/>
              </w:rPr>
              <w:t>where s</w:t>
            </w:r>
            <w:r w:rsidRPr="00855E4A">
              <w:rPr>
                <w:b/>
                <w:color w:val="FFFFFF" w:themeColor="background1"/>
                <w:lang w:eastAsia="en-GB"/>
              </w:rPr>
              <w:t>tudent</w:t>
            </w:r>
          </w:p>
          <w:p w14:paraId="4143D064" w14:textId="32E23CDE" w:rsidR="00E012DF" w:rsidRPr="00855E4A" w:rsidRDefault="00E012DF" w:rsidP="00A52AEE">
            <w:pPr>
              <w:rPr>
                <w:b/>
                <w:color w:val="FFFFFF" w:themeColor="background1"/>
                <w:lang w:eastAsia="en-GB"/>
              </w:rPr>
            </w:pPr>
            <w:r w:rsidRPr="00855E4A">
              <w:rPr>
                <w:b/>
                <w:color w:val="FFFFFF" w:themeColor="background1"/>
                <w:lang w:eastAsia="en-GB"/>
              </w:rPr>
              <w:t>domiciled</w:t>
            </w:r>
          </w:p>
        </w:tc>
        <w:tc>
          <w:tcPr>
            <w:tcW w:w="790" w:type="pct"/>
            <w:gridSpan w:val="2"/>
            <w:tcBorders>
              <w:top w:val="single" w:sz="4" w:space="0" w:color="auto"/>
              <w:left w:val="nil"/>
              <w:bottom w:val="single" w:sz="4" w:space="0" w:color="auto"/>
              <w:right w:val="single" w:sz="4" w:space="0" w:color="000000"/>
            </w:tcBorders>
            <w:shd w:val="clear" w:color="auto" w:fill="1F4E79" w:themeFill="accent1" w:themeFillShade="80"/>
            <w:noWrap/>
            <w:vAlign w:val="bottom"/>
            <w:hideMark/>
          </w:tcPr>
          <w:p w14:paraId="619E6438"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2007-08</w:t>
            </w:r>
          </w:p>
        </w:tc>
        <w:tc>
          <w:tcPr>
            <w:tcW w:w="673" w:type="pct"/>
            <w:gridSpan w:val="2"/>
            <w:tcBorders>
              <w:top w:val="single" w:sz="4" w:space="0" w:color="auto"/>
              <w:left w:val="nil"/>
              <w:bottom w:val="single" w:sz="4" w:space="0" w:color="auto"/>
              <w:right w:val="single" w:sz="4" w:space="0" w:color="000000"/>
            </w:tcBorders>
            <w:shd w:val="clear" w:color="auto" w:fill="1F4E79" w:themeFill="accent1" w:themeFillShade="80"/>
            <w:noWrap/>
            <w:vAlign w:val="bottom"/>
            <w:hideMark/>
          </w:tcPr>
          <w:p w14:paraId="147794A9"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2008-09</w:t>
            </w:r>
          </w:p>
        </w:tc>
        <w:tc>
          <w:tcPr>
            <w:tcW w:w="671" w:type="pct"/>
            <w:gridSpan w:val="2"/>
            <w:tcBorders>
              <w:top w:val="single" w:sz="4" w:space="0" w:color="auto"/>
              <w:left w:val="nil"/>
              <w:bottom w:val="single" w:sz="4" w:space="0" w:color="auto"/>
              <w:right w:val="single" w:sz="4" w:space="0" w:color="000000"/>
            </w:tcBorders>
            <w:shd w:val="clear" w:color="auto" w:fill="1F4E79" w:themeFill="accent1" w:themeFillShade="80"/>
            <w:noWrap/>
            <w:vAlign w:val="bottom"/>
            <w:hideMark/>
          </w:tcPr>
          <w:p w14:paraId="4A8EC27A"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2009-10</w:t>
            </w:r>
          </w:p>
        </w:tc>
        <w:tc>
          <w:tcPr>
            <w:tcW w:w="673" w:type="pct"/>
            <w:gridSpan w:val="2"/>
            <w:tcBorders>
              <w:top w:val="single" w:sz="4" w:space="0" w:color="auto"/>
              <w:left w:val="nil"/>
              <w:bottom w:val="single" w:sz="4" w:space="0" w:color="auto"/>
              <w:right w:val="single" w:sz="4" w:space="0" w:color="000000"/>
            </w:tcBorders>
            <w:shd w:val="clear" w:color="auto" w:fill="1F4E79" w:themeFill="accent1" w:themeFillShade="80"/>
            <w:noWrap/>
            <w:vAlign w:val="bottom"/>
            <w:hideMark/>
          </w:tcPr>
          <w:p w14:paraId="61C7AD2B"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2010-11</w:t>
            </w:r>
          </w:p>
        </w:tc>
        <w:tc>
          <w:tcPr>
            <w:tcW w:w="674" w:type="pct"/>
            <w:gridSpan w:val="2"/>
            <w:tcBorders>
              <w:top w:val="single" w:sz="4" w:space="0" w:color="auto"/>
              <w:left w:val="nil"/>
              <w:bottom w:val="single" w:sz="4" w:space="0" w:color="auto"/>
              <w:right w:val="single" w:sz="4" w:space="0" w:color="000000"/>
            </w:tcBorders>
            <w:shd w:val="clear" w:color="auto" w:fill="1F4E79" w:themeFill="accent1" w:themeFillShade="80"/>
            <w:noWrap/>
            <w:vAlign w:val="bottom"/>
            <w:hideMark/>
          </w:tcPr>
          <w:p w14:paraId="444B2536"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2011-12</w:t>
            </w:r>
          </w:p>
        </w:tc>
        <w:tc>
          <w:tcPr>
            <w:tcW w:w="370" w:type="pct"/>
            <w:vMerge w:val="restart"/>
            <w:tcBorders>
              <w:top w:val="single" w:sz="4" w:space="0" w:color="auto"/>
              <w:left w:val="nil"/>
              <w:right w:val="single" w:sz="4" w:space="0" w:color="000000"/>
            </w:tcBorders>
            <w:shd w:val="clear" w:color="auto" w:fill="1F4E79" w:themeFill="accent1" w:themeFillShade="80"/>
            <w:textDirection w:val="btLr"/>
          </w:tcPr>
          <w:p w14:paraId="3D10C369" w14:textId="6E61567B" w:rsidR="00E012DF" w:rsidRPr="00855E4A" w:rsidRDefault="00AE31DC" w:rsidP="004D3FD1">
            <w:pPr>
              <w:jc w:val="center"/>
              <w:rPr>
                <w:b/>
                <w:color w:val="FFFFFF" w:themeColor="background1"/>
                <w:lang w:eastAsia="en-GB"/>
              </w:rPr>
            </w:pPr>
            <w:r w:rsidRPr="00855E4A">
              <w:rPr>
                <w:b/>
                <w:color w:val="FFFFFF" w:themeColor="background1"/>
                <w:lang w:eastAsia="en-GB"/>
              </w:rPr>
              <w:t>Difference</w:t>
            </w:r>
          </w:p>
          <w:p w14:paraId="3F593E26" w14:textId="472559BA" w:rsidR="00AE31DC" w:rsidRPr="00855E4A" w:rsidRDefault="00AE31DC" w:rsidP="004D3FD1">
            <w:pPr>
              <w:jc w:val="center"/>
              <w:rPr>
                <w:b/>
                <w:color w:val="FFFFFF" w:themeColor="background1"/>
                <w:lang w:eastAsia="en-GB"/>
              </w:rPr>
            </w:pPr>
            <w:r w:rsidRPr="00855E4A">
              <w:rPr>
                <w:b/>
                <w:color w:val="FFFFFF" w:themeColor="background1"/>
                <w:lang w:eastAsia="en-GB"/>
              </w:rPr>
              <w:t>2007-2011</w:t>
            </w:r>
          </w:p>
        </w:tc>
      </w:tr>
      <w:tr w:rsidR="00DB2D18" w:rsidRPr="00855E4A" w14:paraId="03EC7747" w14:textId="5DB2128B" w:rsidTr="00DB2D18">
        <w:trPr>
          <w:cantSplit/>
          <w:trHeight w:val="1531"/>
          <w:tblHeader/>
        </w:trPr>
        <w:tc>
          <w:tcPr>
            <w:tcW w:w="1149"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14:paraId="3F896E6E" w14:textId="77777777" w:rsidR="00AE31DC" w:rsidRPr="00855E4A" w:rsidRDefault="00AE31DC" w:rsidP="00A52AEE">
            <w:pPr>
              <w:rPr>
                <w:b/>
                <w:color w:val="FFFFFF" w:themeColor="background1"/>
                <w:lang w:eastAsia="en-GB"/>
              </w:rPr>
            </w:pPr>
          </w:p>
        </w:tc>
        <w:tc>
          <w:tcPr>
            <w:tcW w:w="491"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165E43EF"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Cohort</w:t>
            </w:r>
          </w:p>
        </w:tc>
        <w:tc>
          <w:tcPr>
            <w:tcW w:w="299"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960F6B9"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 of Total</w:t>
            </w:r>
          </w:p>
        </w:tc>
        <w:tc>
          <w:tcPr>
            <w:tcW w:w="374"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57E5FB4F"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Cohort</w:t>
            </w:r>
          </w:p>
        </w:tc>
        <w:tc>
          <w:tcPr>
            <w:tcW w:w="299"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2CE6F951"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 of Total</w:t>
            </w:r>
          </w:p>
        </w:tc>
        <w:tc>
          <w:tcPr>
            <w:tcW w:w="373"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3F75651"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Cohort</w:t>
            </w:r>
          </w:p>
        </w:tc>
        <w:tc>
          <w:tcPr>
            <w:tcW w:w="298"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2B73C9D"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 of Total</w:t>
            </w:r>
          </w:p>
        </w:tc>
        <w:tc>
          <w:tcPr>
            <w:tcW w:w="373"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A9D2F0C"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Cohort</w:t>
            </w:r>
          </w:p>
        </w:tc>
        <w:tc>
          <w:tcPr>
            <w:tcW w:w="300"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B22BB4C"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 of Total</w:t>
            </w:r>
          </w:p>
        </w:tc>
        <w:tc>
          <w:tcPr>
            <w:tcW w:w="374"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E782794" w14:textId="77777777" w:rsidR="00AE31DC" w:rsidRPr="00855E4A" w:rsidRDefault="00AE31DC" w:rsidP="004D3FD1">
            <w:pPr>
              <w:jc w:val="center"/>
              <w:rPr>
                <w:b/>
                <w:color w:val="FFFFFF" w:themeColor="background1"/>
                <w:lang w:eastAsia="en-GB"/>
              </w:rPr>
            </w:pPr>
            <w:r w:rsidRPr="00855E4A">
              <w:rPr>
                <w:b/>
                <w:color w:val="FFFFFF" w:themeColor="background1"/>
                <w:lang w:eastAsia="en-GB"/>
              </w:rPr>
              <w:t>Cohort</w:t>
            </w:r>
          </w:p>
        </w:tc>
        <w:tc>
          <w:tcPr>
            <w:tcW w:w="300" w:type="pct"/>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229331DC" w14:textId="58F566BF" w:rsidR="00AE31DC" w:rsidRPr="00855E4A" w:rsidRDefault="004D3FD1" w:rsidP="004D3FD1">
            <w:pPr>
              <w:jc w:val="center"/>
              <w:rPr>
                <w:b/>
                <w:color w:val="FFFFFF" w:themeColor="background1"/>
                <w:lang w:eastAsia="en-GB"/>
              </w:rPr>
            </w:pPr>
            <w:r>
              <w:rPr>
                <w:b/>
                <w:color w:val="FFFFFF" w:themeColor="background1"/>
                <w:lang w:eastAsia="en-GB"/>
              </w:rPr>
              <w:t>% of t</w:t>
            </w:r>
            <w:r w:rsidR="00AE31DC" w:rsidRPr="00855E4A">
              <w:rPr>
                <w:b/>
                <w:color w:val="FFFFFF" w:themeColor="background1"/>
                <w:lang w:eastAsia="en-GB"/>
              </w:rPr>
              <w:t>otal</w:t>
            </w:r>
          </w:p>
        </w:tc>
        <w:tc>
          <w:tcPr>
            <w:tcW w:w="370" w:type="pct"/>
            <w:vMerge/>
            <w:tcBorders>
              <w:left w:val="nil"/>
              <w:bottom w:val="single" w:sz="4" w:space="0" w:color="auto"/>
              <w:right w:val="single" w:sz="4" w:space="0" w:color="000000"/>
            </w:tcBorders>
            <w:shd w:val="clear" w:color="auto" w:fill="1F4E79" w:themeFill="accent1" w:themeFillShade="80"/>
            <w:textDirection w:val="btLr"/>
          </w:tcPr>
          <w:p w14:paraId="137E3710" w14:textId="67FA7CA7" w:rsidR="00AE31DC" w:rsidRPr="00855E4A" w:rsidRDefault="00AE31DC" w:rsidP="004D3FD1">
            <w:pPr>
              <w:jc w:val="center"/>
              <w:rPr>
                <w:b/>
                <w:color w:val="FFFFFF" w:themeColor="background1"/>
                <w:lang w:eastAsia="en-GB"/>
              </w:rPr>
            </w:pPr>
          </w:p>
        </w:tc>
      </w:tr>
      <w:tr w:rsidR="00DB2D18" w:rsidRPr="00A52AEE" w14:paraId="243AF07A" w14:textId="6C132F1C"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1A894AB" w14:textId="1C95A2D6" w:rsidR="00AE31DC" w:rsidRPr="00A52AEE" w:rsidRDefault="004E52FE" w:rsidP="00A52AEE">
            <w:pPr>
              <w:rPr>
                <w:lang w:eastAsia="en-GB"/>
              </w:rPr>
            </w:pPr>
            <w:r>
              <w:rPr>
                <w:lang w:eastAsia="en-GB"/>
              </w:rPr>
              <w:t>Barking and</w:t>
            </w:r>
            <w:r w:rsidR="00AE31DC" w:rsidRPr="00A52AEE">
              <w:rPr>
                <w:lang w:eastAsia="en-GB"/>
              </w:rPr>
              <w:t xml:space="preserve"> Dagenham</w:t>
            </w:r>
          </w:p>
        </w:tc>
        <w:tc>
          <w:tcPr>
            <w:tcW w:w="491" w:type="pct"/>
            <w:tcBorders>
              <w:top w:val="nil"/>
              <w:left w:val="nil"/>
              <w:bottom w:val="single" w:sz="4" w:space="0" w:color="auto"/>
              <w:right w:val="single" w:sz="4" w:space="0" w:color="auto"/>
            </w:tcBorders>
            <w:shd w:val="clear" w:color="auto" w:fill="auto"/>
            <w:noWrap/>
            <w:vAlign w:val="bottom"/>
            <w:hideMark/>
          </w:tcPr>
          <w:p w14:paraId="5B5C2E99" w14:textId="77777777" w:rsidR="00AE31DC" w:rsidRPr="00A52AEE" w:rsidRDefault="00AE31DC" w:rsidP="00FE68E8">
            <w:pPr>
              <w:jc w:val="right"/>
              <w:rPr>
                <w:lang w:eastAsia="en-GB"/>
              </w:rPr>
            </w:pPr>
            <w:r w:rsidRPr="00A52AEE">
              <w:rPr>
                <w:lang w:eastAsia="en-GB"/>
              </w:rPr>
              <w:t>920</w:t>
            </w:r>
          </w:p>
        </w:tc>
        <w:tc>
          <w:tcPr>
            <w:tcW w:w="299" w:type="pct"/>
            <w:tcBorders>
              <w:top w:val="nil"/>
              <w:left w:val="nil"/>
              <w:bottom w:val="single" w:sz="4" w:space="0" w:color="auto"/>
              <w:right w:val="single" w:sz="4" w:space="0" w:color="auto"/>
            </w:tcBorders>
            <w:shd w:val="clear" w:color="auto" w:fill="auto"/>
            <w:noWrap/>
            <w:vAlign w:val="bottom"/>
            <w:hideMark/>
          </w:tcPr>
          <w:p w14:paraId="7A74928C"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6527056F" w14:textId="77777777" w:rsidR="00AE31DC" w:rsidRPr="00A52AEE" w:rsidRDefault="00AE31DC" w:rsidP="00FE68E8">
            <w:pPr>
              <w:jc w:val="right"/>
              <w:rPr>
                <w:lang w:eastAsia="en-GB"/>
              </w:rPr>
            </w:pPr>
            <w:r w:rsidRPr="00A52AEE">
              <w:rPr>
                <w:lang w:eastAsia="en-GB"/>
              </w:rPr>
              <w:t>1080</w:t>
            </w:r>
          </w:p>
        </w:tc>
        <w:tc>
          <w:tcPr>
            <w:tcW w:w="299" w:type="pct"/>
            <w:tcBorders>
              <w:top w:val="nil"/>
              <w:left w:val="nil"/>
              <w:bottom w:val="single" w:sz="4" w:space="0" w:color="auto"/>
              <w:right w:val="single" w:sz="4" w:space="0" w:color="auto"/>
            </w:tcBorders>
            <w:shd w:val="clear" w:color="auto" w:fill="auto"/>
            <w:noWrap/>
            <w:vAlign w:val="bottom"/>
            <w:hideMark/>
          </w:tcPr>
          <w:p w14:paraId="250867D7"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4E8467E4" w14:textId="77777777" w:rsidR="00AE31DC" w:rsidRPr="00A52AEE" w:rsidRDefault="00AE31DC" w:rsidP="00FE68E8">
            <w:pPr>
              <w:jc w:val="right"/>
              <w:rPr>
                <w:lang w:eastAsia="en-GB"/>
              </w:rPr>
            </w:pPr>
            <w:r w:rsidRPr="00A52AEE">
              <w:rPr>
                <w:lang w:eastAsia="en-GB"/>
              </w:rPr>
              <w:t>1110</w:t>
            </w:r>
          </w:p>
        </w:tc>
        <w:tc>
          <w:tcPr>
            <w:tcW w:w="298" w:type="pct"/>
            <w:tcBorders>
              <w:top w:val="nil"/>
              <w:left w:val="nil"/>
              <w:bottom w:val="single" w:sz="4" w:space="0" w:color="auto"/>
              <w:right w:val="single" w:sz="4" w:space="0" w:color="auto"/>
            </w:tcBorders>
            <w:shd w:val="clear" w:color="auto" w:fill="auto"/>
            <w:noWrap/>
            <w:vAlign w:val="bottom"/>
            <w:hideMark/>
          </w:tcPr>
          <w:p w14:paraId="489265ED"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335D159B" w14:textId="77777777" w:rsidR="00AE31DC" w:rsidRPr="00A52AEE" w:rsidRDefault="00AE31DC" w:rsidP="00FE68E8">
            <w:pPr>
              <w:jc w:val="right"/>
              <w:rPr>
                <w:lang w:eastAsia="en-GB"/>
              </w:rPr>
            </w:pPr>
            <w:r w:rsidRPr="00A52AEE">
              <w:rPr>
                <w:lang w:eastAsia="en-GB"/>
              </w:rPr>
              <w:t>1030</w:t>
            </w:r>
          </w:p>
        </w:tc>
        <w:tc>
          <w:tcPr>
            <w:tcW w:w="300" w:type="pct"/>
            <w:tcBorders>
              <w:top w:val="nil"/>
              <w:left w:val="nil"/>
              <w:bottom w:val="single" w:sz="4" w:space="0" w:color="auto"/>
              <w:right w:val="single" w:sz="4" w:space="0" w:color="auto"/>
            </w:tcBorders>
            <w:shd w:val="clear" w:color="auto" w:fill="auto"/>
            <w:noWrap/>
            <w:vAlign w:val="bottom"/>
            <w:hideMark/>
          </w:tcPr>
          <w:p w14:paraId="1512B35A"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09774796" w14:textId="77777777" w:rsidR="00AE31DC" w:rsidRPr="00A52AEE" w:rsidRDefault="00AE31DC" w:rsidP="00FE68E8">
            <w:pPr>
              <w:jc w:val="right"/>
              <w:rPr>
                <w:lang w:eastAsia="en-GB"/>
              </w:rPr>
            </w:pPr>
            <w:r w:rsidRPr="00A52AEE">
              <w:rPr>
                <w:lang w:eastAsia="en-GB"/>
              </w:rPr>
              <w:t>1420</w:t>
            </w:r>
          </w:p>
        </w:tc>
        <w:tc>
          <w:tcPr>
            <w:tcW w:w="300" w:type="pct"/>
            <w:tcBorders>
              <w:top w:val="nil"/>
              <w:left w:val="nil"/>
              <w:bottom w:val="single" w:sz="4" w:space="0" w:color="auto"/>
              <w:right w:val="single" w:sz="4" w:space="0" w:color="auto"/>
            </w:tcBorders>
            <w:shd w:val="clear" w:color="auto" w:fill="auto"/>
            <w:noWrap/>
            <w:vAlign w:val="bottom"/>
            <w:hideMark/>
          </w:tcPr>
          <w:p w14:paraId="4001E856"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37033E42" w14:textId="1866A1DA" w:rsidR="00AE31DC" w:rsidRPr="00A52AEE" w:rsidRDefault="00AE31DC" w:rsidP="00FE68E8">
            <w:pPr>
              <w:jc w:val="right"/>
              <w:rPr>
                <w:rFonts w:eastAsia="Times New Roman"/>
                <w:lang w:eastAsia="en-GB"/>
              </w:rPr>
            </w:pPr>
            <w:r w:rsidRPr="00A52AEE">
              <w:t>500</w:t>
            </w:r>
          </w:p>
        </w:tc>
      </w:tr>
      <w:tr w:rsidR="00DB2D18" w:rsidRPr="00A52AEE" w14:paraId="0B283FC9" w14:textId="127831D6"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4284BDF" w14:textId="77777777" w:rsidR="00AE31DC" w:rsidRPr="00A52AEE" w:rsidRDefault="00AE31DC" w:rsidP="00A52AEE">
            <w:pPr>
              <w:rPr>
                <w:lang w:eastAsia="en-GB"/>
              </w:rPr>
            </w:pPr>
            <w:r w:rsidRPr="00A52AEE">
              <w:rPr>
                <w:lang w:eastAsia="en-GB"/>
              </w:rPr>
              <w:t>Barnet</w:t>
            </w:r>
          </w:p>
        </w:tc>
        <w:tc>
          <w:tcPr>
            <w:tcW w:w="491" w:type="pct"/>
            <w:tcBorders>
              <w:top w:val="nil"/>
              <w:left w:val="nil"/>
              <w:bottom w:val="single" w:sz="4" w:space="0" w:color="auto"/>
              <w:right w:val="single" w:sz="4" w:space="0" w:color="auto"/>
            </w:tcBorders>
            <w:shd w:val="clear" w:color="auto" w:fill="auto"/>
            <w:noWrap/>
            <w:vAlign w:val="bottom"/>
            <w:hideMark/>
          </w:tcPr>
          <w:p w14:paraId="18F34B6F" w14:textId="77777777" w:rsidR="00AE31DC" w:rsidRPr="00A52AEE" w:rsidRDefault="00AE31DC" w:rsidP="00FE68E8">
            <w:pPr>
              <w:jc w:val="right"/>
              <w:rPr>
                <w:lang w:eastAsia="en-GB"/>
              </w:rPr>
            </w:pPr>
            <w:r w:rsidRPr="00A52AEE">
              <w:rPr>
                <w:lang w:eastAsia="en-GB"/>
              </w:rPr>
              <w:t>1505</w:t>
            </w:r>
          </w:p>
        </w:tc>
        <w:tc>
          <w:tcPr>
            <w:tcW w:w="299" w:type="pct"/>
            <w:tcBorders>
              <w:top w:val="nil"/>
              <w:left w:val="nil"/>
              <w:bottom w:val="single" w:sz="4" w:space="0" w:color="auto"/>
              <w:right w:val="single" w:sz="4" w:space="0" w:color="auto"/>
            </w:tcBorders>
            <w:shd w:val="clear" w:color="auto" w:fill="auto"/>
            <w:noWrap/>
            <w:vAlign w:val="bottom"/>
            <w:hideMark/>
          </w:tcPr>
          <w:p w14:paraId="48A19540"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79E78D5E" w14:textId="77777777" w:rsidR="00AE31DC" w:rsidRPr="00A52AEE" w:rsidRDefault="00AE31DC" w:rsidP="00FE68E8">
            <w:pPr>
              <w:jc w:val="right"/>
              <w:rPr>
                <w:lang w:eastAsia="en-GB"/>
              </w:rPr>
            </w:pPr>
            <w:r w:rsidRPr="00A52AEE">
              <w:rPr>
                <w:lang w:eastAsia="en-GB"/>
              </w:rPr>
              <w:t>1590</w:t>
            </w:r>
          </w:p>
        </w:tc>
        <w:tc>
          <w:tcPr>
            <w:tcW w:w="299" w:type="pct"/>
            <w:tcBorders>
              <w:top w:val="nil"/>
              <w:left w:val="nil"/>
              <w:bottom w:val="single" w:sz="4" w:space="0" w:color="auto"/>
              <w:right w:val="single" w:sz="4" w:space="0" w:color="auto"/>
            </w:tcBorders>
            <w:shd w:val="clear" w:color="auto" w:fill="auto"/>
            <w:noWrap/>
            <w:vAlign w:val="bottom"/>
            <w:hideMark/>
          </w:tcPr>
          <w:p w14:paraId="4327362D"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52562CE5" w14:textId="77777777" w:rsidR="00AE31DC" w:rsidRPr="00A52AEE" w:rsidRDefault="00AE31DC" w:rsidP="00FE68E8">
            <w:pPr>
              <w:jc w:val="right"/>
              <w:rPr>
                <w:lang w:eastAsia="en-GB"/>
              </w:rPr>
            </w:pPr>
            <w:r w:rsidRPr="00A52AEE">
              <w:rPr>
                <w:lang w:eastAsia="en-GB"/>
              </w:rPr>
              <w:t>1430</w:t>
            </w:r>
          </w:p>
        </w:tc>
        <w:tc>
          <w:tcPr>
            <w:tcW w:w="298" w:type="pct"/>
            <w:tcBorders>
              <w:top w:val="nil"/>
              <w:left w:val="nil"/>
              <w:bottom w:val="single" w:sz="4" w:space="0" w:color="auto"/>
              <w:right w:val="single" w:sz="4" w:space="0" w:color="auto"/>
            </w:tcBorders>
            <w:shd w:val="clear" w:color="auto" w:fill="auto"/>
            <w:noWrap/>
            <w:vAlign w:val="bottom"/>
            <w:hideMark/>
          </w:tcPr>
          <w:p w14:paraId="4F053125"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153B3E1F" w14:textId="77777777" w:rsidR="00AE31DC" w:rsidRPr="00A52AEE" w:rsidRDefault="00AE31DC" w:rsidP="00FE68E8">
            <w:pPr>
              <w:jc w:val="right"/>
              <w:rPr>
                <w:lang w:eastAsia="en-GB"/>
              </w:rPr>
            </w:pPr>
            <w:r w:rsidRPr="00A52AEE">
              <w:rPr>
                <w:lang w:eastAsia="en-GB"/>
              </w:rPr>
              <w:t>1545</w:t>
            </w:r>
          </w:p>
        </w:tc>
        <w:tc>
          <w:tcPr>
            <w:tcW w:w="300" w:type="pct"/>
            <w:tcBorders>
              <w:top w:val="nil"/>
              <w:left w:val="nil"/>
              <w:bottom w:val="single" w:sz="4" w:space="0" w:color="auto"/>
              <w:right w:val="single" w:sz="4" w:space="0" w:color="auto"/>
            </w:tcBorders>
            <w:shd w:val="clear" w:color="auto" w:fill="auto"/>
            <w:noWrap/>
            <w:vAlign w:val="bottom"/>
            <w:hideMark/>
          </w:tcPr>
          <w:p w14:paraId="1CCAF166"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309B8A22" w14:textId="77777777" w:rsidR="00AE31DC" w:rsidRPr="00A52AEE" w:rsidRDefault="00AE31DC" w:rsidP="00FE68E8">
            <w:pPr>
              <w:jc w:val="right"/>
              <w:rPr>
                <w:lang w:eastAsia="en-GB"/>
              </w:rPr>
            </w:pPr>
            <w:r w:rsidRPr="00A52AEE">
              <w:rPr>
                <w:lang w:eastAsia="en-GB"/>
              </w:rPr>
              <w:t>1580</w:t>
            </w:r>
          </w:p>
        </w:tc>
        <w:tc>
          <w:tcPr>
            <w:tcW w:w="300" w:type="pct"/>
            <w:tcBorders>
              <w:top w:val="nil"/>
              <w:left w:val="nil"/>
              <w:bottom w:val="single" w:sz="4" w:space="0" w:color="auto"/>
              <w:right w:val="single" w:sz="4" w:space="0" w:color="auto"/>
            </w:tcBorders>
            <w:shd w:val="clear" w:color="auto" w:fill="auto"/>
            <w:noWrap/>
            <w:vAlign w:val="bottom"/>
            <w:hideMark/>
          </w:tcPr>
          <w:p w14:paraId="5A0EF70B"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281C99A3" w14:textId="345BF5BF" w:rsidR="00AE31DC" w:rsidRPr="00A52AEE" w:rsidRDefault="00AE31DC" w:rsidP="00FE68E8">
            <w:pPr>
              <w:jc w:val="right"/>
              <w:rPr>
                <w:rFonts w:eastAsia="Times New Roman"/>
                <w:lang w:eastAsia="en-GB"/>
              </w:rPr>
            </w:pPr>
            <w:r w:rsidRPr="00A52AEE">
              <w:t>75</w:t>
            </w:r>
          </w:p>
        </w:tc>
      </w:tr>
      <w:tr w:rsidR="00DB2D18" w:rsidRPr="00A52AEE" w14:paraId="6E8A4438" w14:textId="6C3ED336"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223ACE1" w14:textId="77777777" w:rsidR="00AE31DC" w:rsidRPr="00A52AEE" w:rsidRDefault="00AE31DC" w:rsidP="00A52AEE">
            <w:pPr>
              <w:rPr>
                <w:lang w:eastAsia="en-GB"/>
              </w:rPr>
            </w:pPr>
            <w:r w:rsidRPr="00A52AEE">
              <w:rPr>
                <w:lang w:eastAsia="en-GB"/>
              </w:rPr>
              <w:t>Bexley</w:t>
            </w:r>
          </w:p>
        </w:tc>
        <w:tc>
          <w:tcPr>
            <w:tcW w:w="491" w:type="pct"/>
            <w:tcBorders>
              <w:top w:val="nil"/>
              <w:left w:val="nil"/>
              <w:bottom w:val="single" w:sz="4" w:space="0" w:color="auto"/>
              <w:right w:val="single" w:sz="4" w:space="0" w:color="auto"/>
            </w:tcBorders>
            <w:shd w:val="clear" w:color="auto" w:fill="auto"/>
            <w:noWrap/>
            <w:vAlign w:val="bottom"/>
            <w:hideMark/>
          </w:tcPr>
          <w:p w14:paraId="4DAC09AE" w14:textId="77777777" w:rsidR="00AE31DC" w:rsidRPr="00A52AEE" w:rsidRDefault="00AE31DC" w:rsidP="00FE68E8">
            <w:pPr>
              <w:jc w:val="right"/>
              <w:rPr>
                <w:lang w:eastAsia="en-GB"/>
              </w:rPr>
            </w:pPr>
            <w:r w:rsidRPr="00A52AEE">
              <w:rPr>
                <w:lang w:eastAsia="en-GB"/>
              </w:rPr>
              <w:t>640</w:t>
            </w:r>
          </w:p>
        </w:tc>
        <w:tc>
          <w:tcPr>
            <w:tcW w:w="299" w:type="pct"/>
            <w:tcBorders>
              <w:top w:val="nil"/>
              <w:left w:val="nil"/>
              <w:bottom w:val="single" w:sz="4" w:space="0" w:color="auto"/>
              <w:right w:val="single" w:sz="4" w:space="0" w:color="auto"/>
            </w:tcBorders>
            <w:shd w:val="clear" w:color="auto" w:fill="auto"/>
            <w:noWrap/>
            <w:vAlign w:val="bottom"/>
            <w:hideMark/>
          </w:tcPr>
          <w:p w14:paraId="5BFC3F29"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770FF7C2" w14:textId="77777777" w:rsidR="00AE31DC" w:rsidRPr="00A52AEE" w:rsidRDefault="00AE31DC" w:rsidP="00FE68E8">
            <w:pPr>
              <w:jc w:val="right"/>
              <w:rPr>
                <w:lang w:eastAsia="en-GB"/>
              </w:rPr>
            </w:pPr>
            <w:r w:rsidRPr="00A52AEE">
              <w:rPr>
                <w:lang w:eastAsia="en-GB"/>
              </w:rPr>
              <w:t>645</w:t>
            </w:r>
          </w:p>
        </w:tc>
        <w:tc>
          <w:tcPr>
            <w:tcW w:w="299" w:type="pct"/>
            <w:tcBorders>
              <w:top w:val="nil"/>
              <w:left w:val="nil"/>
              <w:bottom w:val="single" w:sz="4" w:space="0" w:color="auto"/>
              <w:right w:val="single" w:sz="4" w:space="0" w:color="auto"/>
            </w:tcBorders>
            <w:shd w:val="clear" w:color="auto" w:fill="auto"/>
            <w:noWrap/>
            <w:vAlign w:val="bottom"/>
            <w:hideMark/>
          </w:tcPr>
          <w:p w14:paraId="3AA0D4F3"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47163157" w14:textId="77777777" w:rsidR="00AE31DC" w:rsidRPr="00A52AEE" w:rsidRDefault="00AE31DC" w:rsidP="00FE68E8">
            <w:pPr>
              <w:jc w:val="right"/>
              <w:rPr>
                <w:lang w:eastAsia="en-GB"/>
              </w:rPr>
            </w:pPr>
            <w:r w:rsidRPr="00A52AEE">
              <w:rPr>
                <w:lang w:eastAsia="en-GB"/>
              </w:rPr>
              <w:t>600</w:t>
            </w:r>
          </w:p>
        </w:tc>
        <w:tc>
          <w:tcPr>
            <w:tcW w:w="298" w:type="pct"/>
            <w:tcBorders>
              <w:top w:val="nil"/>
              <w:left w:val="nil"/>
              <w:bottom w:val="single" w:sz="4" w:space="0" w:color="auto"/>
              <w:right w:val="single" w:sz="4" w:space="0" w:color="auto"/>
            </w:tcBorders>
            <w:shd w:val="clear" w:color="auto" w:fill="auto"/>
            <w:noWrap/>
            <w:vAlign w:val="bottom"/>
            <w:hideMark/>
          </w:tcPr>
          <w:p w14:paraId="396F9FE3"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0A5593AC" w14:textId="77777777" w:rsidR="00AE31DC" w:rsidRPr="00A52AEE" w:rsidRDefault="00AE31DC" w:rsidP="00FE68E8">
            <w:pPr>
              <w:jc w:val="right"/>
              <w:rPr>
                <w:lang w:eastAsia="en-GB"/>
              </w:rPr>
            </w:pPr>
            <w:r w:rsidRPr="00A52AEE">
              <w:rPr>
                <w:lang w:eastAsia="en-GB"/>
              </w:rPr>
              <w:t>680</w:t>
            </w:r>
          </w:p>
        </w:tc>
        <w:tc>
          <w:tcPr>
            <w:tcW w:w="300" w:type="pct"/>
            <w:tcBorders>
              <w:top w:val="nil"/>
              <w:left w:val="nil"/>
              <w:bottom w:val="single" w:sz="4" w:space="0" w:color="auto"/>
              <w:right w:val="single" w:sz="4" w:space="0" w:color="auto"/>
            </w:tcBorders>
            <w:shd w:val="clear" w:color="auto" w:fill="auto"/>
            <w:noWrap/>
            <w:vAlign w:val="bottom"/>
            <w:hideMark/>
          </w:tcPr>
          <w:p w14:paraId="100ED68C"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24498104" w14:textId="77777777" w:rsidR="00AE31DC" w:rsidRPr="00A52AEE" w:rsidRDefault="00AE31DC" w:rsidP="00FE68E8">
            <w:pPr>
              <w:jc w:val="right"/>
              <w:rPr>
                <w:lang w:eastAsia="en-GB"/>
              </w:rPr>
            </w:pPr>
            <w:r w:rsidRPr="00A52AEE">
              <w:rPr>
                <w:lang w:eastAsia="en-GB"/>
              </w:rPr>
              <w:t>695</w:t>
            </w:r>
          </w:p>
        </w:tc>
        <w:tc>
          <w:tcPr>
            <w:tcW w:w="300" w:type="pct"/>
            <w:tcBorders>
              <w:top w:val="nil"/>
              <w:left w:val="nil"/>
              <w:bottom w:val="single" w:sz="4" w:space="0" w:color="auto"/>
              <w:right w:val="single" w:sz="4" w:space="0" w:color="auto"/>
            </w:tcBorders>
            <w:shd w:val="clear" w:color="auto" w:fill="auto"/>
            <w:noWrap/>
            <w:vAlign w:val="bottom"/>
            <w:hideMark/>
          </w:tcPr>
          <w:p w14:paraId="32E74D39"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4139A605" w14:textId="46EF7A27" w:rsidR="00AE31DC" w:rsidRPr="00A52AEE" w:rsidRDefault="00AE31DC" w:rsidP="00FE68E8">
            <w:pPr>
              <w:jc w:val="right"/>
              <w:rPr>
                <w:rFonts w:eastAsia="Times New Roman"/>
                <w:lang w:eastAsia="en-GB"/>
              </w:rPr>
            </w:pPr>
            <w:r w:rsidRPr="00A52AEE">
              <w:t>55</w:t>
            </w:r>
          </w:p>
        </w:tc>
      </w:tr>
      <w:tr w:rsidR="00DB2D18" w:rsidRPr="00A52AEE" w14:paraId="5DB44620" w14:textId="5BA2DAC4"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4968013E" w14:textId="77777777" w:rsidR="00AE31DC" w:rsidRPr="00A52AEE" w:rsidRDefault="00AE31DC" w:rsidP="00A52AEE">
            <w:pPr>
              <w:rPr>
                <w:lang w:eastAsia="en-GB"/>
              </w:rPr>
            </w:pPr>
            <w:r w:rsidRPr="00A52AEE">
              <w:rPr>
                <w:lang w:eastAsia="en-GB"/>
              </w:rPr>
              <w:t>Brent</w:t>
            </w:r>
          </w:p>
        </w:tc>
        <w:tc>
          <w:tcPr>
            <w:tcW w:w="491" w:type="pct"/>
            <w:tcBorders>
              <w:top w:val="nil"/>
              <w:left w:val="nil"/>
              <w:bottom w:val="single" w:sz="4" w:space="0" w:color="auto"/>
              <w:right w:val="single" w:sz="4" w:space="0" w:color="auto"/>
            </w:tcBorders>
            <w:shd w:val="clear" w:color="auto" w:fill="auto"/>
            <w:noWrap/>
            <w:vAlign w:val="bottom"/>
            <w:hideMark/>
          </w:tcPr>
          <w:p w14:paraId="36048CC1" w14:textId="77777777" w:rsidR="00AE31DC" w:rsidRPr="00A52AEE" w:rsidRDefault="00AE31DC" w:rsidP="00FE68E8">
            <w:pPr>
              <w:jc w:val="right"/>
              <w:rPr>
                <w:lang w:eastAsia="en-GB"/>
              </w:rPr>
            </w:pPr>
            <w:r w:rsidRPr="00A52AEE">
              <w:rPr>
                <w:lang w:eastAsia="en-GB"/>
              </w:rPr>
              <w:t>1655</w:t>
            </w:r>
          </w:p>
        </w:tc>
        <w:tc>
          <w:tcPr>
            <w:tcW w:w="299" w:type="pct"/>
            <w:tcBorders>
              <w:top w:val="nil"/>
              <w:left w:val="nil"/>
              <w:bottom w:val="single" w:sz="4" w:space="0" w:color="auto"/>
              <w:right w:val="single" w:sz="4" w:space="0" w:color="auto"/>
            </w:tcBorders>
            <w:shd w:val="clear" w:color="auto" w:fill="auto"/>
            <w:noWrap/>
            <w:vAlign w:val="bottom"/>
            <w:hideMark/>
          </w:tcPr>
          <w:p w14:paraId="67988ACC"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6211A746" w14:textId="77777777" w:rsidR="00AE31DC" w:rsidRPr="00A52AEE" w:rsidRDefault="00AE31DC" w:rsidP="00FE68E8">
            <w:pPr>
              <w:jc w:val="right"/>
              <w:rPr>
                <w:lang w:eastAsia="en-GB"/>
              </w:rPr>
            </w:pPr>
            <w:r w:rsidRPr="00A52AEE">
              <w:rPr>
                <w:lang w:eastAsia="en-GB"/>
              </w:rPr>
              <w:t>1675</w:t>
            </w:r>
          </w:p>
        </w:tc>
        <w:tc>
          <w:tcPr>
            <w:tcW w:w="299" w:type="pct"/>
            <w:tcBorders>
              <w:top w:val="nil"/>
              <w:left w:val="nil"/>
              <w:bottom w:val="single" w:sz="4" w:space="0" w:color="auto"/>
              <w:right w:val="single" w:sz="4" w:space="0" w:color="auto"/>
            </w:tcBorders>
            <w:shd w:val="clear" w:color="auto" w:fill="auto"/>
            <w:noWrap/>
            <w:vAlign w:val="bottom"/>
            <w:hideMark/>
          </w:tcPr>
          <w:p w14:paraId="5A4B093C"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0BAE36B7" w14:textId="77777777" w:rsidR="00AE31DC" w:rsidRPr="00A52AEE" w:rsidRDefault="00AE31DC" w:rsidP="00FE68E8">
            <w:pPr>
              <w:jc w:val="right"/>
              <w:rPr>
                <w:lang w:eastAsia="en-GB"/>
              </w:rPr>
            </w:pPr>
            <w:r w:rsidRPr="00A52AEE">
              <w:rPr>
                <w:lang w:eastAsia="en-GB"/>
              </w:rPr>
              <w:t>1645</w:t>
            </w:r>
          </w:p>
        </w:tc>
        <w:tc>
          <w:tcPr>
            <w:tcW w:w="298" w:type="pct"/>
            <w:tcBorders>
              <w:top w:val="nil"/>
              <w:left w:val="nil"/>
              <w:bottom w:val="single" w:sz="4" w:space="0" w:color="auto"/>
              <w:right w:val="single" w:sz="4" w:space="0" w:color="auto"/>
            </w:tcBorders>
            <w:shd w:val="clear" w:color="auto" w:fill="auto"/>
            <w:noWrap/>
            <w:vAlign w:val="bottom"/>
            <w:hideMark/>
          </w:tcPr>
          <w:p w14:paraId="3575BDE2"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010251CF" w14:textId="77777777" w:rsidR="00AE31DC" w:rsidRPr="00A52AEE" w:rsidRDefault="00AE31DC" w:rsidP="00FE68E8">
            <w:pPr>
              <w:jc w:val="right"/>
              <w:rPr>
                <w:lang w:eastAsia="en-GB"/>
              </w:rPr>
            </w:pPr>
            <w:r w:rsidRPr="00A52AEE">
              <w:rPr>
                <w:lang w:eastAsia="en-GB"/>
              </w:rPr>
              <w:t>1705</w:t>
            </w:r>
          </w:p>
        </w:tc>
        <w:tc>
          <w:tcPr>
            <w:tcW w:w="300" w:type="pct"/>
            <w:tcBorders>
              <w:top w:val="nil"/>
              <w:left w:val="nil"/>
              <w:bottom w:val="single" w:sz="4" w:space="0" w:color="auto"/>
              <w:right w:val="single" w:sz="4" w:space="0" w:color="auto"/>
            </w:tcBorders>
            <w:shd w:val="clear" w:color="auto" w:fill="auto"/>
            <w:noWrap/>
            <w:vAlign w:val="bottom"/>
            <w:hideMark/>
          </w:tcPr>
          <w:p w14:paraId="51092959"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6784092E" w14:textId="77777777" w:rsidR="00AE31DC" w:rsidRPr="00A52AEE" w:rsidRDefault="00AE31DC" w:rsidP="00FE68E8">
            <w:pPr>
              <w:jc w:val="right"/>
              <w:rPr>
                <w:lang w:eastAsia="en-GB"/>
              </w:rPr>
            </w:pPr>
            <w:r w:rsidRPr="00A52AEE">
              <w:rPr>
                <w:lang w:eastAsia="en-GB"/>
              </w:rPr>
              <w:t>2035</w:t>
            </w:r>
          </w:p>
        </w:tc>
        <w:tc>
          <w:tcPr>
            <w:tcW w:w="300" w:type="pct"/>
            <w:tcBorders>
              <w:top w:val="nil"/>
              <w:left w:val="nil"/>
              <w:bottom w:val="single" w:sz="4" w:space="0" w:color="auto"/>
              <w:right w:val="single" w:sz="4" w:space="0" w:color="auto"/>
            </w:tcBorders>
            <w:shd w:val="clear" w:color="auto" w:fill="auto"/>
            <w:noWrap/>
            <w:vAlign w:val="bottom"/>
            <w:hideMark/>
          </w:tcPr>
          <w:p w14:paraId="4F612AD0" w14:textId="77777777" w:rsidR="00AE31DC" w:rsidRPr="00A52AEE" w:rsidRDefault="00AE31DC" w:rsidP="00FE68E8">
            <w:pPr>
              <w:jc w:val="right"/>
              <w:rPr>
                <w:lang w:eastAsia="en-GB"/>
              </w:rPr>
            </w:pPr>
            <w:r w:rsidRPr="00A52AEE">
              <w:rPr>
                <w:lang w:eastAsia="en-GB"/>
              </w:rPr>
              <w:t>5%</w:t>
            </w:r>
          </w:p>
        </w:tc>
        <w:tc>
          <w:tcPr>
            <w:tcW w:w="370" w:type="pct"/>
            <w:tcBorders>
              <w:top w:val="nil"/>
              <w:left w:val="nil"/>
              <w:bottom w:val="single" w:sz="4" w:space="0" w:color="auto"/>
              <w:right w:val="single" w:sz="4" w:space="0" w:color="auto"/>
            </w:tcBorders>
            <w:vAlign w:val="bottom"/>
          </w:tcPr>
          <w:p w14:paraId="11AF7FF3" w14:textId="6C2DF4DE" w:rsidR="00AE31DC" w:rsidRPr="00A52AEE" w:rsidRDefault="00AE31DC" w:rsidP="00FE68E8">
            <w:pPr>
              <w:jc w:val="right"/>
              <w:rPr>
                <w:rFonts w:eastAsia="Times New Roman"/>
                <w:lang w:eastAsia="en-GB"/>
              </w:rPr>
            </w:pPr>
            <w:r w:rsidRPr="00A52AEE">
              <w:t>380</w:t>
            </w:r>
          </w:p>
        </w:tc>
      </w:tr>
      <w:tr w:rsidR="00DB2D18" w:rsidRPr="00A52AEE" w14:paraId="57F8CF8A" w14:textId="14CC5297"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67F32E49" w14:textId="77777777" w:rsidR="00AE31DC" w:rsidRPr="00A52AEE" w:rsidRDefault="00AE31DC" w:rsidP="00A52AEE">
            <w:pPr>
              <w:rPr>
                <w:lang w:eastAsia="en-GB"/>
              </w:rPr>
            </w:pPr>
            <w:r w:rsidRPr="00A52AEE">
              <w:rPr>
                <w:lang w:eastAsia="en-GB"/>
              </w:rPr>
              <w:t>Bromley</w:t>
            </w:r>
          </w:p>
        </w:tc>
        <w:tc>
          <w:tcPr>
            <w:tcW w:w="491" w:type="pct"/>
            <w:tcBorders>
              <w:top w:val="nil"/>
              <w:left w:val="nil"/>
              <w:bottom w:val="single" w:sz="4" w:space="0" w:color="auto"/>
              <w:right w:val="single" w:sz="4" w:space="0" w:color="auto"/>
            </w:tcBorders>
            <w:shd w:val="clear" w:color="auto" w:fill="auto"/>
            <w:noWrap/>
            <w:vAlign w:val="bottom"/>
            <w:hideMark/>
          </w:tcPr>
          <w:p w14:paraId="77439F9A" w14:textId="77777777" w:rsidR="00AE31DC" w:rsidRPr="00A52AEE" w:rsidRDefault="00AE31DC" w:rsidP="00FE68E8">
            <w:pPr>
              <w:jc w:val="right"/>
              <w:rPr>
                <w:lang w:eastAsia="en-GB"/>
              </w:rPr>
            </w:pPr>
            <w:r w:rsidRPr="00A52AEE">
              <w:rPr>
                <w:lang w:eastAsia="en-GB"/>
              </w:rPr>
              <w:t>660</w:t>
            </w:r>
          </w:p>
        </w:tc>
        <w:tc>
          <w:tcPr>
            <w:tcW w:w="299" w:type="pct"/>
            <w:tcBorders>
              <w:top w:val="nil"/>
              <w:left w:val="nil"/>
              <w:bottom w:val="single" w:sz="4" w:space="0" w:color="auto"/>
              <w:right w:val="single" w:sz="4" w:space="0" w:color="auto"/>
            </w:tcBorders>
            <w:shd w:val="clear" w:color="auto" w:fill="auto"/>
            <w:noWrap/>
            <w:vAlign w:val="bottom"/>
            <w:hideMark/>
          </w:tcPr>
          <w:p w14:paraId="784EC529"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00EEBD98" w14:textId="77777777" w:rsidR="00AE31DC" w:rsidRPr="00A52AEE" w:rsidRDefault="00AE31DC" w:rsidP="00FE68E8">
            <w:pPr>
              <w:jc w:val="right"/>
              <w:rPr>
                <w:lang w:eastAsia="en-GB"/>
              </w:rPr>
            </w:pPr>
            <w:r w:rsidRPr="00A52AEE">
              <w:rPr>
                <w:lang w:eastAsia="en-GB"/>
              </w:rPr>
              <w:t>740</w:t>
            </w:r>
          </w:p>
        </w:tc>
        <w:tc>
          <w:tcPr>
            <w:tcW w:w="299" w:type="pct"/>
            <w:tcBorders>
              <w:top w:val="nil"/>
              <w:left w:val="nil"/>
              <w:bottom w:val="single" w:sz="4" w:space="0" w:color="auto"/>
              <w:right w:val="single" w:sz="4" w:space="0" w:color="auto"/>
            </w:tcBorders>
            <w:shd w:val="clear" w:color="auto" w:fill="auto"/>
            <w:noWrap/>
            <w:vAlign w:val="bottom"/>
            <w:hideMark/>
          </w:tcPr>
          <w:p w14:paraId="61EC21E5"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3ADD3871" w14:textId="77777777" w:rsidR="00AE31DC" w:rsidRPr="00A52AEE" w:rsidRDefault="00AE31DC" w:rsidP="00FE68E8">
            <w:pPr>
              <w:jc w:val="right"/>
              <w:rPr>
                <w:lang w:eastAsia="en-GB"/>
              </w:rPr>
            </w:pPr>
            <w:r w:rsidRPr="00A52AEE">
              <w:rPr>
                <w:lang w:eastAsia="en-GB"/>
              </w:rPr>
              <w:t>875</w:t>
            </w:r>
          </w:p>
        </w:tc>
        <w:tc>
          <w:tcPr>
            <w:tcW w:w="298" w:type="pct"/>
            <w:tcBorders>
              <w:top w:val="nil"/>
              <w:left w:val="nil"/>
              <w:bottom w:val="single" w:sz="4" w:space="0" w:color="auto"/>
              <w:right w:val="single" w:sz="4" w:space="0" w:color="auto"/>
            </w:tcBorders>
            <w:shd w:val="clear" w:color="auto" w:fill="auto"/>
            <w:noWrap/>
            <w:vAlign w:val="bottom"/>
            <w:hideMark/>
          </w:tcPr>
          <w:p w14:paraId="53CB1BB8"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31F3456D" w14:textId="77777777" w:rsidR="00AE31DC" w:rsidRPr="00A52AEE" w:rsidRDefault="00AE31DC" w:rsidP="00FE68E8">
            <w:pPr>
              <w:jc w:val="right"/>
              <w:rPr>
                <w:lang w:eastAsia="en-GB"/>
              </w:rPr>
            </w:pPr>
            <w:r w:rsidRPr="00A52AEE">
              <w:rPr>
                <w:lang w:eastAsia="en-GB"/>
              </w:rPr>
              <w:t>675</w:t>
            </w:r>
          </w:p>
        </w:tc>
        <w:tc>
          <w:tcPr>
            <w:tcW w:w="300" w:type="pct"/>
            <w:tcBorders>
              <w:top w:val="nil"/>
              <w:left w:val="nil"/>
              <w:bottom w:val="single" w:sz="4" w:space="0" w:color="auto"/>
              <w:right w:val="single" w:sz="4" w:space="0" w:color="auto"/>
            </w:tcBorders>
            <w:shd w:val="clear" w:color="auto" w:fill="auto"/>
            <w:noWrap/>
            <w:vAlign w:val="bottom"/>
            <w:hideMark/>
          </w:tcPr>
          <w:p w14:paraId="5CBB296F"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13316211" w14:textId="77777777" w:rsidR="00AE31DC" w:rsidRPr="00A52AEE" w:rsidRDefault="00AE31DC" w:rsidP="00FE68E8">
            <w:pPr>
              <w:jc w:val="right"/>
              <w:rPr>
                <w:lang w:eastAsia="en-GB"/>
              </w:rPr>
            </w:pPr>
            <w:r w:rsidRPr="00A52AEE">
              <w:rPr>
                <w:lang w:eastAsia="en-GB"/>
              </w:rPr>
              <w:t>920</w:t>
            </w:r>
          </w:p>
        </w:tc>
        <w:tc>
          <w:tcPr>
            <w:tcW w:w="300" w:type="pct"/>
            <w:tcBorders>
              <w:top w:val="nil"/>
              <w:left w:val="nil"/>
              <w:bottom w:val="single" w:sz="4" w:space="0" w:color="auto"/>
              <w:right w:val="single" w:sz="4" w:space="0" w:color="auto"/>
            </w:tcBorders>
            <w:shd w:val="clear" w:color="auto" w:fill="auto"/>
            <w:noWrap/>
            <w:vAlign w:val="bottom"/>
            <w:hideMark/>
          </w:tcPr>
          <w:p w14:paraId="688BD860"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7D891F01" w14:textId="3A17EC86" w:rsidR="00AE31DC" w:rsidRPr="00A52AEE" w:rsidRDefault="00AE31DC" w:rsidP="00FE68E8">
            <w:pPr>
              <w:jc w:val="right"/>
              <w:rPr>
                <w:rFonts w:eastAsia="Times New Roman"/>
                <w:lang w:eastAsia="en-GB"/>
              </w:rPr>
            </w:pPr>
            <w:r w:rsidRPr="00A52AEE">
              <w:t>260</w:t>
            </w:r>
          </w:p>
        </w:tc>
      </w:tr>
      <w:tr w:rsidR="00DB2D18" w:rsidRPr="00A52AEE" w14:paraId="19B3ED3A" w14:textId="10775364"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7F3EB3DA" w14:textId="77777777" w:rsidR="00AE31DC" w:rsidRPr="00A52AEE" w:rsidRDefault="00AE31DC" w:rsidP="00A52AEE">
            <w:pPr>
              <w:rPr>
                <w:lang w:eastAsia="en-GB"/>
              </w:rPr>
            </w:pPr>
            <w:r w:rsidRPr="00A52AEE">
              <w:rPr>
                <w:lang w:eastAsia="en-GB"/>
              </w:rPr>
              <w:t>Camden</w:t>
            </w:r>
          </w:p>
        </w:tc>
        <w:tc>
          <w:tcPr>
            <w:tcW w:w="491" w:type="pct"/>
            <w:tcBorders>
              <w:top w:val="nil"/>
              <w:left w:val="nil"/>
              <w:bottom w:val="single" w:sz="4" w:space="0" w:color="auto"/>
              <w:right w:val="single" w:sz="4" w:space="0" w:color="auto"/>
            </w:tcBorders>
            <w:shd w:val="clear" w:color="auto" w:fill="auto"/>
            <w:noWrap/>
            <w:vAlign w:val="bottom"/>
            <w:hideMark/>
          </w:tcPr>
          <w:p w14:paraId="2386A06B" w14:textId="77777777" w:rsidR="00AE31DC" w:rsidRPr="00A52AEE" w:rsidRDefault="00AE31DC" w:rsidP="00FE68E8">
            <w:pPr>
              <w:jc w:val="right"/>
              <w:rPr>
                <w:lang w:eastAsia="en-GB"/>
              </w:rPr>
            </w:pPr>
            <w:r w:rsidRPr="00A52AEE">
              <w:rPr>
                <w:lang w:eastAsia="en-GB"/>
              </w:rPr>
              <w:t>775</w:t>
            </w:r>
          </w:p>
        </w:tc>
        <w:tc>
          <w:tcPr>
            <w:tcW w:w="299" w:type="pct"/>
            <w:tcBorders>
              <w:top w:val="nil"/>
              <w:left w:val="nil"/>
              <w:bottom w:val="single" w:sz="4" w:space="0" w:color="auto"/>
              <w:right w:val="single" w:sz="4" w:space="0" w:color="auto"/>
            </w:tcBorders>
            <w:shd w:val="clear" w:color="auto" w:fill="auto"/>
            <w:noWrap/>
            <w:vAlign w:val="bottom"/>
            <w:hideMark/>
          </w:tcPr>
          <w:p w14:paraId="7EC4E3D6"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62658712" w14:textId="77777777" w:rsidR="00AE31DC" w:rsidRPr="00A52AEE" w:rsidRDefault="00AE31DC" w:rsidP="00FE68E8">
            <w:pPr>
              <w:jc w:val="right"/>
              <w:rPr>
                <w:lang w:eastAsia="en-GB"/>
              </w:rPr>
            </w:pPr>
            <w:r w:rsidRPr="00A52AEE">
              <w:rPr>
                <w:lang w:eastAsia="en-GB"/>
              </w:rPr>
              <w:t>710</w:t>
            </w:r>
          </w:p>
        </w:tc>
        <w:tc>
          <w:tcPr>
            <w:tcW w:w="299" w:type="pct"/>
            <w:tcBorders>
              <w:top w:val="nil"/>
              <w:left w:val="nil"/>
              <w:bottom w:val="single" w:sz="4" w:space="0" w:color="auto"/>
              <w:right w:val="single" w:sz="4" w:space="0" w:color="auto"/>
            </w:tcBorders>
            <w:shd w:val="clear" w:color="auto" w:fill="auto"/>
            <w:noWrap/>
            <w:vAlign w:val="bottom"/>
            <w:hideMark/>
          </w:tcPr>
          <w:p w14:paraId="6BFBA0F7"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2F5B255C" w14:textId="77777777" w:rsidR="00AE31DC" w:rsidRPr="00A52AEE" w:rsidRDefault="00AE31DC" w:rsidP="00FE68E8">
            <w:pPr>
              <w:jc w:val="right"/>
              <w:rPr>
                <w:lang w:eastAsia="en-GB"/>
              </w:rPr>
            </w:pPr>
            <w:r w:rsidRPr="00A52AEE">
              <w:rPr>
                <w:lang w:eastAsia="en-GB"/>
              </w:rPr>
              <w:t>735</w:t>
            </w:r>
          </w:p>
        </w:tc>
        <w:tc>
          <w:tcPr>
            <w:tcW w:w="298" w:type="pct"/>
            <w:tcBorders>
              <w:top w:val="nil"/>
              <w:left w:val="nil"/>
              <w:bottom w:val="single" w:sz="4" w:space="0" w:color="auto"/>
              <w:right w:val="single" w:sz="4" w:space="0" w:color="auto"/>
            </w:tcBorders>
            <w:shd w:val="clear" w:color="auto" w:fill="auto"/>
            <w:noWrap/>
            <w:vAlign w:val="bottom"/>
            <w:hideMark/>
          </w:tcPr>
          <w:p w14:paraId="56B4F730"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777BD230" w14:textId="77777777" w:rsidR="00AE31DC" w:rsidRPr="00A52AEE" w:rsidRDefault="00AE31DC" w:rsidP="00FE68E8">
            <w:pPr>
              <w:jc w:val="right"/>
              <w:rPr>
                <w:lang w:eastAsia="en-GB"/>
              </w:rPr>
            </w:pPr>
            <w:r w:rsidRPr="00A52AEE">
              <w:rPr>
                <w:lang w:eastAsia="en-GB"/>
              </w:rPr>
              <w:t>600</w:t>
            </w:r>
          </w:p>
        </w:tc>
        <w:tc>
          <w:tcPr>
            <w:tcW w:w="300" w:type="pct"/>
            <w:tcBorders>
              <w:top w:val="nil"/>
              <w:left w:val="nil"/>
              <w:bottom w:val="single" w:sz="4" w:space="0" w:color="auto"/>
              <w:right w:val="single" w:sz="4" w:space="0" w:color="auto"/>
            </w:tcBorders>
            <w:shd w:val="clear" w:color="auto" w:fill="auto"/>
            <w:noWrap/>
            <w:vAlign w:val="bottom"/>
            <w:hideMark/>
          </w:tcPr>
          <w:p w14:paraId="643B6EE6"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571A6A4F" w14:textId="77777777" w:rsidR="00AE31DC" w:rsidRPr="00A52AEE" w:rsidRDefault="00AE31DC" w:rsidP="00FE68E8">
            <w:pPr>
              <w:jc w:val="right"/>
              <w:rPr>
                <w:lang w:eastAsia="en-GB"/>
              </w:rPr>
            </w:pPr>
            <w:r w:rsidRPr="00A52AEE">
              <w:rPr>
                <w:lang w:eastAsia="en-GB"/>
              </w:rPr>
              <w:t>755</w:t>
            </w:r>
          </w:p>
        </w:tc>
        <w:tc>
          <w:tcPr>
            <w:tcW w:w="300" w:type="pct"/>
            <w:tcBorders>
              <w:top w:val="nil"/>
              <w:left w:val="nil"/>
              <w:bottom w:val="single" w:sz="4" w:space="0" w:color="auto"/>
              <w:right w:val="single" w:sz="4" w:space="0" w:color="auto"/>
            </w:tcBorders>
            <w:shd w:val="clear" w:color="auto" w:fill="auto"/>
            <w:noWrap/>
            <w:vAlign w:val="bottom"/>
            <w:hideMark/>
          </w:tcPr>
          <w:p w14:paraId="2B6D4319"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4CC6D7B4" w14:textId="42D99E88" w:rsidR="00AE31DC" w:rsidRPr="00A52AEE" w:rsidRDefault="00AE31DC" w:rsidP="00FE68E8">
            <w:pPr>
              <w:jc w:val="right"/>
              <w:rPr>
                <w:rFonts w:eastAsia="Times New Roman"/>
                <w:lang w:eastAsia="en-GB"/>
              </w:rPr>
            </w:pPr>
            <w:r w:rsidRPr="00A52AEE">
              <w:t>-20</w:t>
            </w:r>
          </w:p>
        </w:tc>
      </w:tr>
      <w:tr w:rsidR="00DB2D18" w:rsidRPr="00A52AEE" w14:paraId="77F587A8" w14:textId="034DECF6"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6A08710" w14:textId="77777777" w:rsidR="00AE31DC" w:rsidRPr="00A52AEE" w:rsidRDefault="00AE31DC" w:rsidP="00A52AEE">
            <w:pPr>
              <w:rPr>
                <w:lang w:eastAsia="en-GB"/>
              </w:rPr>
            </w:pPr>
            <w:r w:rsidRPr="00A52AEE">
              <w:rPr>
                <w:lang w:eastAsia="en-GB"/>
              </w:rPr>
              <w:t>City of London</w:t>
            </w:r>
          </w:p>
        </w:tc>
        <w:tc>
          <w:tcPr>
            <w:tcW w:w="491" w:type="pct"/>
            <w:tcBorders>
              <w:top w:val="nil"/>
              <w:left w:val="nil"/>
              <w:bottom w:val="single" w:sz="4" w:space="0" w:color="auto"/>
              <w:right w:val="single" w:sz="4" w:space="0" w:color="auto"/>
            </w:tcBorders>
            <w:shd w:val="clear" w:color="auto" w:fill="auto"/>
            <w:noWrap/>
            <w:vAlign w:val="bottom"/>
            <w:hideMark/>
          </w:tcPr>
          <w:p w14:paraId="776A451B" w14:textId="77777777" w:rsidR="00AE31DC" w:rsidRPr="00A52AEE" w:rsidRDefault="00AE31DC" w:rsidP="00FE68E8">
            <w:pPr>
              <w:jc w:val="right"/>
              <w:rPr>
                <w:lang w:eastAsia="en-GB"/>
              </w:rPr>
            </w:pPr>
            <w:r w:rsidRPr="00A52AEE">
              <w:rPr>
                <w:lang w:eastAsia="en-GB"/>
              </w:rPr>
              <w:t>20</w:t>
            </w:r>
          </w:p>
        </w:tc>
        <w:tc>
          <w:tcPr>
            <w:tcW w:w="299" w:type="pct"/>
            <w:tcBorders>
              <w:top w:val="nil"/>
              <w:left w:val="nil"/>
              <w:bottom w:val="single" w:sz="4" w:space="0" w:color="auto"/>
              <w:right w:val="single" w:sz="4" w:space="0" w:color="auto"/>
            </w:tcBorders>
            <w:shd w:val="clear" w:color="auto" w:fill="auto"/>
            <w:noWrap/>
            <w:vAlign w:val="bottom"/>
            <w:hideMark/>
          </w:tcPr>
          <w:p w14:paraId="42EA03E9" w14:textId="77777777" w:rsidR="00AE31DC" w:rsidRPr="00A52AEE" w:rsidRDefault="00AE31DC" w:rsidP="00FE68E8">
            <w:pPr>
              <w:jc w:val="right"/>
              <w:rPr>
                <w:lang w:eastAsia="en-GB"/>
              </w:rPr>
            </w:pPr>
            <w:r w:rsidRPr="00A52AEE">
              <w:rPr>
                <w:lang w:eastAsia="en-GB"/>
              </w:rPr>
              <w:t>0%</w:t>
            </w:r>
          </w:p>
        </w:tc>
        <w:tc>
          <w:tcPr>
            <w:tcW w:w="374" w:type="pct"/>
            <w:tcBorders>
              <w:top w:val="nil"/>
              <w:left w:val="nil"/>
              <w:bottom w:val="single" w:sz="4" w:space="0" w:color="auto"/>
              <w:right w:val="single" w:sz="4" w:space="0" w:color="auto"/>
            </w:tcBorders>
            <w:shd w:val="clear" w:color="auto" w:fill="auto"/>
            <w:noWrap/>
            <w:vAlign w:val="bottom"/>
            <w:hideMark/>
          </w:tcPr>
          <w:p w14:paraId="26A4D916" w14:textId="77777777" w:rsidR="00AE31DC" w:rsidRPr="00A52AEE" w:rsidRDefault="00AE31DC" w:rsidP="00FE68E8">
            <w:pPr>
              <w:jc w:val="right"/>
              <w:rPr>
                <w:lang w:eastAsia="en-GB"/>
              </w:rPr>
            </w:pPr>
            <w:r w:rsidRPr="00A52AEE">
              <w:rPr>
                <w:lang w:eastAsia="en-GB"/>
              </w:rPr>
              <w:t>20</w:t>
            </w:r>
          </w:p>
        </w:tc>
        <w:tc>
          <w:tcPr>
            <w:tcW w:w="299" w:type="pct"/>
            <w:tcBorders>
              <w:top w:val="nil"/>
              <w:left w:val="nil"/>
              <w:bottom w:val="single" w:sz="4" w:space="0" w:color="auto"/>
              <w:right w:val="single" w:sz="4" w:space="0" w:color="auto"/>
            </w:tcBorders>
            <w:shd w:val="clear" w:color="auto" w:fill="auto"/>
            <w:noWrap/>
            <w:vAlign w:val="bottom"/>
            <w:hideMark/>
          </w:tcPr>
          <w:p w14:paraId="1D28F9DC" w14:textId="77777777" w:rsidR="00AE31DC" w:rsidRPr="00A52AEE" w:rsidRDefault="00AE31DC" w:rsidP="00FE68E8">
            <w:pPr>
              <w:jc w:val="right"/>
              <w:rPr>
                <w:lang w:eastAsia="en-GB"/>
              </w:rPr>
            </w:pPr>
            <w:r w:rsidRPr="00A52AEE">
              <w:rPr>
                <w:lang w:eastAsia="en-GB"/>
              </w:rPr>
              <w:t>0%</w:t>
            </w:r>
          </w:p>
        </w:tc>
        <w:tc>
          <w:tcPr>
            <w:tcW w:w="373" w:type="pct"/>
            <w:tcBorders>
              <w:top w:val="nil"/>
              <w:left w:val="nil"/>
              <w:bottom w:val="single" w:sz="4" w:space="0" w:color="auto"/>
              <w:right w:val="single" w:sz="4" w:space="0" w:color="auto"/>
            </w:tcBorders>
            <w:shd w:val="clear" w:color="auto" w:fill="auto"/>
            <w:noWrap/>
            <w:vAlign w:val="bottom"/>
            <w:hideMark/>
          </w:tcPr>
          <w:p w14:paraId="480630BB" w14:textId="77777777" w:rsidR="00AE31DC" w:rsidRPr="00A52AEE" w:rsidRDefault="00AE31DC" w:rsidP="00FE68E8">
            <w:pPr>
              <w:jc w:val="right"/>
              <w:rPr>
                <w:lang w:eastAsia="en-GB"/>
              </w:rPr>
            </w:pPr>
            <w:r w:rsidRPr="00A52AEE">
              <w:rPr>
                <w:lang w:eastAsia="en-GB"/>
              </w:rPr>
              <w:t>25</w:t>
            </w:r>
          </w:p>
        </w:tc>
        <w:tc>
          <w:tcPr>
            <w:tcW w:w="298" w:type="pct"/>
            <w:tcBorders>
              <w:top w:val="nil"/>
              <w:left w:val="nil"/>
              <w:bottom w:val="single" w:sz="4" w:space="0" w:color="auto"/>
              <w:right w:val="single" w:sz="4" w:space="0" w:color="auto"/>
            </w:tcBorders>
            <w:shd w:val="clear" w:color="auto" w:fill="auto"/>
            <w:noWrap/>
            <w:vAlign w:val="bottom"/>
            <w:hideMark/>
          </w:tcPr>
          <w:p w14:paraId="30885E89" w14:textId="77777777" w:rsidR="00AE31DC" w:rsidRPr="00A52AEE" w:rsidRDefault="00AE31DC" w:rsidP="00FE68E8">
            <w:pPr>
              <w:jc w:val="right"/>
              <w:rPr>
                <w:lang w:eastAsia="en-GB"/>
              </w:rPr>
            </w:pPr>
            <w:r w:rsidRPr="00A52AEE">
              <w:rPr>
                <w:lang w:eastAsia="en-GB"/>
              </w:rPr>
              <w:t>0%</w:t>
            </w:r>
          </w:p>
        </w:tc>
        <w:tc>
          <w:tcPr>
            <w:tcW w:w="373" w:type="pct"/>
            <w:tcBorders>
              <w:top w:val="nil"/>
              <w:left w:val="nil"/>
              <w:bottom w:val="single" w:sz="4" w:space="0" w:color="auto"/>
              <w:right w:val="single" w:sz="4" w:space="0" w:color="auto"/>
            </w:tcBorders>
            <w:shd w:val="clear" w:color="auto" w:fill="auto"/>
            <w:noWrap/>
            <w:vAlign w:val="bottom"/>
            <w:hideMark/>
          </w:tcPr>
          <w:p w14:paraId="7A9F771F" w14:textId="77777777" w:rsidR="00AE31DC" w:rsidRPr="00A52AEE" w:rsidRDefault="00AE31DC" w:rsidP="00FE68E8">
            <w:pPr>
              <w:jc w:val="right"/>
              <w:rPr>
                <w:lang w:eastAsia="en-GB"/>
              </w:rPr>
            </w:pPr>
            <w:r w:rsidRPr="00A52AEE">
              <w:rPr>
                <w:lang w:eastAsia="en-GB"/>
              </w:rPr>
              <w:t>20</w:t>
            </w:r>
          </w:p>
        </w:tc>
        <w:tc>
          <w:tcPr>
            <w:tcW w:w="300" w:type="pct"/>
            <w:tcBorders>
              <w:top w:val="nil"/>
              <w:left w:val="nil"/>
              <w:bottom w:val="single" w:sz="4" w:space="0" w:color="auto"/>
              <w:right w:val="single" w:sz="4" w:space="0" w:color="auto"/>
            </w:tcBorders>
            <w:shd w:val="clear" w:color="auto" w:fill="auto"/>
            <w:noWrap/>
            <w:vAlign w:val="bottom"/>
            <w:hideMark/>
          </w:tcPr>
          <w:p w14:paraId="52A9D9CB" w14:textId="77777777" w:rsidR="00AE31DC" w:rsidRPr="00A52AEE" w:rsidRDefault="00AE31DC" w:rsidP="00FE68E8">
            <w:pPr>
              <w:jc w:val="right"/>
              <w:rPr>
                <w:lang w:eastAsia="en-GB"/>
              </w:rPr>
            </w:pPr>
            <w:r w:rsidRPr="00A52AEE">
              <w:rPr>
                <w:lang w:eastAsia="en-GB"/>
              </w:rPr>
              <w:t>0%</w:t>
            </w:r>
          </w:p>
        </w:tc>
        <w:tc>
          <w:tcPr>
            <w:tcW w:w="374" w:type="pct"/>
            <w:tcBorders>
              <w:top w:val="nil"/>
              <w:left w:val="nil"/>
              <w:bottom w:val="single" w:sz="4" w:space="0" w:color="auto"/>
              <w:right w:val="single" w:sz="4" w:space="0" w:color="auto"/>
            </w:tcBorders>
            <w:shd w:val="clear" w:color="auto" w:fill="auto"/>
            <w:noWrap/>
            <w:vAlign w:val="bottom"/>
            <w:hideMark/>
          </w:tcPr>
          <w:p w14:paraId="59153290" w14:textId="77777777" w:rsidR="00AE31DC" w:rsidRPr="00A52AEE" w:rsidRDefault="00AE31DC" w:rsidP="00FE68E8">
            <w:pPr>
              <w:jc w:val="right"/>
              <w:rPr>
                <w:lang w:eastAsia="en-GB"/>
              </w:rPr>
            </w:pPr>
            <w:r w:rsidRPr="00A52AEE">
              <w:rPr>
                <w:lang w:eastAsia="en-GB"/>
              </w:rPr>
              <w:t>20</w:t>
            </w:r>
          </w:p>
        </w:tc>
        <w:tc>
          <w:tcPr>
            <w:tcW w:w="300" w:type="pct"/>
            <w:tcBorders>
              <w:top w:val="nil"/>
              <w:left w:val="nil"/>
              <w:bottom w:val="single" w:sz="4" w:space="0" w:color="auto"/>
              <w:right w:val="single" w:sz="4" w:space="0" w:color="auto"/>
            </w:tcBorders>
            <w:shd w:val="clear" w:color="auto" w:fill="auto"/>
            <w:noWrap/>
            <w:vAlign w:val="bottom"/>
            <w:hideMark/>
          </w:tcPr>
          <w:p w14:paraId="1D4194C8" w14:textId="77777777" w:rsidR="00AE31DC" w:rsidRPr="00A52AEE" w:rsidRDefault="00AE31DC" w:rsidP="00FE68E8">
            <w:pPr>
              <w:jc w:val="right"/>
              <w:rPr>
                <w:lang w:eastAsia="en-GB"/>
              </w:rPr>
            </w:pPr>
            <w:r w:rsidRPr="00A52AEE">
              <w:rPr>
                <w:lang w:eastAsia="en-GB"/>
              </w:rPr>
              <w:t>0%</w:t>
            </w:r>
          </w:p>
        </w:tc>
        <w:tc>
          <w:tcPr>
            <w:tcW w:w="370" w:type="pct"/>
            <w:tcBorders>
              <w:top w:val="nil"/>
              <w:left w:val="nil"/>
              <w:bottom w:val="single" w:sz="4" w:space="0" w:color="auto"/>
              <w:right w:val="single" w:sz="4" w:space="0" w:color="auto"/>
            </w:tcBorders>
            <w:vAlign w:val="bottom"/>
          </w:tcPr>
          <w:p w14:paraId="5F88414D" w14:textId="31A396AE" w:rsidR="00AE31DC" w:rsidRPr="00A52AEE" w:rsidRDefault="00AE31DC" w:rsidP="00FE68E8">
            <w:pPr>
              <w:jc w:val="right"/>
              <w:rPr>
                <w:rFonts w:eastAsia="Times New Roman"/>
                <w:lang w:eastAsia="en-GB"/>
              </w:rPr>
            </w:pPr>
            <w:r w:rsidRPr="00A52AEE">
              <w:t>0</w:t>
            </w:r>
          </w:p>
        </w:tc>
      </w:tr>
      <w:tr w:rsidR="00DB2D18" w:rsidRPr="00A52AEE" w14:paraId="383C973E" w14:textId="093E2010" w:rsidTr="00DB2D18">
        <w:trPr>
          <w:trHeight w:val="277"/>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162316B" w14:textId="77777777" w:rsidR="00AE31DC" w:rsidRPr="00A52AEE" w:rsidRDefault="00AE31DC" w:rsidP="00A52AEE">
            <w:pPr>
              <w:rPr>
                <w:lang w:eastAsia="en-GB"/>
              </w:rPr>
            </w:pPr>
            <w:r w:rsidRPr="00A52AEE">
              <w:rPr>
                <w:lang w:eastAsia="en-GB"/>
              </w:rPr>
              <w:t>Croydon</w:t>
            </w:r>
          </w:p>
        </w:tc>
        <w:tc>
          <w:tcPr>
            <w:tcW w:w="491" w:type="pct"/>
            <w:tcBorders>
              <w:top w:val="nil"/>
              <w:left w:val="nil"/>
              <w:bottom w:val="single" w:sz="4" w:space="0" w:color="auto"/>
              <w:right w:val="single" w:sz="4" w:space="0" w:color="auto"/>
            </w:tcBorders>
            <w:shd w:val="clear" w:color="auto" w:fill="auto"/>
            <w:noWrap/>
            <w:vAlign w:val="bottom"/>
            <w:hideMark/>
          </w:tcPr>
          <w:p w14:paraId="4F0E933D" w14:textId="77777777" w:rsidR="00AE31DC" w:rsidRPr="00A52AEE" w:rsidRDefault="00AE31DC" w:rsidP="00FE68E8">
            <w:pPr>
              <w:jc w:val="right"/>
              <w:rPr>
                <w:lang w:eastAsia="en-GB"/>
              </w:rPr>
            </w:pPr>
            <w:r w:rsidRPr="00A52AEE">
              <w:rPr>
                <w:lang w:eastAsia="en-GB"/>
              </w:rPr>
              <w:t>1845</w:t>
            </w:r>
          </w:p>
        </w:tc>
        <w:tc>
          <w:tcPr>
            <w:tcW w:w="299" w:type="pct"/>
            <w:tcBorders>
              <w:top w:val="nil"/>
              <w:left w:val="nil"/>
              <w:bottom w:val="single" w:sz="4" w:space="0" w:color="auto"/>
              <w:right w:val="single" w:sz="4" w:space="0" w:color="auto"/>
            </w:tcBorders>
            <w:shd w:val="clear" w:color="auto" w:fill="auto"/>
            <w:noWrap/>
            <w:vAlign w:val="bottom"/>
            <w:hideMark/>
          </w:tcPr>
          <w:p w14:paraId="7D335BEE"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365AB252" w14:textId="77777777" w:rsidR="00AE31DC" w:rsidRPr="00A52AEE" w:rsidRDefault="00AE31DC" w:rsidP="00FE68E8">
            <w:pPr>
              <w:jc w:val="right"/>
              <w:rPr>
                <w:lang w:eastAsia="en-GB"/>
              </w:rPr>
            </w:pPr>
            <w:r w:rsidRPr="00A52AEE">
              <w:rPr>
                <w:lang w:eastAsia="en-GB"/>
              </w:rPr>
              <w:t>1870</w:t>
            </w:r>
          </w:p>
        </w:tc>
        <w:tc>
          <w:tcPr>
            <w:tcW w:w="299" w:type="pct"/>
            <w:tcBorders>
              <w:top w:val="nil"/>
              <w:left w:val="nil"/>
              <w:bottom w:val="single" w:sz="4" w:space="0" w:color="auto"/>
              <w:right w:val="single" w:sz="4" w:space="0" w:color="auto"/>
            </w:tcBorders>
            <w:shd w:val="clear" w:color="auto" w:fill="auto"/>
            <w:noWrap/>
            <w:vAlign w:val="bottom"/>
            <w:hideMark/>
          </w:tcPr>
          <w:p w14:paraId="5077CD2E" w14:textId="77777777" w:rsidR="00AE31DC" w:rsidRPr="00A52AEE" w:rsidRDefault="00AE31DC" w:rsidP="00FE68E8">
            <w:pPr>
              <w:jc w:val="right"/>
              <w:rPr>
                <w:lang w:eastAsia="en-GB"/>
              </w:rPr>
            </w:pPr>
            <w:r w:rsidRPr="00A52AEE">
              <w:rPr>
                <w:lang w:eastAsia="en-GB"/>
              </w:rPr>
              <w:t>5%</w:t>
            </w:r>
          </w:p>
        </w:tc>
        <w:tc>
          <w:tcPr>
            <w:tcW w:w="373" w:type="pct"/>
            <w:tcBorders>
              <w:top w:val="nil"/>
              <w:left w:val="nil"/>
              <w:bottom w:val="single" w:sz="4" w:space="0" w:color="auto"/>
              <w:right w:val="single" w:sz="4" w:space="0" w:color="auto"/>
            </w:tcBorders>
            <w:shd w:val="clear" w:color="auto" w:fill="auto"/>
            <w:noWrap/>
            <w:vAlign w:val="bottom"/>
            <w:hideMark/>
          </w:tcPr>
          <w:p w14:paraId="1F072BF0" w14:textId="77777777" w:rsidR="00AE31DC" w:rsidRPr="00A52AEE" w:rsidRDefault="00AE31DC" w:rsidP="00FE68E8">
            <w:pPr>
              <w:jc w:val="right"/>
              <w:rPr>
                <w:lang w:eastAsia="en-GB"/>
              </w:rPr>
            </w:pPr>
            <w:r w:rsidRPr="00A52AEE">
              <w:rPr>
                <w:lang w:eastAsia="en-GB"/>
              </w:rPr>
              <w:t>2085</w:t>
            </w:r>
          </w:p>
        </w:tc>
        <w:tc>
          <w:tcPr>
            <w:tcW w:w="298" w:type="pct"/>
            <w:tcBorders>
              <w:top w:val="nil"/>
              <w:left w:val="nil"/>
              <w:bottom w:val="single" w:sz="4" w:space="0" w:color="auto"/>
              <w:right w:val="single" w:sz="4" w:space="0" w:color="auto"/>
            </w:tcBorders>
            <w:shd w:val="clear" w:color="auto" w:fill="auto"/>
            <w:noWrap/>
            <w:vAlign w:val="bottom"/>
            <w:hideMark/>
          </w:tcPr>
          <w:p w14:paraId="712D61F0" w14:textId="77777777" w:rsidR="00AE31DC" w:rsidRPr="00A52AEE" w:rsidRDefault="00AE31DC" w:rsidP="00FE68E8">
            <w:pPr>
              <w:jc w:val="right"/>
              <w:rPr>
                <w:lang w:eastAsia="en-GB"/>
              </w:rPr>
            </w:pPr>
            <w:r w:rsidRPr="00A52AEE">
              <w:rPr>
                <w:lang w:eastAsia="en-GB"/>
              </w:rPr>
              <w:t>5%</w:t>
            </w:r>
          </w:p>
        </w:tc>
        <w:tc>
          <w:tcPr>
            <w:tcW w:w="373" w:type="pct"/>
            <w:tcBorders>
              <w:top w:val="nil"/>
              <w:left w:val="nil"/>
              <w:bottom w:val="single" w:sz="4" w:space="0" w:color="auto"/>
              <w:right w:val="single" w:sz="4" w:space="0" w:color="auto"/>
            </w:tcBorders>
            <w:shd w:val="clear" w:color="auto" w:fill="auto"/>
            <w:noWrap/>
            <w:vAlign w:val="bottom"/>
            <w:hideMark/>
          </w:tcPr>
          <w:p w14:paraId="75132686" w14:textId="77777777" w:rsidR="00AE31DC" w:rsidRPr="00A52AEE" w:rsidRDefault="00AE31DC" w:rsidP="00FE68E8">
            <w:pPr>
              <w:jc w:val="right"/>
              <w:rPr>
                <w:lang w:eastAsia="en-GB"/>
              </w:rPr>
            </w:pPr>
            <w:r w:rsidRPr="00A52AEE">
              <w:rPr>
                <w:lang w:eastAsia="en-GB"/>
              </w:rPr>
              <w:t>1695</w:t>
            </w:r>
          </w:p>
        </w:tc>
        <w:tc>
          <w:tcPr>
            <w:tcW w:w="300" w:type="pct"/>
            <w:tcBorders>
              <w:top w:val="nil"/>
              <w:left w:val="nil"/>
              <w:bottom w:val="single" w:sz="4" w:space="0" w:color="auto"/>
              <w:right w:val="single" w:sz="4" w:space="0" w:color="auto"/>
            </w:tcBorders>
            <w:shd w:val="clear" w:color="auto" w:fill="auto"/>
            <w:noWrap/>
            <w:vAlign w:val="bottom"/>
            <w:hideMark/>
          </w:tcPr>
          <w:p w14:paraId="7AB9EA12"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4955BD6F" w14:textId="77777777" w:rsidR="00AE31DC" w:rsidRPr="00A52AEE" w:rsidRDefault="00AE31DC" w:rsidP="00FE68E8">
            <w:pPr>
              <w:jc w:val="right"/>
              <w:rPr>
                <w:lang w:eastAsia="en-GB"/>
              </w:rPr>
            </w:pPr>
            <w:r w:rsidRPr="00A52AEE">
              <w:rPr>
                <w:lang w:eastAsia="en-GB"/>
              </w:rPr>
              <w:t>1710</w:t>
            </w:r>
          </w:p>
        </w:tc>
        <w:tc>
          <w:tcPr>
            <w:tcW w:w="300" w:type="pct"/>
            <w:tcBorders>
              <w:top w:val="nil"/>
              <w:left w:val="nil"/>
              <w:bottom w:val="single" w:sz="4" w:space="0" w:color="auto"/>
              <w:right w:val="single" w:sz="4" w:space="0" w:color="auto"/>
            </w:tcBorders>
            <w:shd w:val="clear" w:color="auto" w:fill="auto"/>
            <w:noWrap/>
            <w:vAlign w:val="bottom"/>
            <w:hideMark/>
          </w:tcPr>
          <w:p w14:paraId="79511FC4"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2F60BE4F" w14:textId="6BD871CB" w:rsidR="00AE31DC" w:rsidRPr="00A52AEE" w:rsidRDefault="00AE31DC" w:rsidP="00FE68E8">
            <w:pPr>
              <w:jc w:val="right"/>
              <w:rPr>
                <w:rFonts w:eastAsia="Times New Roman"/>
                <w:lang w:eastAsia="en-GB"/>
              </w:rPr>
            </w:pPr>
            <w:r w:rsidRPr="00A52AEE">
              <w:t>-135</w:t>
            </w:r>
          </w:p>
        </w:tc>
      </w:tr>
      <w:tr w:rsidR="00DB2D18" w:rsidRPr="00A52AEE" w14:paraId="602CC443" w14:textId="2D71B4E4"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782F4E0" w14:textId="77777777" w:rsidR="00AE31DC" w:rsidRPr="00A52AEE" w:rsidRDefault="00AE31DC" w:rsidP="00A52AEE">
            <w:pPr>
              <w:rPr>
                <w:lang w:eastAsia="en-GB"/>
              </w:rPr>
            </w:pPr>
            <w:r w:rsidRPr="00A52AEE">
              <w:rPr>
                <w:lang w:eastAsia="en-GB"/>
              </w:rPr>
              <w:t>Ealing</w:t>
            </w:r>
          </w:p>
        </w:tc>
        <w:tc>
          <w:tcPr>
            <w:tcW w:w="491" w:type="pct"/>
            <w:tcBorders>
              <w:top w:val="nil"/>
              <w:left w:val="nil"/>
              <w:bottom w:val="single" w:sz="4" w:space="0" w:color="auto"/>
              <w:right w:val="single" w:sz="4" w:space="0" w:color="auto"/>
            </w:tcBorders>
            <w:shd w:val="clear" w:color="auto" w:fill="auto"/>
            <w:noWrap/>
            <w:vAlign w:val="bottom"/>
            <w:hideMark/>
          </w:tcPr>
          <w:p w14:paraId="45F8F690" w14:textId="77777777" w:rsidR="00AE31DC" w:rsidRPr="00A52AEE" w:rsidRDefault="00AE31DC" w:rsidP="00FE68E8">
            <w:pPr>
              <w:jc w:val="right"/>
              <w:rPr>
                <w:lang w:eastAsia="en-GB"/>
              </w:rPr>
            </w:pPr>
            <w:r w:rsidRPr="00A52AEE">
              <w:rPr>
                <w:lang w:eastAsia="en-GB"/>
              </w:rPr>
              <w:t>1645</w:t>
            </w:r>
          </w:p>
        </w:tc>
        <w:tc>
          <w:tcPr>
            <w:tcW w:w="299" w:type="pct"/>
            <w:tcBorders>
              <w:top w:val="nil"/>
              <w:left w:val="nil"/>
              <w:bottom w:val="single" w:sz="4" w:space="0" w:color="auto"/>
              <w:right w:val="single" w:sz="4" w:space="0" w:color="auto"/>
            </w:tcBorders>
            <w:shd w:val="clear" w:color="auto" w:fill="auto"/>
            <w:noWrap/>
            <w:vAlign w:val="bottom"/>
            <w:hideMark/>
          </w:tcPr>
          <w:p w14:paraId="7B17CD32"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5B280407" w14:textId="77777777" w:rsidR="00AE31DC" w:rsidRPr="00A52AEE" w:rsidRDefault="00AE31DC" w:rsidP="00FE68E8">
            <w:pPr>
              <w:jc w:val="right"/>
              <w:rPr>
                <w:lang w:eastAsia="en-GB"/>
              </w:rPr>
            </w:pPr>
            <w:r w:rsidRPr="00A52AEE">
              <w:rPr>
                <w:lang w:eastAsia="en-GB"/>
              </w:rPr>
              <w:t>1685</w:t>
            </w:r>
          </w:p>
        </w:tc>
        <w:tc>
          <w:tcPr>
            <w:tcW w:w="299" w:type="pct"/>
            <w:tcBorders>
              <w:top w:val="nil"/>
              <w:left w:val="nil"/>
              <w:bottom w:val="single" w:sz="4" w:space="0" w:color="auto"/>
              <w:right w:val="single" w:sz="4" w:space="0" w:color="auto"/>
            </w:tcBorders>
            <w:shd w:val="clear" w:color="auto" w:fill="auto"/>
            <w:noWrap/>
            <w:vAlign w:val="bottom"/>
            <w:hideMark/>
          </w:tcPr>
          <w:p w14:paraId="292F6CF7"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1B741334" w14:textId="77777777" w:rsidR="00AE31DC" w:rsidRPr="00A52AEE" w:rsidRDefault="00AE31DC" w:rsidP="00FE68E8">
            <w:pPr>
              <w:jc w:val="right"/>
              <w:rPr>
                <w:lang w:eastAsia="en-GB"/>
              </w:rPr>
            </w:pPr>
            <w:r w:rsidRPr="00A52AEE">
              <w:rPr>
                <w:lang w:eastAsia="en-GB"/>
              </w:rPr>
              <w:t>1695</w:t>
            </w:r>
          </w:p>
        </w:tc>
        <w:tc>
          <w:tcPr>
            <w:tcW w:w="298" w:type="pct"/>
            <w:tcBorders>
              <w:top w:val="nil"/>
              <w:left w:val="nil"/>
              <w:bottom w:val="single" w:sz="4" w:space="0" w:color="auto"/>
              <w:right w:val="single" w:sz="4" w:space="0" w:color="auto"/>
            </w:tcBorders>
            <w:shd w:val="clear" w:color="auto" w:fill="auto"/>
            <w:noWrap/>
            <w:vAlign w:val="bottom"/>
            <w:hideMark/>
          </w:tcPr>
          <w:p w14:paraId="4F1172B4"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6B6A41CC" w14:textId="77777777" w:rsidR="00AE31DC" w:rsidRPr="00A52AEE" w:rsidRDefault="00AE31DC" w:rsidP="00FE68E8">
            <w:pPr>
              <w:jc w:val="right"/>
              <w:rPr>
                <w:lang w:eastAsia="en-GB"/>
              </w:rPr>
            </w:pPr>
            <w:r w:rsidRPr="00A52AEE">
              <w:rPr>
                <w:lang w:eastAsia="en-GB"/>
              </w:rPr>
              <w:t>1650</w:t>
            </w:r>
          </w:p>
        </w:tc>
        <w:tc>
          <w:tcPr>
            <w:tcW w:w="300" w:type="pct"/>
            <w:tcBorders>
              <w:top w:val="nil"/>
              <w:left w:val="nil"/>
              <w:bottom w:val="single" w:sz="4" w:space="0" w:color="auto"/>
              <w:right w:val="single" w:sz="4" w:space="0" w:color="auto"/>
            </w:tcBorders>
            <w:shd w:val="clear" w:color="auto" w:fill="auto"/>
            <w:noWrap/>
            <w:vAlign w:val="bottom"/>
            <w:hideMark/>
          </w:tcPr>
          <w:p w14:paraId="666B2A37"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383F6A9B" w14:textId="77777777" w:rsidR="00AE31DC" w:rsidRPr="00A52AEE" w:rsidRDefault="00AE31DC" w:rsidP="00FE68E8">
            <w:pPr>
              <w:jc w:val="right"/>
              <w:rPr>
                <w:lang w:eastAsia="en-GB"/>
              </w:rPr>
            </w:pPr>
            <w:r w:rsidRPr="00A52AEE">
              <w:rPr>
                <w:lang w:eastAsia="en-GB"/>
              </w:rPr>
              <w:t>1745</w:t>
            </w:r>
          </w:p>
        </w:tc>
        <w:tc>
          <w:tcPr>
            <w:tcW w:w="300" w:type="pct"/>
            <w:tcBorders>
              <w:top w:val="nil"/>
              <w:left w:val="nil"/>
              <w:bottom w:val="single" w:sz="4" w:space="0" w:color="auto"/>
              <w:right w:val="single" w:sz="4" w:space="0" w:color="auto"/>
            </w:tcBorders>
            <w:shd w:val="clear" w:color="auto" w:fill="auto"/>
            <w:noWrap/>
            <w:vAlign w:val="bottom"/>
            <w:hideMark/>
          </w:tcPr>
          <w:p w14:paraId="73E981FD"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7E3560A5" w14:textId="699257C1" w:rsidR="00AE31DC" w:rsidRPr="00A52AEE" w:rsidRDefault="00AE31DC" w:rsidP="00FE68E8">
            <w:pPr>
              <w:jc w:val="right"/>
              <w:rPr>
                <w:rFonts w:eastAsia="Times New Roman"/>
                <w:lang w:eastAsia="en-GB"/>
              </w:rPr>
            </w:pPr>
            <w:r w:rsidRPr="00A52AEE">
              <w:t>100</w:t>
            </w:r>
          </w:p>
        </w:tc>
      </w:tr>
      <w:tr w:rsidR="00DB2D18" w:rsidRPr="00A52AEE" w14:paraId="2B2C920A" w14:textId="60C9A7A1"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30723A33" w14:textId="77777777" w:rsidR="00AE31DC" w:rsidRPr="00A52AEE" w:rsidRDefault="00AE31DC" w:rsidP="00A52AEE">
            <w:pPr>
              <w:rPr>
                <w:lang w:eastAsia="en-GB"/>
              </w:rPr>
            </w:pPr>
            <w:r w:rsidRPr="00A52AEE">
              <w:rPr>
                <w:lang w:eastAsia="en-GB"/>
              </w:rPr>
              <w:t>Enfield</w:t>
            </w:r>
          </w:p>
        </w:tc>
        <w:tc>
          <w:tcPr>
            <w:tcW w:w="491" w:type="pct"/>
            <w:tcBorders>
              <w:top w:val="nil"/>
              <w:left w:val="nil"/>
              <w:bottom w:val="single" w:sz="4" w:space="0" w:color="auto"/>
              <w:right w:val="single" w:sz="4" w:space="0" w:color="auto"/>
            </w:tcBorders>
            <w:shd w:val="clear" w:color="auto" w:fill="auto"/>
            <w:noWrap/>
            <w:vAlign w:val="bottom"/>
            <w:hideMark/>
          </w:tcPr>
          <w:p w14:paraId="292F73AC" w14:textId="77777777" w:rsidR="00AE31DC" w:rsidRPr="00A52AEE" w:rsidRDefault="00AE31DC" w:rsidP="00FE68E8">
            <w:pPr>
              <w:jc w:val="right"/>
              <w:rPr>
                <w:lang w:eastAsia="en-GB"/>
              </w:rPr>
            </w:pPr>
            <w:r w:rsidRPr="00A52AEE">
              <w:rPr>
                <w:lang w:eastAsia="en-GB"/>
              </w:rPr>
              <w:t>1190</w:t>
            </w:r>
          </w:p>
        </w:tc>
        <w:tc>
          <w:tcPr>
            <w:tcW w:w="299" w:type="pct"/>
            <w:tcBorders>
              <w:top w:val="nil"/>
              <w:left w:val="nil"/>
              <w:bottom w:val="single" w:sz="4" w:space="0" w:color="auto"/>
              <w:right w:val="single" w:sz="4" w:space="0" w:color="auto"/>
            </w:tcBorders>
            <w:shd w:val="clear" w:color="auto" w:fill="auto"/>
            <w:noWrap/>
            <w:vAlign w:val="bottom"/>
            <w:hideMark/>
          </w:tcPr>
          <w:p w14:paraId="1C75495B"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5A8BE08E" w14:textId="77777777" w:rsidR="00AE31DC" w:rsidRPr="00A52AEE" w:rsidRDefault="00AE31DC" w:rsidP="00FE68E8">
            <w:pPr>
              <w:jc w:val="right"/>
              <w:rPr>
                <w:lang w:eastAsia="en-GB"/>
              </w:rPr>
            </w:pPr>
            <w:r w:rsidRPr="00A52AEE">
              <w:rPr>
                <w:lang w:eastAsia="en-GB"/>
              </w:rPr>
              <w:t>1335</w:t>
            </w:r>
          </w:p>
        </w:tc>
        <w:tc>
          <w:tcPr>
            <w:tcW w:w="299" w:type="pct"/>
            <w:tcBorders>
              <w:top w:val="nil"/>
              <w:left w:val="nil"/>
              <w:bottom w:val="single" w:sz="4" w:space="0" w:color="auto"/>
              <w:right w:val="single" w:sz="4" w:space="0" w:color="auto"/>
            </w:tcBorders>
            <w:shd w:val="clear" w:color="auto" w:fill="auto"/>
            <w:noWrap/>
            <w:vAlign w:val="bottom"/>
            <w:hideMark/>
          </w:tcPr>
          <w:p w14:paraId="43327FC7"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035CC71E" w14:textId="77777777" w:rsidR="00AE31DC" w:rsidRPr="00A52AEE" w:rsidRDefault="00AE31DC" w:rsidP="00FE68E8">
            <w:pPr>
              <w:jc w:val="right"/>
              <w:rPr>
                <w:lang w:eastAsia="en-GB"/>
              </w:rPr>
            </w:pPr>
            <w:r w:rsidRPr="00A52AEE">
              <w:rPr>
                <w:lang w:eastAsia="en-GB"/>
              </w:rPr>
              <w:t>1735</w:t>
            </w:r>
          </w:p>
        </w:tc>
        <w:tc>
          <w:tcPr>
            <w:tcW w:w="298" w:type="pct"/>
            <w:tcBorders>
              <w:top w:val="nil"/>
              <w:left w:val="nil"/>
              <w:bottom w:val="single" w:sz="4" w:space="0" w:color="auto"/>
              <w:right w:val="single" w:sz="4" w:space="0" w:color="auto"/>
            </w:tcBorders>
            <w:shd w:val="clear" w:color="auto" w:fill="auto"/>
            <w:noWrap/>
            <w:vAlign w:val="bottom"/>
            <w:hideMark/>
          </w:tcPr>
          <w:p w14:paraId="194F8ADD"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1B8F0645" w14:textId="77777777" w:rsidR="00AE31DC" w:rsidRPr="00A52AEE" w:rsidRDefault="00AE31DC" w:rsidP="00FE68E8">
            <w:pPr>
              <w:jc w:val="right"/>
              <w:rPr>
                <w:lang w:eastAsia="en-GB"/>
              </w:rPr>
            </w:pPr>
            <w:r w:rsidRPr="00A52AEE">
              <w:rPr>
                <w:lang w:eastAsia="en-GB"/>
              </w:rPr>
              <w:t>1790</w:t>
            </w:r>
          </w:p>
        </w:tc>
        <w:tc>
          <w:tcPr>
            <w:tcW w:w="300" w:type="pct"/>
            <w:tcBorders>
              <w:top w:val="nil"/>
              <w:left w:val="nil"/>
              <w:bottom w:val="single" w:sz="4" w:space="0" w:color="auto"/>
              <w:right w:val="single" w:sz="4" w:space="0" w:color="auto"/>
            </w:tcBorders>
            <w:shd w:val="clear" w:color="auto" w:fill="auto"/>
            <w:noWrap/>
            <w:vAlign w:val="bottom"/>
            <w:hideMark/>
          </w:tcPr>
          <w:p w14:paraId="58F05191"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167612FA" w14:textId="77777777" w:rsidR="00AE31DC" w:rsidRPr="00A52AEE" w:rsidRDefault="00AE31DC" w:rsidP="00FE68E8">
            <w:pPr>
              <w:jc w:val="right"/>
              <w:rPr>
                <w:lang w:eastAsia="en-GB"/>
              </w:rPr>
            </w:pPr>
            <w:r w:rsidRPr="00A52AEE">
              <w:rPr>
                <w:lang w:eastAsia="en-GB"/>
              </w:rPr>
              <w:t>1965</w:t>
            </w:r>
          </w:p>
        </w:tc>
        <w:tc>
          <w:tcPr>
            <w:tcW w:w="300" w:type="pct"/>
            <w:tcBorders>
              <w:top w:val="nil"/>
              <w:left w:val="nil"/>
              <w:bottom w:val="single" w:sz="4" w:space="0" w:color="auto"/>
              <w:right w:val="single" w:sz="4" w:space="0" w:color="auto"/>
            </w:tcBorders>
            <w:shd w:val="clear" w:color="auto" w:fill="auto"/>
            <w:noWrap/>
            <w:vAlign w:val="bottom"/>
            <w:hideMark/>
          </w:tcPr>
          <w:p w14:paraId="4AC2B87E" w14:textId="77777777" w:rsidR="00AE31DC" w:rsidRPr="00A52AEE" w:rsidRDefault="00AE31DC" w:rsidP="00FE68E8">
            <w:pPr>
              <w:jc w:val="right"/>
              <w:rPr>
                <w:lang w:eastAsia="en-GB"/>
              </w:rPr>
            </w:pPr>
            <w:r w:rsidRPr="00A52AEE">
              <w:rPr>
                <w:lang w:eastAsia="en-GB"/>
              </w:rPr>
              <w:t>5%</w:t>
            </w:r>
          </w:p>
        </w:tc>
        <w:tc>
          <w:tcPr>
            <w:tcW w:w="370" w:type="pct"/>
            <w:tcBorders>
              <w:top w:val="nil"/>
              <w:left w:val="nil"/>
              <w:bottom w:val="single" w:sz="4" w:space="0" w:color="auto"/>
              <w:right w:val="single" w:sz="4" w:space="0" w:color="auto"/>
            </w:tcBorders>
            <w:vAlign w:val="bottom"/>
          </w:tcPr>
          <w:p w14:paraId="3330B7E9" w14:textId="2E3D6D3E" w:rsidR="00AE31DC" w:rsidRPr="00A52AEE" w:rsidRDefault="00AE31DC" w:rsidP="00FE68E8">
            <w:pPr>
              <w:jc w:val="right"/>
              <w:rPr>
                <w:rFonts w:eastAsia="Times New Roman"/>
                <w:lang w:eastAsia="en-GB"/>
              </w:rPr>
            </w:pPr>
            <w:r w:rsidRPr="00A52AEE">
              <w:t>775</w:t>
            </w:r>
          </w:p>
        </w:tc>
      </w:tr>
      <w:tr w:rsidR="00DB2D18" w:rsidRPr="00A52AEE" w14:paraId="19474CCE" w14:textId="6F0C391D"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67EB626C" w14:textId="77777777" w:rsidR="00AE31DC" w:rsidRPr="00A52AEE" w:rsidRDefault="00AE31DC" w:rsidP="00A52AEE">
            <w:pPr>
              <w:rPr>
                <w:lang w:eastAsia="en-GB"/>
              </w:rPr>
            </w:pPr>
            <w:r w:rsidRPr="00A52AEE">
              <w:rPr>
                <w:lang w:eastAsia="en-GB"/>
              </w:rPr>
              <w:t>Greenwich</w:t>
            </w:r>
          </w:p>
        </w:tc>
        <w:tc>
          <w:tcPr>
            <w:tcW w:w="491" w:type="pct"/>
            <w:tcBorders>
              <w:top w:val="nil"/>
              <w:left w:val="nil"/>
              <w:bottom w:val="single" w:sz="4" w:space="0" w:color="auto"/>
              <w:right w:val="single" w:sz="4" w:space="0" w:color="auto"/>
            </w:tcBorders>
            <w:shd w:val="clear" w:color="auto" w:fill="auto"/>
            <w:noWrap/>
            <w:vAlign w:val="bottom"/>
            <w:hideMark/>
          </w:tcPr>
          <w:p w14:paraId="4C2BAC70" w14:textId="77777777" w:rsidR="00AE31DC" w:rsidRPr="00A52AEE" w:rsidRDefault="00AE31DC" w:rsidP="00FE68E8">
            <w:pPr>
              <w:jc w:val="right"/>
              <w:rPr>
                <w:lang w:eastAsia="en-GB"/>
              </w:rPr>
            </w:pPr>
            <w:r w:rsidRPr="00A52AEE">
              <w:rPr>
                <w:lang w:eastAsia="en-GB"/>
              </w:rPr>
              <w:t>1055</w:t>
            </w:r>
          </w:p>
        </w:tc>
        <w:tc>
          <w:tcPr>
            <w:tcW w:w="299" w:type="pct"/>
            <w:tcBorders>
              <w:top w:val="nil"/>
              <w:left w:val="nil"/>
              <w:bottom w:val="single" w:sz="4" w:space="0" w:color="auto"/>
              <w:right w:val="single" w:sz="4" w:space="0" w:color="auto"/>
            </w:tcBorders>
            <w:shd w:val="clear" w:color="auto" w:fill="auto"/>
            <w:noWrap/>
            <w:vAlign w:val="bottom"/>
            <w:hideMark/>
          </w:tcPr>
          <w:p w14:paraId="42833169"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3E0B5220" w14:textId="77777777" w:rsidR="00AE31DC" w:rsidRPr="00A52AEE" w:rsidRDefault="00AE31DC" w:rsidP="00FE68E8">
            <w:pPr>
              <w:jc w:val="right"/>
              <w:rPr>
                <w:lang w:eastAsia="en-GB"/>
              </w:rPr>
            </w:pPr>
            <w:r w:rsidRPr="00A52AEE">
              <w:rPr>
                <w:lang w:eastAsia="en-GB"/>
              </w:rPr>
              <w:t>1105</w:t>
            </w:r>
          </w:p>
        </w:tc>
        <w:tc>
          <w:tcPr>
            <w:tcW w:w="299" w:type="pct"/>
            <w:tcBorders>
              <w:top w:val="nil"/>
              <w:left w:val="nil"/>
              <w:bottom w:val="single" w:sz="4" w:space="0" w:color="auto"/>
              <w:right w:val="single" w:sz="4" w:space="0" w:color="auto"/>
            </w:tcBorders>
            <w:shd w:val="clear" w:color="auto" w:fill="auto"/>
            <w:noWrap/>
            <w:vAlign w:val="bottom"/>
            <w:hideMark/>
          </w:tcPr>
          <w:p w14:paraId="535A6C51"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4EFA3F55" w14:textId="77777777" w:rsidR="00AE31DC" w:rsidRPr="00A52AEE" w:rsidRDefault="00AE31DC" w:rsidP="00FE68E8">
            <w:pPr>
              <w:jc w:val="right"/>
              <w:rPr>
                <w:lang w:eastAsia="en-GB"/>
              </w:rPr>
            </w:pPr>
            <w:r w:rsidRPr="00A52AEE">
              <w:rPr>
                <w:lang w:eastAsia="en-GB"/>
              </w:rPr>
              <w:t>1090</w:t>
            </w:r>
          </w:p>
        </w:tc>
        <w:tc>
          <w:tcPr>
            <w:tcW w:w="298" w:type="pct"/>
            <w:tcBorders>
              <w:top w:val="nil"/>
              <w:left w:val="nil"/>
              <w:bottom w:val="single" w:sz="4" w:space="0" w:color="auto"/>
              <w:right w:val="single" w:sz="4" w:space="0" w:color="auto"/>
            </w:tcBorders>
            <w:shd w:val="clear" w:color="auto" w:fill="auto"/>
            <w:noWrap/>
            <w:vAlign w:val="bottom"/>
            <w:hideMark/>
          </w:tcPr>
          <w:p w14:paraId="715C8CE6"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06963869" w14:textId="77777777" w:rsidR="00AE31DC" w:rsidRPr="00A52AEE" w:rsidRDefault="00AE31DC" w:rsidP="00FE68E8">
            <w:pPr>
              <w:jc w:val="right"/>
              <w:rPr>
                <w:lang w:eastAsia="en-GB"/>
              </w:rPr>
            </w:pPr>
            <w:r w:rsidRPr="00A52AEE">
              <w:rPr>
                <w:lang w:eastAsia="en-GB"/>
              </w:rPr>
              <w:t>1125</w:t>
            </w:r>
          </w:p>
        </w:tc>
        <w:tc>
          <w:tcPr>
            <w:tcW w:w="300" w:type="pct"/>
            <w:tcBorders>
              <w:top w:val="nil"/>
              <w:left w:val="nil"/>
              <w:bottom w:val="single" w:sz="4" w:space="0" w:color="auto"/>
              <w:right w:val="single" w:sz="4" w:space="0" w:color="auto"/>
            </w:tcBorders>
            <w:shd w:val="clear" w:color="auto" w:fill="auto"/>
            <w:noWrap/>
            <w:vAlign w:val="bottom"/>
            <w:hideMark/>
          </w:tcPr>
          <w:p w14:paraId="4BFEDA80"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0B114FD9" w14:textId="77777777" w:rsidR="00AE31DC" w:rsidRPr="00A52AEE" w:rsidRDefault="00AE31DC" w:rsidP="00FE68E8">
            <w:pPr>
              <w:jc w:val="right"/>
              <w:rPr>
                <w:lang w:eastAsia="en-GB"/>
              </w:rPr>
            </w:pPr>
            <w:r w:rsidRPr="00A52AEE">
              <w:rPr>
                <w:lang w:eastAsia="en-GB"/>
              </w:rPr>
              <w:t>1075</w:t>
            </w:r>
          </w:p>
        </w:tc>
        <w:tc>
          <w:tcPr>
            <w:tcW w:w="300" w:type="pct"/>
            <w:tcBorders>
              <w:top w:val="nil"/>
              <w:left w:val="nil"/>
              <w:bottom w:val="single" w:sz="4" w:space="0" w:color="auto"/>
              <w:right w:val="single" w:sz="4" w:space="0" w:color="auto"/>
            </w:tcBorders>
            <w:shd w:val="clear" w:color="auto" w:fill="auto"/>
            <w:noWrap/>
            <w:vAlign w:val="bottom"/>
            <w:hideMark/>
          </w:tcPr>
          <w:p w14:paraId="3230E829"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42F7F4B6" w14:textId="0594AD1B" w:rsidR="00AE31DC" w:rsidRPr="00A52AEE" w:rsidRDefault="00AE31DC" w:rsidP="00FE68E8">
            <w:pPr>
              <w:jc w:val="right"/>
              <w:rPr>
                <w:rFonts w:eastAsia="Times New Roman"/>
                <w:lang w:eastAsia="en-GB"/>
              </w:rPr>
            </w:pPr>
            <w:r w:rsidRPr="00A52AEE">
              <w:t>20</w:t>
            </w:r>
          </w:p>
        </w:tc>
      </w:tr>
      <w:tr w:rsidR="00DB2D18" w:rsidRPr="00A52AEE" w14:paraId="473FC622" w14:textId="3D73C89A"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5F5A417E" w14:textId="77777777" w:rsidR="00AE31DC" w:rsidRPr="00A52AEE" w:rsidRDefault="00AE31DC" w:rsidP="00A52AEE">
            <w:pPr>
              <w:rPr>
                <w:lang w:eastAsia="en-GB"/>
              </w:rPr>
            </w:pPr>
            <w:r w:rsidRPr="00A52AEE">
              <w:rPr>
                <w:lang w:eastAsia="en-GB"/>
              </w:rPr>
              <w:t>Hackney</w:t>
            </w:r>
          </w:p>
        </w:tc>
        <w:tc>
          <w:tcPr>
            <w:tcW w:w="491" w:type="pct"/>
            <w:tcBorders>
              <w:top w:val="nil"/>
              <w:left w:val="nil"/>
              <w:bottom w:val="single" w:sz="4" w:space="0" w:color="auto"/>
              <w:right w:val="single" w:sz="4" w:space="0" w:color="auto"/>
            </w:tcBorders>
            <w:shd w:val="clear" w:color="auto" w:fill="auto"/>
            <w:noWrap/>
            <w:vAlign w:val="bottom"/>
            <w:hideMark/>
          </w:tcPr>
          <w:p w14:paraId="248F63A1" w14:textId="77777777" w:rsidR="00AE31DC" w:rsidRPr="00A52AEE" w:rsidRDefault="00AE31DC" w:rsidP="00FE68E8">
            <w:pPr>
              <w:jc w:val="right"/>
              <w:rPr>
                <w:lang w:eastAsia="en-GB"/>
              </w:rPr>
            </w:pPr>
            <w:r w:rsidRPr="00A52AEE">
              <w:rPr>
                <w:lang w:eastAsia="en-GB"/>
              </w:rPr>
              <w:t>1745</w:t>
            </w:r>
          </w:p>
        </w:tc>
        <w:tc>
          <w:tcPr>
            <w:tcW w:w="299" w:type="pct"/>
            <w:tcBorders>
              <w:top w:val="nil"/>
              <w:left w:val="nil"/>
              <w:bottom w:val="single" w:sz="4" w:space="0" w:color="auto"/>
              <w:right w:val="single" w:sz="4" w:space="0" w:color="auto"/>
            </w:tcBorders>
            <w:shd w:val="clear" w:color="auto" w:fill="auto"/>
            <w:noWrap/>
            <w:vAlign w:val="bottom"/>
            <w:hideMark/>
          </w:tcPr>
          <w:p w14:paraId="2BEDDDB3"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5F5ED712" w14:textId="77777777" w:rsidR="00AE31DC" w:rsidRPr="00A52AEE" w:rsidRDefault="00AE31DC" w:rsidP="00FE68E8">
            <w:pPr>
              <w:jc w:val="right"/>
              <w:rPr>
                <w:lang w:eastAsia="en-GB"/>
              </w:rPr>
            </w:pPr>
            <w:r w:rsidRPr="00A52AEE">
              <w:rPr>
                <w:lang w:eastAsia="en-GB"/>
              </w:rPr>
              <w:t>1585</w:t>
            </w:r>
          </w:p>
        </w:tc>
        <w:tc>
          <w:tcPr>
            <w:tcW w:w="299" w:type="pct"/>
            <w:tcBorders>
              <w:top w:val="nil"/>
              <w:left w:val="nil"/>
              <w:bottom w:val="single" w:sz="4" w:space="0" w:color="auto"/>
              <w:right w:val="single" w:sz="4" w:space="0" w:color="auto"/>
            </w:tcBorders>
            <w:shd w:val="clear" w:color="auto" w:fill="auto"/>
            <w:noWrap/>
            <w:vAlign w:val="bottom"/>
            <w:hideMark/>
          </w:tcPr>
          <w:p w14:paraId="546DAC79"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0E7E7D1F" w14:textId="77777777" w:rsidR="00AE31DC" w:rsidRPr="00A52AEE" w:rsidRDefault="00AE31DC" w:rsidP="00FE68E8">
            <w:pPr>
              <w:jc w:val="right"/>
              <w:rPr>
                <w:lang w:eastAsia="en-GB"/>
              </w:rPr>
            </w:pPr>
            <w:r w:rsidRPr="00A52AEE">
              <w:rPr>
                <w:lang w:eastAsia="en-GB"/>
              </w:rPr>
              <w:t>1600</w:t>
            </w:r>
          </w:p>
        </w:tc>
        <w:tc>
          <w:tcPr>
            <w:tcW w:w="298" w:type="pct"/>
            <w:tcBorders>
              <w:top w:val="nil"/>
              <w:left w:val="nil"/>
              <w:bottom w:val="single" w:sz="4" w:space="0" w:color="auto"/>
              <w:right w:val="single" w:sz="4" w:space="0" w:color="auto"/>
            </w:tcBorders>
            <w:shd w:val="clear" w:color="auto" w:fill="auto"/>
            <w:noWrap/>
            <w:vAlign w:val="bottom"/>
            <w:hideMark/>
          </w:tcPr>
          <w:p w14:paraId="2592B59A"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084D9649" w14:textId="77777777" w:rsidR="00AE31DC" w:rsidRPr="00A52AEE" w:rsidRDefault="00AE31DC" w:rsidP="00FE68E8">
            <w:pPr>
              <w:jc w:val="right"/>
              <w:rPr>
                <w:lang w:eastAsia="en-GB"/>
              </w:rPr>
            </w:pPr>
            <w:r w:rsidRPr="00A52AEE">
              <w:rPr>
                <w:lang w:eastAsia="en-GB"/>
              </w:rPr>
              <w:t>1530</w:t>
            </w:r>
          </w:p>
        </w:tc>
        <w:tc>
          <w:tcPr>
            <w:tcW w:w="300" w:type="pct"/>
            <w:tcBorders>
              <w:top w:val="nil"/>
              <w:left w:val="nil"/>
              <w:bottom w:val="single" w:sz="4" w:space="0" w:color="auto"/>
              <w:right w:val="single" w:sz="4" w:space="0" w:color="auto"/>
            </w:tcBorders>
            <w:shd w:val="clear" w:color="auto" w:fill="auto"/>
            <w:noWrap/>
            <w:vAlign w:val="bottom"/>
            <w:hideMark/>
          </w:tcPr>
          <w:p w14:paraId="238B30FC"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2DE2EB72" w14:textId="77777777" w:rsidR="00AE31DC" w:rsidRPr="00A52AEE" w:rsidRDefault="00AE31DC" w:rsidP="00FE68E8">
            <w:pPr>
              <w:jc w:val="right"/>
              <w:rPr>
                <w:lang w:eastAsia="en-GB"/>
              </w:rPr>
            </w:pPr>
            <w:r w:rsidRPr="00A52AEE">
              <w:rPr>
                <w:lang w:eastAsia="en-GB"/>
              </w:rPr>
              <w:t>1800</w:t>
            </w:r>
          </w:p>
        </w:tc>
        <w:tc>
          <w:tcPr>
            <w:tcW w:w="300" w:type="pct"/>
            <w:tcBorders>
              <w:top w:val="nil"/>
              <w:left w:val="nil"/>
              <w:bottom w:val="single" w:sz="4" w:space="0" w:color="auto"/>
              <w:right w:val="single" w:sz="4" w:space="0" w:color="auto"/>
            </w:tcBorders>
            <w:shd w:val="clear" w:color="auto" w:fill="auto"/>
            <w:noWrap/>
            <w:vAlign w:val="bottom"/>
            <w:hideMark/>
          </w:tcPr>
          <w:p w14:paraId="756F3B38"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1DE397A9" w14:textId="33C1A686" w:rsidR="00AE31DC" w:rsidRPr="00A52AEE" w:rsidRDefault="00AE31DC" w:rsidP="00FE68E8">
            <w:pPr>
              <w:jc w:val="right"/>
              <w:rPr>
                <w:rFonts w:eastAsia="Times New Roman"/>
                <w:lang w:eastAsia="en-GB"/>
              </w:rPr>
            </w:pPr>
            <w:r w:rsidRPr="00A52AEE">
              <w:t>55</w:t>
            </w:r>
          </w:p>
        </w:tc>
      </w:tr>
      <w:tr w:rsidR="00DB2D18" w:rsidRPr="00A52AEE" w14:paraId="3CF1B62C" w14:textId="3F3DEE75"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74A0EAAD" w14:textId="77777777" w:rsidR="00AE31DC" w:rsidRPr="00A52AEE" w:rsidRDefault="00AE31DC" w:rsidP="00A52AEE">
            <w:pPr>
              <w:rPr>
                <w:lang w:eastAsia="en-GB"/>
              </w:rPr>
            </w:pPr>
            <w:r w:rsidRPr="00A52AEE">
              <w:rPr>
                <w:lang w:eastAsia="en-GB"/>
              </w:rPr>
              <w:t>Hammersmith and Fulham</w:t>
            </w:r>
          </w:p>
        </w:tc>
        <w:tc>
          <w:tcPr>
            <w:tcW w:w="491" w:type="pct"/>
            <w:tcBorders>
              <w:top w:val="nil"/>
              <w:left w:val="nil"/>
              <w:bottom w:val="single" w:sz="4" w:space="0" w:color="auto"/>
              <w:right w:val="single" w:sz="4" w:space="0" w:color="auto"/>
            </w:tcBorders>
            <w:shd w:val="clear" w:color="auto" w:fill="auto"/>
            <w:noWrap/>
            <w:vAlign w:val="bottom"/>
            <w:hideMark/>
          </w:tcPr>
          <w:p w14:paraId="5C57F75E" w14:textId="77777777" w:rsidR="00AE31DC" w:rsidRPr="00A52AEE" w:rsidRDefault="00AE31DC" w:rsidP="00FE68E8">
            <w:pPr>
              <w:jc w:val="right"/>
              <w:rPr>
                <w:lang w:eastAsia="en-GB"/>
              </w:rPr>
            </w:pPr>
            <w:r w:rsidRPr="00A52AEE">
              <w:rPr>
                <w:lang w:eastAsia="en-GB"/>
              </w:rPr>
              <w:t>685</w:t>
            </w:r>
          </w:p>
        </w:tc>
        <w:tc>
          <w:tcPr>
            <w:tcW w:w="299" w:type="pct"/>
            <w:tcBorders>
              <w:top w:val="nil"/>
              <w:left w:val="nil"/>
              <w:bottom w:val="single" w:sz="4" w:space="0" w:color="auto"/>
              <w:right w:val="single" w:sz="4" w:space="0" w:color="auto"/>
            </w:tcBorders>
            <w:shd w:val="clear" w:color="auto" w:fill="auto"/>
            <w:noWrap/>
            <w:vAlign w:val="bottom"/>
            <w:hideMark/>
          </w:tcPr>
          <w:p w14:paraId="35B9A931"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2E9C80B0" w14:textId="77777777" w:rsidR="00AE31DC" w:rsidRPr="00A52AEE" w:rsidRDefault="00AE31DC" w:rsidP="00FE68E8">
            <w:pPr>
              <w:jc w:val="right"/>
              <w:rPr>
                <w:lang w:eastAsia="en-GB"/>
              </w:rPr>
            </w:pPr>
            <w:r w:rsidRPr="00A52AEE">
              <w:rPr>
                <w:lang w:eastAsia="en-GB"/>
              </w:rPr>
              <w:t>695</w:t>
            </w:r>
          </w:p>
        </w:tc>
        <w:tc>
          <w:tcPr>
            <w:tcW w:w="299" w:type="pct"/>
            <w:tcBorders>
              <w:top w:val="nil"/>
              <w:left w:val="nil"/>
              <w:bottom w:val="single" w:sz="4" w:space="0" w:color="auto"/>
              <w:right w:val="single" w:sz="4" w:space="0" w:color="auto"/>
            </w:tcBorders>
            <w:shd w:val="clear" w:color="auto" w:fill="auto"/>
            <w:noWrap/>
            <w:vAlign w:val="bottom"/>
            <w:hideMark/>
          </w:tcPr>
          <w:p w14:paraId="4501A924"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6BC2B5AC" w14:textId="77777777" w:rsidR="00AE31DC" w:rsidRPr="00A52AEE" w:rsidRDefault="00AE31DC" w:rsidP="00FE68E8">
            <w:pPr>
              <w:jc w:val="right"/>
              <w:rPr>
                <w:lang w:eastAsia="en-GB"/>
              </w:rPr>
            </w:pPr>
            <w:r w:rsidRPr="00A52AEE">
              <w:rPr>
                <w:lang w:eastAsia="en-GB"/>
              </w:rPr>
              <w:t>695</w:t>
            </w:r>
          </w:p>
        </w:tc>
        <w:tc>
          <w:tcPr>
            <w:tcW w:w="298" w:type="pct"/>
            <w:tcBorders>
              <w:top w:val="nil"/>
              <w:left w:val="nil"/>
              <w:bottom w:val="single" w:sz="4" w:space="0" w:color="auto"/>
              <w:right w:val="single" w:sz="4" w:space="0" w:color="auto"/>
            </w:tcBorders>
            <w:shd w:val="clear" w:color="auto" w:fill="auto"/>
            <w:noWrap/>
            <w:vAlign w:val="bottom"/>
            <w:hideMark/>
          </w:tcPr>
          <w:p w14:paraId="27C08165"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1F30C78D" w14:textId="77777777" w:rsidR="00AE31DC" w:rsidRPr="00A52AEE" w:rsidRDefault="00AE31DC" w:rsidP="00FE68E8">
            <w:pPr>
              <w:jc w:val="right"/>
              <w:rPr>
                <w:lang w:eastAsia="en-GB"/>
              </w:rPr>
            </w:pPr>
            <w:r w:rsidRPr="00A52AEE">
              <w:rPr>
                <w:lang w:eastAsia="en-GB"/>
              </w:rPr>
              <w:t>670</w:t>
            </w:r>
          </w:p>
        </w:tc>
        <w:tc>
          <w:tcPr>
            <w:tcW w:w="300" w:type="pct"/>
            <w:tcBorders>
              <w:top w:val="nil"/>
              <w:left w:val="nil"/>
              <w:bottom w:val="single" w:sz="4" w:space="0" w:color="auto"/>
              <w:right w:val="single" w:sz="4" w:space="0" w:color="auto"/>
            </w:tcBorders>
            <w:shd w:val="clear" w:color="auto" w:fill="auto"/>
            <w:noWrap/>
            <w:vAlign w:val="bottom"/>
            <w:hideMark/>
          </w:tcPr>
          <w:p w14:paraId="2D64271E"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763D7AE5" w14:textId="77777777" w:rsidR="00AE31DC" w:rsidRPr="00A52AEE" w:rsidRDefault="00AE31DC" w:rsidP="00FE68E8">
            <w:pPr>
              <w:jc w:val="right"/>
              <w:rPr>
                <w:lang w:eastAsia="en-GB"/>
              </w:rPr>
            </w:pPr>
            <w:r w:rsidRPr="00A52AEE">
              <w:rPr>
                <w:lang w:eastAsia="en-GB"/>
              </w:rPr>
              <w:t>705</w:t>
            </w:r>
          </w:p>
        </w:tc>
        <w:tc>
          <w:tcPr>
            <w:tcW w:w="300" w:type="pct"/>
            <w:tcBorders>
              <w:top w:val="nil"/>
              <w:left w:val="nil"/>
              <w:bottom w:val="single" w:sz="4" w:space="0" w:color="auto"/>
              <w:right w:val="single" w:sz="4" w:space="0" w:color="auto"/>
            </w:tcBorders>
            <w:shd w:val="clear" w:color="auto" w:fill="auto"/>
            <w:noWrap/>
            <w:vAlign w:val="bottom"/>
            <w:hideMark/>
          </w:tcPr>
          <w:p w14:paraId="2FA08A98"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45F1E3F5" w14:textId="271E219F" w:rsidR="00AE31DC" w:rsidRPr="00A52AEE" w:rsidRDefault="00AE31DC" w:rsidP="00FE68E8">
            <w:pPr>
              <w:jc w:val="right"/>
              <w:rPr>
                <w:rFonts w:eastAsia="Times New Roman"/>
                <w:lang w:eastAsia="en-GB"/>
              </w:rPr>
            </w:pPr>
            <w:r w:rsidRPr="00A52AEE">
              <w:t>20</w:t>
            </w:r>
          </w:p>
        </w:tc>
      </w:tr>
      <w:tr w:rsidR="00DB2D18" w:rsidRPr="00A52AEE" w14:paraId="618DEF56" w14:textId="6BC30598"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1FE67E5E" w14:textId="77777777" w:rsidR="00AE31DC" w:rsidRPr="00A52AEE" w:rsidRDefault="00AE31DC" w:rsidP="00A52AEE">
            <w:pPr>
              <w:rPr>
                <w:lang w:eastAsia="en-GB"/>
              </w:rPr>
            </w:pPr>
            <w:r w:rsidRPr="00A52AEE">
              <w:rPr>
                <w:lang w:eastAsia="en-GB"/>
              </w:rPr>
              <w:t>Haringey</w:t>
            </w:r>
          </w:p>
        </w:tc>
        <w:tc>
          <w:tcPr>
            <w:tcW w:w="491" w:type="pct"/>
            <w:tcBorders>
              <w:top w:val="nil"/>
              <w:left w:val="nil"/>
              <w:bottom w:val="single" w:sz="4" w:space="0" w:color="auto"/>
              <w:right w:val="single" w:sz="4" w:space="0" w:color="auto"/>
            </w:tcBorders>
            <w:shd w:val="clear" w:color="auto" w:fill="auto"/>
            <w:noWrap/>
            <w:vAlign w:val="bottom"/>
            <w:hideMark/>
          </w:tcPr>
          <w:p w14:paraId="688AA174" w14:textId="77777777" w:rsidR="00AE31DC" w:rsidRPr="00A52AEE" w:rsidRDefault="00AE31DC" w:rsidP="00FE68E8">
            <w:pPr>
              <w:jc w:val="right"/>
              <w:rPr>
                <w:lang w:eastAsia="en-GB"/>
              </w:rPr>
            </w:pPr>
            <w:r w:rsidRPr="00A52AEE">
              <w:rPr>
                <w:lang w:eastAsia="en-GB"/>
              </w:rPr>
              <w:t>1430</w:t>
            </w:r>
          </w:p>
        </w:tc>
        <w:tc>
          <w:tcPr>
            <w:tcW w:w="299" w:type="pct"/>
            <w:tcBorders>
              <w:top w:val="nil"/>
              <w:left w:val="nil"/>
              <w:bottom w:val="single" w:sz="4" w:space="0" w:color="auto"/>
              <w:right w:val="single" w:sz="4" w:space="0" w:color="auto"/>
            </w:tcBorders>
            <w:shd w:val="clear" w:color="auto" w:fill="auto"/>
            <w:noWrap/>
            <w:vAlign w:val="bottom"/>
            <w:hideMark/>
          </w:tcPr>
          <w:p w14:paraId="2960E005"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047EE37B" w14:textId="77777777" w:rsidR="00AE31DC" w:rsidRPr="00A52AEE" w:rsidRDefault="00AE31DC" w:rsidP="00FE68E8">
            <w:pPr>
              <w:jc w:val="right"/>
              <w:rPr>
                <w:lang w:eastAsia="en-GB"/>
              </w:rPr>
            </w:pPr>
            <w:r w:rsidRPr="00A52AEE">
              <w:rPr>
                <w:lang w:eastAsia="en-GB"/>
              </w:rPr>
              <w:t>1555</w:t>
            </w:r>
          </w:p>
        </w:tc>
        <w:tc>
          <w:tcPr>
            <w:tcW w:w="299" w:type="pct"/>
            <w:tcBorders>
              <w:top w:val="nil"/>
              <w:left w:val="nil"/>
              <w:bottom w:val="single" w:sz="4" w:space="0" w:color="auto"/>
              <w:right w:val="single" w:sz="4" w:space="0" w:color="auto"/>
            </w:tcBorders>
            <w:shd w:val="clear" w:color="auto" w:fill="auto"/>
            <w:noWrap/>
            <w:vAlign w:val="bottom"/>
            <w:hideMark/>
          </w:tcPr>
          <w:p w14:paraId="12E999FD"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26C52A25" w14:textId="77777777" w:rsidR="00AE31DC" w:rsidRPr="00A52AEE" w:rsidRDefault="00AE31DC" w:rsidP="00FE68E8">
            <w:pPr>
              <w:jc w:val="right"/>
              <w:rPr>
                <w:lang w:eastAsia="en-GB"/>
              </w:rPr>
            </w:pPr>
            <w:r w:rsidRPr="00A52AEE">
              <w:rPr>
                <w:lang w:eastAsia="en-GB"/>
              </w:rPr>
              <w:t>1545</w:t>
            </w:r>
          </w:p>
        </w:tc>
        <w:tc>
          <w:tcPr>
            <w:tcW w:w="298" w:type="pct"/>
            <w:tcBorders>
              <w:top w:val="nil"/>
              <w:left w:val="nil"/>
              <w:bottom w:val="single" w:sz="4" w:space="0" w:color="auto"/>
              <w:right w:val="single" w:sz="4" w:space="0" w:color="auto"/>
            </w:tcBorders>
            <w:shd w:val="clear" w:color="auto" w:fill="auto"/>
            <w:noWrap/>
            <w:vAlign w:val="bottom"/>
            <w:hideMark/>
          </w:tcPr>
          <w:p w14:paraId="74EE9FDC"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0177B3A3" w14:textId="77777777" w:rsidR="00AE31DC" w:rsidRPr="00A52AEE" w:rsidRDefault="00AE31DC" w:rsidP="00FE68E8">
            <w:pPr>
              <w:jc w:val="right"/>
              <w:rPr>
                <w:lang w:eastAsia="en-GB"/>
              </w:rPr>
            </w:pPr>
            <w:r w:rsidRPr="00A52AEE">
              <w:rPr>
                <w:lang w:eastAsia="en-GB"/>
              </w:rPr>
              <w:t>1600</w:t>
            </w:r>
          </w:p>
        </w:tc>
        <w:tc>
          <w:tcPr>
            <w:tcW w:w="300" w:type="pct"/>
            <w:tcBorders>
              <w:top w:val="nil"/>
              <w:left w:val="nil"/>
              <w:bottom w:val="single" w:sz="4" w:space="0" w:color="auto"/>
              <w:right w:val="single" w:sz="4" w:space="0" w:color="auto"/>
            </w:tcBorders>
            <w:shd w:val="clear" w:color="auto" w:fill="auto"/>
            <w:noWrap/>
            <w:vAlign w:val="bottom"/>
            <w:hideMark/>
          </w:tcPr>
          <w:p w14:paraId="6833194D"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0B5E9BCF" w14:textId="77777777" w:rsidR="00AE31DC" w:rsidRPr="00A52AEE" w:rsidRDefault="00AE31DC" w:rsidP="00FE68E8">
            <w:pPr>
              <w:jc w:val="right"/>
              <w:rPr>
                <w:lang w:eastAsia="en-GB"/>
              </w:rPr>
            </w:pPr>
            <w:r w:rsidRPr="00A52AEE">
              <w:rPr>
                <w:lang w:eastAsia="en-GB"/>
              </w:rPr>
              <w:t>1710</w:t>
            </w:r>
          </w:p>
        </w:tc>
        <w:tc>
          <w:tcPr>
            <w:tcW w:w="300" w:type="pct"/>
            <w:tcBorders>
              <w:top w:val="nil"/>
              <w:left w:val="nil"/>
              <w:bottom w:val="single" w:sz="4" w:space="0" w:color="auto"/>
              <w:right w:val="single" w:sz="4" w:space="0" w:color="auto"/>
            </w:tcBorders>
            <w:shd w:val="clear" w:color="auto" w:fill="auto"/>
            <w:noWrap/>
            <w:vAlign w:val="bottom"/>
            <w:hideMark/>
          </w:tcPr>
          <w:p w14:paraId="478C044E"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33BA7F05" w14:textId="49FC9A6A" w:rsidR="00AE31DC" w:rsidRPr="00A52AEE" w:rsidRDefault="00AE31DC" w:rsidP="00FE68E8">
            <w:pPr>
              <w:jc w:val="right"/>
              <w:rPr>
                <w:rFonts w:eastAsia="Times New Roman"/>
                <w:lang w:eastAsia="en-GB"/>
              </w:rPr>
            </w:pPr>
            <w:r w:rsidRPr="00A52AEE">
              <w:t>280</w:t>
            </w:r>
          </w:p>
        </w:tc>
      </w:tr>
      <w:tr w:rsidR="00DB2D18" w:rsidRPr="00A52AEE" w14:paraId="194EFBC2" w14:textId="14A7C4C0"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1D23AFA1" w14:textId="77777777" w:rsidR="00AE31DC" w:rsidRPr="00A52AEE" w:rsidRDefault="00AE31DC" w:rsidP="00A52AEE">
            <w:pPr>
              <w:rPr>
                <w:lang w:eastAsia="en-GB"/>
              </w:rPr>
            </w:pPr>
            <w:r w:rsidRPr="00A52AEE">
              <w:rPr>
                <w:lang w:eastAsia="en-GB"/>
              </w:rPr>
              <w:t>Harrow</w:t>
            </w:r>
          </w:p>
        </w:tc>
        <w:tc>
          <w:tcPr>
            <w:tcW w:w="491" w:type="pct"/>
            <w:tcBorders>
              <w:top w:val="nil"/>
              <w:left w:val="nil"/>
              <w:bottom w:val="single" w:sz="4" w:space="0" w:color="auto"/>
              <w:right w:val="single" w:sz="4" w:space="0" w:color="auto"/>
            </w:tcBorders>
            <w:shd w:val="clear" w:color="auto" w:fill="auto"/>
            <w:noWrap/>
            <w:vAlign w:val="bottom"/>
            <w:hideMark/>
          </w:tcPr>
          <w:p w14:paraId="7D1570DA" w14:textId="77777777" w:rsidR="00AE31DC" w:rsidRPr="00A52AEE" w:rsidRDefault="00AE31DC" w:rsidP="00FE68E8">
            <w:pPr>
              <w:jc w:val="right"/>
              <w:rPr>
                <w:lang w:eastAsia="en-GB"/>
              </w:rPr>
            </w:pPr>
            <w:r w:rsidRPr="00A52AEE">
              <w:rPr>
                <w:lang w:eastAsia="en-GB"/>
              </w:rPr>
              <w:t>1755</w:t>
            </w:r>
          </w:p>
        </w:tc>
        <w:tc>
          <w:tcPr>
            <w:tcW w:w="299" w:type="pct"/>
            <w:tcBorders>
              <w:top w:val="nil"/>
              <w:left w:val="nil"/>
              <w:bottom w:val="single" w:sz="4" w:space="0" w:color="auto"/>
              <w:right w:val="single" w:sz="4" w:space="0" w:color="auto"/>
            </w:tcBorders>
            <w:shd w:val="clear" w:color="auto" w:fill="auto"/>
            <w:noWrap/>
            <w:vAlign w:val="bottom"/>
            <w:hideMark/>
          </w:tcPr>
          <w:p w14:paraId="3A975255"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5A3E5986" w14:textId="77777777" w:rsidR="00AE31DC" w:rsidRPr="00A52AEE" w:rsidRDefault="00AE31DC" w:rsidP="00FE68E8">
            <w:pPr>
              <w:jc w:val="right"/>
              <w:rPr>
                <w:lang w:eastAsia="en-GB"/>
              </w:rPr>
            </w:pPr>
            <w:r w:rsidRPr="00A52AEE">
              <w:rPr>
                <w:lang w:eastAsia="en-GB"/>
              </w:rPr>
              <w:t>1365</w:t>
            </w:r>
          </w:p>
        </w:tc>
        <w:tc>
          <w:tcPr>
            <w:tcW w:w="299" w:type="pct"/>
            <w:tcBorders>
              <w:top w:val="nil"/>
              <w:left w:val="nil"/>
              <w:bottom w:val="single" w:sz="4" w:space="0" w:color="auto"/>
              <w:right w:val="single" w:sz="4" w:space="0" w:color="auto"/>
            </w:tcBorders>
            <w:shd w:val="clear" w:color="auto" w:fill="auto"/>
            <w:noWrap/>
            <w:vAlign w:val="bottom"/>
            <w:hideMark/>
          </w:tcPr>
          <w:p w14:paraId="24FD50EF"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25169FD7" w14:textId="77777777" w:rsidR="00AE31DC" w:rsidRPr="00A52AEE" w:rsidRDefault="00AE31DC" w:rsidP="00FE68E8">
            <w:pPr>
              <w:jc w:val="right"/>
              <w:rPr>
                <w:lang w:eastAsia="en-GB"/>
              </w:rPr>
            </w:pPr>
            <w:r w:rsidRPr="00A52AEE">
              <w:rPr>
                <w:lang w:eastAsia="en-GB"/>
              </w:rPr>
              <w:t>1385</w:t>
            </w:r>
          </w:p>
        </w:tc>
        <w:tc>
          <w:tcPr>
            <w:tcW w:w="298" w:type="pct"/>
            <w:tcBorders>
              <w:top w:val="nil"/>
              <w:left w:val="nil"/>
              <w:bottom w:val="single" w:sz="4" w:space="0" w:color="auto"/>
              <w:right w:val="single" w:sz="4" w:space="0" w:color="auto"/>
            </w:tcBorders>
            <w:shd w:val="clear" w:color="auto" w:fill="auto"/>
            <w:noWrap/>
            <w:vAlign w:val="bottom"/>
            <w:hideMark/>
          </w:tcPr>
          <w:p w14:paraId="6FFECBBA"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1CDA897F" w14:textId="77777777" w:rsidR="00AE31DC" w:rsidRPr="00A52AEE" w:rsidRDefault="00AE31DC" w:rsidP="00FE68E8">
            <w:pPr>
              <w:jc w:val="right"/>
              <w:rPr>
                <w:lang w:eastAsia="en-GB"/>
              </w:rPr>
            </w:pPr>
            <w:r w:rsidRPr="00A52AEE">
              <w:rPr>
                <w:lang w:eastAsia="en-GB"/>
              </w:rPr>
              <w:t>1395</w:t>
            </w:r>
          </w:p>
        </w:tc>
        <w:tc>
          <w:tcPr>
            <w:tcW w:w="300" w:type="pct"/>
            <w:tcBorders>
              <w:top w:val="nil"/>
              <w:left w:val="nil"/>
              <w:bottom w:val="single" w:sz="4" w:space="0" w:color="auto"/>
              <w:right w:val="single" w:sz="4" w:space="0" w:color="auto"/>
            </w:tcBorders>
            <w:shd w:val="clear" w:color="auto" w:fill="auto"/>
            <w:noWrap/>
            <w:vAlign w:val="bottom"/>
            <w:hideMark/>
          </w:tcPr>
          <w:p w14:paraId="06D98869"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6252CB41" w14:textId="77777777" w:rsidR="00AE31DC" w:rsidRPr="00A52AEE" w:rsidRDefault="00AE31DC" w:rsidP="00FE68E8">
            <w:pPr>
              <w:jc w:val="right"/>
              <w:rPr>
                <w:lang w:eastAsia="en-GB"/>
              </w:rPr>
            </w:pPr>
            <w:r w:rsidRPr="00A52AEE">
              <w:rPr>
                <w:lang w:eastAsia="en-GB"/>
              </w:rPr>
              <w:t>1465</w:t>
            </w:r>
          </w:p>
        </w:tc>
        <w:tc>
          <w:tcPr>
            <w:tcW w:w="300" w:type="pct"/>
            <w:tcBorders>
              <w:top w:val="nil"/>
              <w:left w:val="nil"/>
              <w:bottom w:val="single" w:sz="4" w:space="0" w:color="auto"/>
              <w:right w:val="single" w:sz="4" w:space="0" w:color="auto"/>
            </w:tcBorders>
            <w:shd w:val="clear" w:color="auto" w:fill="auto"/>
            <w:noWrap/>
            <w:vAlign w:val="bottom"/>
            <w:hideMark/>
          </w:tcPr>
          <w:p w14:paraId="1D4C75C6"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0333BCBD" w14:textId="7ABCC38C" w:rsidR="00AE31DC" w:rsidRPr="00A52AEE" w:rsidRDefault="00AE31DC" w:rsidP="00FE68E8">
            <w:pPr>
              <w:jc w:val="right"/>
              <w:rPr>
                <w:rFonts w:eastAsia="Times New Roman"/>
                <w:lang w:eastAsia="en-GB"/>
              </w:rPr>
            </w:pPr>
            <w:r w:rsidRPr="00A52AEE">
              <w:t>-290</w:t>
            </w:r>
          </w:p>
        </w:tc>
      </w:tr>
      <w:tr w:rsidR="00DB2D18" w:rsidRPr="00A52AEE" w14:paraId="335AD0BB" w14:textId="72DC60F8"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61CF841" w14:textId="77777777" w:rsidR="00AE31DC" w:rsidRPr="00A52AEE" w:rsidRDefault="00AE31DC" w:rsidP="00A52AEE">
            <w:pPr>
              <w:rPr>
                <w:lang w:eastAsia="en-GB"/>
              </w:rPr>
            </w:pPr>
            <w:r w:rsidRPr="00A52AEE">
              <w:rPr>
                <w:lang w:eastAsia="en-GB"/>
              </w:rPr>
              <w:t>Havering</w:t>
            </w:r>
          </w:p>
        </w:tc>
        <w:tc>
          <w:tcPr>
            <w:tcW w:w="491" w:type="pct"/>
            <w:tcBorders>
              <w:top w:val="nil"/>
              <w:left w:val="nil"/>
              <w:bottom w:val="single" w:sz="4" w:space="0" w:color="auto"/>
              <w:right w:val="single" w:sz="4" w:space="0" w:color="auto"/>
            </w:tcBorders>
            <w:shd w:val="clear" w:color="auto" w:fill="auto"/>
            <w:noWrap/>
            <w:vAlign w:val="bottom"/>
            <w:hideMark/>
          </w:tcPr>
          <w:p w14:paraId="206C80A0" w14:textId="77777777" w:rsidR="00AE31DC" w:rsidRPr="00A52AEE" w:rsidRDefault="00AE31DC" w:rsidP="00FE68E8">
            <w:pPr>
              <w:jc w:val="right"/>
              <w:rPr>
                <w:lang w:eastAsia="en-GB"/>
              </w:rPr>
            </w:pPr>
            <w:r w:rsidRPr="00A52AEE">
              <w:rPr>
                <w:lang w:eastAsia="en-GB"/>
              </w:rPr>
              <w:t>1635</w:t>
            </w:r>
          </w:p>
        </w:tc>
        <w:tc>
          <w:tcPr>
            <w:tcW w:w="299" w:type="pct"/>
            <w:tcBorders>
              <w:top w:val="nil"/>
              <w:left w:val="nil"/>
              <w:bottom w:val="single" w:sz="4" w:space="0" w:color="auto"/>
              <w:right w:val="single" w:sz="4" w:space="0" w:color="auto"/>
            </w:tcBorders>
            <w:shd w:val="clear" w:color="auto" w:fill="auto"/>
            <w:noWrap/>
            <w:vAlign w:val="bottom"/>
            <w:hideMark/>
          </w:tcPr>
          <w:p w14:paraId="7D8F37A3"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7A566D49" w14:textId="77777777" w:rsidR="00AE31DC" w:rsidRPr="00A52AEE" w:rsidRDefault="00AE31DC" w:rsidP="00FE68E8">
            <w:pPr>
              <w:jc w:val="right"/>
              <w:rPr>
                <w:lang w:eastAsia="en-GB"/>
              </w:rPr>
            </w:pPr>
            <w:r w:rsidRPr="00A52AEE">
              <w:rPr>
                <w:lang w:eastAsia="en-GB"/>
              </w:rPr>
              <w:t>1615</w:t>
            </w:r>
          </w:p>
        </w:tc>
        <w:tc>
          <w:tcPr>
            <w:tcW w:w="299" w:type="pct"/>
            <w:tcBorders>
              <w:top w:val="nil"/>
              <w:left w:val="nil"/>
              <w:bottom w:val="single" w:sz="4" w:space="0" w:color="auto"/>
              <w:right w:val="single" w:sz="4" w:space="0" w:color="auto"/>
            </w:tcBorders>
            <w:shd w:val="clear" w:color="auto" w:fill="auto"/>
            <w:noWrap/>
            <w:vAlign w:val="bottom"/>
            <w:hideMark/>
          </w:tcPr>
          <w:p w14:paraId="60AB7A23"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2D796ADB" w14:textId="77777777" w:rsidR="00AE31DC" w:rsidRPr="00A52AEE" w:rsidRDefault="00AE31DC" w:rsidP="00FE68E8">
            <w:pPr>
              <w:jc w:val="right"/>
              <w:rPr>
                <w:lang w:eastAsia="en-GB"/>
              </w:rPr>
            </w:pPr>
            <w:r w:rsidRPr="00A52AEE">
              <w:rPr>
                <w:lang w:eastAsia="en-GB"/>
              </w:rPr>
              <w:t>1630</w:t>
            </w:r>
          </w:p>
        </w:tc>
        <w:tc>
          <w:tcPr>
            <w:tcW w:w="298" w:type="pct"/>
            <w:tcBorders>
              <w:top w:val="nil"/>
              <w:left w:val="nil"/>
              <w:bottom w:val="single" w:sz="4" w:space="0" w:color="auto"/>
              <w:right w:val="single" w:sz="4" w:space="0" w:color="auto"/>
            </w:tcBorders>
            <w:shd w:val="clear" w:color="auto" w:fill="auto"/>
            <w:noWrap/>
            <w:vAlign w:val="bottom"/>
            <w:hideMark/>
          </w:tcPr>
          <w:p w14:paraId="26051ABE"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2CDFB3EE" w14:textId="77777777" w:rsidR="00AE31DC" w:rsidRPr="00A52AEE" w:rsidRDefault="00AE31DC" w:rsidP="00FE68E8">
            <w:pPr>
              <w:jc w:val="right"/>
              <w:rPr>
                <w:lang w:eastAsia="en-GB"/>
              </w:rPr>
            </w:pPr>
            <w:r w:rsidRPr="00A52AEE">
              <w:rPr>
                <w:lang w:eastAsia="en-GB"/>
              </w:rPr>
              <w:t>1535</w:t>
            </w:r>
          </w:p>
        </w:tc>
        <w:tc>
          <w:tcPr>
            <w:tcW w:w="300" w:type="pct"/>
            <w:tcBorders>
              <w:top w:val="nil"/>
              <w:left w:val="nil"/>
              <w:bottom w:val="single" w:sz="4" w:space="0" w:color="auto"/>
              <w:right w:val="single" w:sz="4" w:space="0" w:color="auto"/>
            </w:tcBorders>
            <w:shd w:val="clear" w:color="auto" w:fill="auto"/>
            <w:noWrap/>
            <w:vAlign w:val="bottom"/>
            <w:hideMark/>
          </w:tcPr>
          <w:p w14:paraId="1D068130"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1D96CC1B" w14:textId="77777777" w:rsidR="00AE31DC" w:rsidRPr="00A52AEE" w:rsidRDefault="00AE31DC" w:rsidP="00FE68E8">
            <w:pPr>
              <w:jc w:val="right"/>
              <w:rPr>
                <w:lang w:eastAsia="en-GB"/>
              </w:rPr>
            </w:pPr>
            <w:r w:rsidRPr="00A52AEE">
              <w:rPr>
                <w:lang w:eastAsia="en-GB"/>
              </w:rPr>
              <w:t>1835</w:t>
            </w:r>
          </w:p>
        </w:tc>
        <w:tc>
          <w:tcPr>
            <w:tcW w:w="300" w:type="pct"/>
            <w:tcBorders>
              <w:top w:val="nil"/>
              <w:left w:val="nil"/>
              <w:bottom w:val="single" w:sz="4" w:space="0" w:color="auto"/>
              <w:right w:val="single" w:sz="4" w:space="0" w:color="auto"/>
            </w:tcBorders>
            <w:shd w:val="clear" w:color="auto" w:fill="auto"/>
            <w:noWrap/>
            <w:vAlign w:val="bottom"/>
            <w:hideMark/>
          </w:tcPr>
          <w:p w14:paraId="3D20EE18"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0B8100C9" w14:textId="36A6D968" w:rsidR="00AE31DC" w:rsidRPr="00A52AEE" w:rsidRDefault="00AE31DC" w:rsidP="00FE68E8">
            <w:pPr>
              <w:jc w:val="right"/>
              <w:rPr>
                <w:rFonts w:eastAsia="Times New Roman"/>
                <w:lang w:eastAsia="en-GB"/>
              </w:rPr>
            </w:pPr>
            <w:r w:rsidRPr="00A52AEE">
              <w:t>200</w:t>
            </w:r>
          </w:p>
        </w:tc>
      </w:tr>
      <w:tr w:rsidR="00DB2D18" w:rsidRPr="00A52AEE" w14:paraId="69E93CB3" w14:textId="6F07DEC8"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3E0670BF" w14:textId="77777777" w:rsidR="00AE31DC" w:rsidRPr="00A52AEE" w:rsidRDefault="00AE31DC" w:rsidP="00A52AEE">
            <w:pPr>
              <w:rPr>
                <w:lang w:eastAsia="en-GB"/>
              </w:rPr>
            </w:pPr>
            <w:r w:rsidRPr="00A52AEE">
              <w:rPr>
                <w:lang w:eastAsia="en-GB"/>
              </w:rPr>
              <w:t>Hillingdon</w:t>
            </w:r>
          </w:p>
        </w:tc>
        <w:tc>
          <w:tcPr>
            <w:tcW w:w="491" w:type="pct"/>
            <w:tcBorders>
              <w:top w:val="nil"/>
              <w:left w:val="nil"/>
              <w:bottom w:val="single" w:sz="4" w:space="0" w:color="auto"/>
              <w:right w:val="single" w:sz="4" w:space="0" w:color="auto"/>
            </w:tcBorders>
            <w:shd w:val="clear" w:color="auto" w:fill="auto"/>
            <w:noWrap/>
            <w:vAlign w:val="bottom"/>
            <w:hideMark/>
          </w:tcPr>
          <w:p w14:paraId="18202EEC" w14:textId="77777777" w:rsidR="00AE31DC" w:rsidRPr="00A52AEE" w:rsidRDefault="00AE31DC" w:rsidP="00FE68E8">
            <w:pPr>
              <w:jc w:val="right"/>
              <w:rPr>
                <w:lang w:eastAsia="en-GB"/>
              </w:rPr>
            </w:pPr>
            <w:r w:rsidRPr="00A52AEE">
              <w:rPr>
                <w:lang w:eastAsia="en-GB"/>
              </w:rPr>
              <w:t>955</w:t>
            </w:r>
          </w:p>
        </w:tc>
        <w:tc>
          <w:tcPr>
            <w:tcW w:w="299" w:type="pct"/>
            <w:tcBorders>
              <w:top w:val="nil"/>
              <w:left w:val="nil"/>
              <w:bottom w:val="single" w:sz="4" w:space="0" w:color="auto"/>
              <w:right w:val="single" w:sz="4" w:space="0" w:color="auto"/>
            </w:tcBorders>
            <w:shd w:val="clear" w:color="auto" w:fill="auto"/>
            <w:noWrap/>
            <w:vAlign w:val="bottom"/>
            <w:hideMark/>
          </w:tcPr>
          <w:p w14:paraId="25B4DDEA"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26B22D1B" w14:textId="77777777" w:rsidR="00AE31DC" w:rsidRPr="00A52AEE" w:rsidRDefault="00AE31DC" w:rsidP="00FE68E8">
            <w:pPr>
              <w:jc w:val="right"/>
              <w:rPr>
                <w:lang w:eastAsia="en-GB"/>
              </w:rPr>
            </w:pPr>
            <w:r w:rsidRPr="00A52AEE">
              <w:rPr>
                <w:lang w:eastAsia="en-GB"/>
              </w:rPr>
              <w:t>1040</w:t>
            </w:r>
          </w:p>
        </w:tc>
        <w:tc>
          <w:tcPr>
            <w:tcW w:w="299" w:type="pct"/>
            <w:tcBorders>
              <w:top w:val="nil"/>
              <w:left w:val="nil"/>
              <w:bottom w:val="single" w:sz="4" w:space="0" w:color="auto"/>
              <w:right w:val="single" w:sz="4" w:space="0" w:color="auto"/>
            </w:tcBorders>
            <w:shd w:val="clear" w:color="auto" w:fill="auto"/>
            <w:noWrap/>
            <w:vAlign w:val="bottom"/>
            <w:hideMark/>
          </w:tcPr>
          <w:p w14:paraId="1C792925"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6F2C3D17" w14:textId="77777777" w:rsidR="00AE31DC" w:rsidRPr="00A52AEE" w:rsidRDefault="00AE31DC" w:rsidP="00FE68E8">
            <w:pPr>
              <w:jc w:val="right"/>
              <w:rPr>
                <w:lang w:eastAsia="en-GB"/>
              </w:rPr>
            </w:pPr>
            <w:r w:rsidRPr="00A52AEE">
              <w:rPr>
                <w:lang w:eastAsia="en-GB"/>
              </w:rPr>
              <w:t>1150</w:t>
            </w:r>
          </w:p>
        </w:tc>
        <w:tc>
          <w:tcPr>
            <w:tcW w:w="298" w:type="pct"/>
            <w:tcBorders>
              <w:top w:val="nil"/>
              <w:left w:val="nil"/>
              <w:bottom w:val="single" w:sz="4" w:space="0" w:color="auto"/>
              <w:right w:val="single" w:sz="4" w:space="0" w:color="auto"/>
            </w:tcBorders>
            <w:shd w:val="clear" w:color="auto" w:fill="auto"/>
            <w:noWrap/>
            <w:vAlign w:val="bottom"/>
            <w:hideMark/>
          </w:tcPr>
          <w:p w14:paraId="0F309498"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55C13ACC" w14:textId="77777777" w:rsidR="00AE31DC" w:rsidRPr="00A52AEE" w:rsidRDefault="00AE31DC" w:rsidP="00FE68E8">
            <w:pPr>
              <w:jc w:val="right"/>
              <w:rPr>
                <w:lang w:eastAsia="en-GB"/>
              </w:rPr>
            </w:pPr>
            <w:r w:rsidRPr="00A52AEE">
              <w:rPr>
                <w:lang w:eastAsia="en-GB"/>
              </w:rPr>
              <w:t>1030</w:t>
            </w:r>
          </w:p>
        </w:tc>
        <w:tc>
          <w:tcPr>
            <w:tcW w:w="300" w:type="pct"/>
            <w:tcBorders>
              <w:top w:val="nil"/>
              <w:left w:val="nil"/>
              <w:bottom w:val="single" w:sz="4" w:space="0" w:color="auto"/>
              <w:right w:val="single" w:sz="4" w:space="0" w:color="auto"/>
            </w:tcBorders>
            <w:shd w:val="clear" w:color="auto" w:fill="auto"/>
            <w:noWrap/>
            <w:vAlign w:val="bottom"/>
            <w:hideMark/>
          </w:tcPr>
          <w:p w14:paraId="70F98B0F"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3058AE52" w14:textId="77777777" w:rsidR="00AE31DC" w:rsidRPr="00A52AEE" w:rsidRDefault="00AE31DC" w:rsidP="00FE68E8">
            <w:pPr>
              <w:jc w:val="right"/>
              <w:rPr>
                <w:lang w:eastAsia="en-GB"/>
              </w:rPr>
            </w:pPr>
            <w:r w:rsidRPr="00A52AEE">
              <w:rPr>
                <w:lang w:eastAsia="en-GB"/>
              </w:rPr>
              <w:t>1015</w:t>
            </w:r>
          </w:p>
        </w:tc>
        <w:tc>
          <w:tcPr>
            <w:tcW w:w="300" w:type="pct"/>
            <w:tcBorders>
              <w:top w:val="nil"/>
              <w:left w:val="nil"/>
              <w:bottom w:val="single" w:sz="4" w:space="0" w:color="auto"/>
              <w:right w:val="single" w:sz="4" w:space="0" w:color="auto"/>
            </w:tcBorders>
            <w:shd w:val="clear" w:color="auto" w:fill="auto"/>
            <w:noWrap/>
            <w:vAlign w:val="bottom"/>
            <w:hideMark/>
          </w:tcPr>
          <w:p w14:paraId="55243A9B"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1BFA8E9A" w14:textId="39EF34E3" w:rsidR="00AE31DC" w:rsidRPr="00A52AEE" w:rsidRDefault="00AE31DC" w:rsidP="00FE68E8">
            <w:pPr>
              <w:jc w:val="right"/>
              <w:rPr>
                <w:rFonts w:eastAsia="Times New Roman"/>
                <w:lang w:eastAsia="en-GB"/>
              </w:rPr>
            </w:pPr>
            <w:r w:rsidRPr="00A52AEE">
              <w:t>60</w:t>
            </w:r>
          </w:p>
        </w:tc>
      </w:tr>
      <w:tr w:rsidR="00DB2D18" w:rsidRPr="00A52AEE" w14:paraId="0E26A20F" w14:textId="763D6BCE"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33CA8A8D" w14:textId="77777777" w:rsidR="00AE31DC" w:rsidRPr="00A52AEE" w:rsidRDefault="00AE31DC" w:rsidP="00A52AEE">
            <w:pPr>
              <w:rPr>
                <w:lang w:eastAsia="en-GB"/>
              </w:rPr>
            </w:pPr>
            <w:r w:rsidRPr="00A52AEE">
              <w:rPr>
                <w:lang w:eastAsia="en-GB"/>
              </w:rPr>
              <w:t>Hounslow</w:t>
            </w:r>
          </w:p>
        </w:tc>
        <w:tc>
          <w:tcPr>
            <w:tcW w:w="491" w:type="pct"/>
            <w:tcBorders>
              <w:top w:val="nil"/>
              <w:left w:val="nil"/>
              <w:bottom w:val="single" w:sz="4" w:space="0" w:color="auto"/>
              <w:right w:val="single" w:sz="4" w:space="0" w:color="auto"/>
            </w:tcBorders>
            <w:shd w:val="clear" w:color="auto" w:fill="auto"/>
            <w:noWrap/>
            <w:vAlign w:val="bottom"/>
            <w:hideMark/>
          </w:tcPr>
          <w:p w14:paraId="7C320FCC" w14:textId="77777777" w:rsidR="00AE31DC" w:rsidRPr="00A52AEE" w:rsidRDefault="00AE31DC" w:rsidP="00FE68E8">
            <w:pPr>
              <w:jc w:val="right"/>
              <w:rPr>
                <w:lang w:eastAsia="en-GB"/>
              </w:rPr>
            </w:pPr>
            <w:r w:rsidRPr="00A52AEE">
              <w:rPr>
                <w:lang w:eastAsia="en-GB"/>
              </w:rPr>
              <w:t>1025</w:t>
            </w:r>
          </w:p>
        </w:tc>
        <w:tc>
          <w:tcPr>
            <w:tcW w:w="299" w:type="pct"/>
            <w:tcBorders>
              <w:top w:val="nil"/>
              <w:left w:val="nil"/>
              <w:bottom w:val="single" w:sz="4" w:space="0" w:color="auto"/>
              <w:right w:val="single" w:sz="4" w:space="0" w:color="auto"/>
            </w:tcBorders>
            <w:shd w:val="clear" w:color="auto" w:fill="auto"/>
            <w:noWrap/>
            <w:vAlign w:val="bottom"/>
            <w:hideMark/>
          </w:tcPr>
          <w:p w14:paraId="2794F760"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18E2F7DE" w14:textId="77777777" w:rsidR="00AE31DC" w:rsidRPr="00A52AEE" w:rsidRDefault="00AE31DC" w:rsidP="00FE68E8">
            <w:pPr>
              <w:jc w:val="right"/>
              <w:rPr>
                <w:lang w:eastAsia="en-GB"/>
              </w:rPr>
            </w:pPr>
            <w:r w:rsidRPr="00A52AEE">
              <w:rPr>
                <w:lang w:eastAsia="en-GB"/>
              </w:rPr>
              <w:t>1065</w:t>
            </w:r>
          </w:p>
        </w:tc>
        <w:tc>
          <w:tcPr>
            <w:tcW w:w="299" w:type="pct"/>
            <w:tcBorders>
              <w:top w:val="nil"/>
              <w:left w:val="nil"/>
              <w:bottom w:val="single" w:sz="4" w:space="0" w:color="auto"/>
              <w:right w:val="single" w:sz="4" w:space="0" w:color="auto"/>
            </w:tcBorders>
            <w:shd w:val="clear" w:color="auto" w:fill="auto"/>
            <w:noWrap/>
            <w:vAlign w:val="bottom"/>
            <w:hideMark/>
          </w:tcPr>
          <w:p w14:paraId="564BB8E5"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3200FA57" w14:textId="77777777" w:rsidR="00AE31DC" w:rsidRPr="00A52AEE" w:rsidRDefault="00AE31DC" w:rsidP="00FE68E8">
            <w:pPr>
              <w:jc w:val="right"/>
              <w:rPr>
                <w:lang w:eastAsia="en-GB"/>
              </w:rPr>
            </w:pPr>
            <w:r w:rsidRPr="00A52AEE">
              <w:rPr>
                <w:lang w:eastAsia="en-GB"/>
              </w:rPr>
              <w:t>1115</w:t>
            </w:r>
          </w:p>
        </w:tc>
        <w:tc>
          <w:tcPr>
            <w:tcW w:w="298" w:type="pct"/>
            <w:tcBorders>
              <w:top w:val="nil"/>
              <w:left w:val="nil"/>
              <w:bottom w:val="single" w:sz="4" w:space="0" w:color="auto"/>
              <w:right w:val="single" w:sz="4" w:space="0" w:color="auto"/>
            </w:tcBorders>
            <w:shd w:val="clear" w:color="auto" w:fill="auto"/>
            <w:noWrap/>
            <w:vAlign w:val="bottom"/>
            <w:hideMark/>
          </w:tcPr>
          <w:p w14:paraId="6A90AA94"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4AECDAD6" w14:textId="77777777" w:rsidR="00AE31DC" w:rsidRPr="00A52AEE" w:rsidRDefault="00AE31DC" w:rsidP="00FE68E8">
            <w:pPr>
              <w:jc w:val="right"/>
              <w:rPr>
                <w:lang w:eastAsia="en-GB"/>
              </w:rPr>
            </w:pPr>
            <w:r w:rsidRPr="00A52AEE">
              <w:rPr>
                <w:lang w:eastAsia="en-GB"/>
              </w:rPr>
              <w:t>1140</w:t>
            </w:r>
          </w:p>
        </w:tc>
        <w:tc>
          <w:tcPr>
            <w:tcW w:w="300" w:type="pct"/>
            <w:tcBorders>
              <w:top w:val="nil"/>
              <w:left w:val="nil"/>
              <w:bottom w:val="single" w:sz="4" w:space="0" w:color="auto"/>
              <w:right w:val="single" w:sz="4" w:space="0" w:color="auto"/>
            </w:tcBorders>
            <w:shd w:val="clear" w:color="auto" w:fill="auto"/>
            <w:noWrap/>
            <w:vAlign w:val="bottom"/>
            <w:hideMark/>
          </w:tcPr>
          <w:p w14:paraId="7B94333B"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7F7E696C" w14:textId="77777777" w:rsidR="00AE31DC" w:rsidRPr="00A52AEE" w:rsidRDefault="00AE31DC" w:rsidP="00FE68E8">
            <w:pPr>
              <w:jc w:val="right"/>
              <w:rPr>
                <w:lang w:eastAsia="en-GB"/>
              </w:rPr>
            </w:pPr>
            <w:r w:rsidRPr="00A52AEE">
              <w:rPr>
                <w:lang w:eastAsia="en-GB"/>
              </w:rPr>
              <w:t>1355</w:t>
            </w:r>
          </w:p>
        </w:tc>
        <w:tc>
          <w:tcPr>
            <w:tcW w:w="300" w:type="pct"/>
            <w:tcBorders>
              <w:top w:val="nil"/>
              <w:left w:val="nil"/>
              <w:bottom w:val="single" w:sz="4" w:space="0" w:color="auto"/>
              <w:right w:val="single" w:sz="4" w:space="0" w:color="auto"/>
            </w:tcBorders>
            <w:shd w:val="clear" w:color="auto" w:fill="auto"/>
            <w:noWrap/>
            <w:vAlign w:val="bottom"/>
            <w:hideMark/>
          </w:tcPr>
          <w:p w14:paraId="2F9F5257"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2D5DB114" w14:textId="28CCB498" w:rsidR="00AE31DC" w:rsidRPr="00A52AEE" w:rsidRDefault="00AE31DC" w:rsidP="00FE68E8">
            <w:pPr>
              <w:jc w:val="right"/>
              <w:rPr>
                <w:rFonts w:eastAsia="Times New Roman"/>
                <w:lang w:eastAsia="en-GB"/>
              </w:rPr>
            </w:pPr>
            <w:r w:rsidRPr="00A52AEE">
              <w:t>330</w:t>
            </w:r>
          </w:p>
        </w:tc>
      </w:tr>
      <w:tr w:rsidR="00DB2D18" w:rsidRPr="00A52AEE" w14:paraId="4876ACF4" w14:textId="7E5F0DD3"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7B23D3BD" w14:textId="77777777" w:rsidR="00AE31DC" w:rsidRPr="00A52AEE" w:rsidRDefault="00AE31DC" w:rsidP="00A52AEE">
            <w:pPr>
              <w:rPr>
                <w:lang w:eastAsia="en-GB"/>
              </w:rPr>
            </w:pPr>
            <w:r w:rsidRPr="00A52AEE">
              <w:rPr>
                <w:lang w:eastAsia="en-GB"/>
              </w:rPr>
              <w:t>Islington</w:t>
            </w:r>
          </w:p>
        </w:tc>
        <w:tc>
          <w:tcPr>
            <w:tcW w:w="491" w:type="pct"/>
            <w:tcBorders>
              <w:top w:val="nil"/>
              <w:left w:val="nil"/>
              <w:bottom w:val="single" w:sz="4" w:space="0" w:color="auto"/>
              <w:right w:val="single" w:sz="4" w:space="0" w:color="auto"/>
            </w:tcBorders>
            <w:shd w:val="clear" w:color="auto" w:fill="auto"/>
            <w:noWrap/>
            <w:vAlign w:val="bottom"/>
            <w:hideMark/>
          </w:tcPr>
          <w:p w14:paraId="287F0601" w14:textId="77777777" w:rsidR="00AE31DC" w:rsidRPr="00A52AEE" w:rsidRDefault="00AE31DC" w:rsidP="00FE68E8">
            <w:pPr>
              <w:jc w:val="right"/>
              <w:rPr>
                <w:lang w:eastAsia="en-GB"/>
              </w:rPr>
            </w:pPr>
            <w:r w:rsidRPr="00A52AEE">
              <w:rPr>
                <w:lang w:eastAsia="en-GB"/>
              </w:rPr>
              <w:t>1025</w:t>
            </w:r>
          </w:p>
        </w:tc>
        <w:tc>
          <w:tcPr>
            <w:tcW w:w="299" w:type="pct"/>
            <w:tcBorders>
              <w:top w:val="nil"/>
              <w:left w:val="nil"/>
              <w:bottom w:val="single" w:sz="4" w:space="0" w:color="auto"/>
              <w:right w:val="single" w:sz="4" w:space="0" w:color="auto"/>
            </w:tcBorders>
            <w:shd w:val="clear" w:color="auto" w:fill="auto"/>
            <w:noWrap/>
            <w:vAlign w:val="bottom"/>
            <w:hideMark/>
          </w:tcPr>
          <w:p w14:paraId="2C161015"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6573C68D" w14:textId="77777777" w:rsidR="00AE31DC" w:rsidRPr="00A52AEE" w:rsidRDefault="00AE31DC" w:rsidP="00FE68E8">
            <w:pPr>
              <w:jc w:val="right"/>
              <w:rPr>
                <w:lang w:eastAsia="en-GB"/>
              </w:rPr>
            </w:pPr>
            <w:r w:rsidRPr="00A52AEE">
              <w:rPr>
                <w:lang w:eastAsia="en-GB"/>
              </w:rPr>
              <w:t>1005</w:t>
            </w:r>
          </w:p>
        </w:tc>
        <w:tc>
          <w:tcPr>
            <w:tcW w:w="299" w:type="pct"/>
            <w:tcBorders>
              <w:top w:val="nil"/>
              <w:left w:val="nil"/>
              <w:bottom w:val="single" w:sz="4" w:space="0" w:color="auto"/>
              <w:right w:val="single" w:sz="4" w:space="0" w:color="auto"/>
            </w:tcBorders>
            <w:shd w:val="clear" w:color="auto" w:fill="auto"/>
            <w:noWrap/>
            <w:vAlign w:val="bottom"/>
            <w:hideMark/>
          </w:tcPr>
          <w:p w14:paraId="2594EFA8"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5DBAD11A" w14:textId="77777777" w:rsidR="00AE31DC" w:rsidRPr="00A52AEE" w:rsidRDefault="00AE31DC" w:rsidP="00FE68E8">
            <w:pPr>
              <w:jc w:val="right"/>
              <w:rPr>
                <w:lang w:eastAsia="en-GB"/>
              </w:rPr>
            </w:pPr>
            <w:r w:rsidRPr="00A52AEE">
              <w:rPr>
                <w:lang w:eastAsia="en-GB"/>
              </w:rPr>
              <w:t>1030</w:t>
            </w:r>
          </w:p>
        </w:tc>
        <w:tc>
          <w:tcPr>
            <w:tcW w:w="298" w:type="pct"/>
            <w:tcBorders>
              <w:top w:val="nil"/>
              <w:left w:val="nil"/>
              <w:bottom w:val="single" w:sz="4" w:space="0" w:color="auto"/>
              <w:right w:val="single" w:sz="4" w:space="0" w:color="auto"/>
            </w:tcBorders>
            <w:shd w:val="clear" w:color="auto" w:fill="auto"/>
            <w:noWrap/>
            <w:vAlign w:val="bottom"/>
            <w:hideMark/>
          </w:tcPr>
          <w:p w14:paraId="62F4C0D0"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6295DAC1" w14:textId="77777777" w:rsidR="00AE31DC" w:rsidRPr="00A52AEE" w:rsidRDefault="00AE31DC" w:rsidP="00FE68E8">
            <w:pPr>
              <w:jc w:val="right"/>
              <w:rPr>
                <w:lang w:eastAsia="en-GB"/>
              </w:rPr>
            </w:pPr>
            <w:r w:rsidRPr="00A52AEE">
              <w:rPr>
                <w:lang w:eastAsia="en-GB"/>
              </w:rPr>
              <w:t>1035</w:t>
            </w:r>
          </w:p>
        </w:tc>
        <w:tc>
          <w:tcPr>
            <w:tcW w:w="300" w:type="pct"/>
            <w:tcBorders>
              <w:top w:val="nil"/>
              <w:left w:val="nil"/>
              <w:bottom w:val="single" w:sz="4" w:space="0" w:color="auto"/>
              <w:right w:val="single" w:sz="4" w:space="0" w:color="auto"/>
            </w:tcBorders>
            <w:shd w:val="clear" w:color="auto" w:fill="auto"/>
            <w:noWrap/>
            <w:vAlign w:val="bottom"/>
            <w:hideMark/>
          </w:tcPr>
          <w:p w14:paraId="29F60D3C"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5F667895" w14:textId="77777777" w:rsidR="00AE31DC" w:rsidRPr="00A52AEE" w:rsidRDefault="00AE31DC" w:rsidP="00FE68E8">
            <w:pPr>
              <w:jc w:val="right"/>
              <w:rPr>
                <w:lang w:eastAsia="en-GB"/>
              </w:rPr>
            </w:pPr>
            <w:r w:rsidRPr="00A52AEE">
              <w:rPr>
                <w:lang w:eastAsia="en-GB"/>
              </w:rPr>
              <w:t>1165</w:t>
            </w:r>
          </w:p>
        </w:tc>
        <w:tc>
          <w:tcPr>
            <w:tcW w:w="300" w:type="pct"/>
            <w:tcBorders>
              <w:top w:val="nil"/>
              <w:left w:val="nil"/>
              <w:bottom w:val="single" w:sz="4" w:space="0" w:color="auto"/>
              <w:right w:val="single" w:sz="4" w:space="0" w:color="auto"/>
            </w:tcBorders>
            <w:shd w:val="clear" w:color="auto" w:fill="auto"/>
            <w:noWrap/>
            <w:vAlign w:val="bottom"/>
            <w:hideMark/>
          </w:tcPr>
          <w:p w14:paraId="792CD866"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1FA25562" w14:textId="5038F3AC" w:rsidR="00AE31DC" w:rsidRPr="00A52AEE" w:rsidRDefault="00AE31DC" w:rsidP="00FE68E8">
            <w:pPr>
              <w:jc w:val="right"/>
              <w:rPr>
                <w:rFonts w:eastAsia="Times New Roman"/>
                <w:lang w:eastAsia="en-GB"/>
              </w:rPr>
            </w:pPr>
            <w:r w:rsidRPr="00A52AEE">
              <w:t>140</w:t>
            </w:r>
          </w:p>
        </w:tc>
      </w:tr>
      <w:tr w:rsidR="00DB2D18" w:rsidRPr="00A52AEE" w14:paraId="3F60446E" w14:textId="31B262A6"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BD5D5B3" w14:textId="77777777" w:rsidR="00AE31DC" w:rsidRPr="00A52AEE" w:rsidRDefault="00AE31DC" w:rsidP="00A52AEE">
            <w:pPr>
              <w:rPr>
                <w:lang w:eastAsia="en-GB"/>
              </w:rPr>
            </w:pPr>
            <w:r w:rsidRPr="00A52AEE">
              <w:rPr>
                <w:lang w:eastAsia="en-GB"/>
              </w:rPr>
              <w:t>Kensington and Chelsea</w:t>
            </w:r>
          </w:p>
        </w:tc>
        <w:tc>
          <w:tcPr>
            <w:tcW w:w="491" w:type="pct"/>
            <w:tcBorders>
              <w:top w:val="nil"/>
              <w:left w:val="nil"/>
              <w:bottom w:val="single" w:sz="4" w:space="0" w:color="auto"/>
              <w:right w:val="single" w:sz="4" w:space="0" w:color="auto"/>
            </w:tcBorders>
            <w:shd w:val="clear" w:color="auto" w:fill="auto"/>
            <w:noWrap/>
            <w:vAlign w:val="bottom"/>
            <w:hideMark/>
          </w:tcPr>
          <w:p w14:paraId="2573EB54" w14:textId="77777777" w:rsidR="00AE31DC" w:rsidRPr="00A52AEE" w:rsidRDefault="00AE31DC" w:rsidP="00FE68E8">
            <w:pPr>
              <w:jc w:val="right"/>
              <w:rPr>
                <w:lang w:eastAsia="en-GB"/>
              </w:rPr>
            </w:pPr>
            <w:r w:rsidRPr="00A52AEE">
              <w:rPr>
                <w:lang w:eastAsia="en-GB"/>
              </w:rPr>
              <w:t>500</w:t>
            </w:r>
          </w:p>
        </w:tc>
        <w:tc>
          <w:tcPr>
            <w:tcW w:w="299" w:type="pct"/>
            <w:tcBorders>
              <w:top w:val="nil"/>
              <w:left w:val="nil"/>
              <w:bottom w:val="single" w:sz="4" w:space="0" w:color="auto"/>
              <w:right w:val="single" w:sz="4" w:space="0" w:color="auto"/>
            </w:tcBorders>
            <w:shd w:val="clear" w:color="auto" w:fill="auto"/>
            <w:noWrap/>
            <w:vAlign w:val="bottom"/>
            <w:hideMark/>
          </w:tcPr>
          <w:p w14:paraId="6B17AAF0"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0605A696" w14:textId="77777777" w:rsidR="00AE31DC" w:rsidRPr="00A52AEE" w:rsidRDefault="00AE31DC" w:rsidP="00FE68E8">
            <w:pPr>
              <w:jc w:val="right"/>
              <w:rPr>
                <w:lang w:eastAsia="en-GB"/>
              </w:rPr>
            </w:pPr>
            <w:r w:rsidRPr="00A52AEE">
              <w:rPr>
                <w:lang w:eastAsia="en-GB"/>
              </w:rPr>
              <w:t>460</w:t>
            </w:r>
          </w:p>
        </w:tc>
        <w:tc>
          <w:tcPr>
            <w:tcW w:w="299" w:type="pct"/>
            <w:tcBorders>
              <w:top w:val="nil"/>
              <w:left w:val="nil"/>
              <w:bottom w:val="single" w:sz="4" w:space="0" w:color="auto"/>
              <w:right w:val="single" w:sz="4" w:space="0" w:color="auto"/>
            </w:tcBorders>
            <w:shd w:val="clear" w:color="auto" w:fill="auto"/>
            <w:noWrap/>
            <w:vAlign w:val="bottom"/>
            <w:hideMark/>
          </w:tcPr>
          <w:p w14:paraId="21D48377"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70C41DD5" w14:textId="77777777" w:rsidR="00AE31DC" w:rsidRPr="00A52AEE" w:rsidRDefault="00AE31DC" w:rsidP="00FE68E8">
            <w:pPr>
              <w:jc w:val="right"/>
              <w:rPr>
                <w:lang w:eastAsia="en-GB"/>
              </w:rPr>
            </w:pPr>
            <w:r w:rsidRPr="00A52AEE">
              <w:rPr>
                <w:lang w:eastAsia="en-GB"/>
              </w:rPr>
              <w:t>475</w:t>
            </w:r>
          </w:p>
        </w:tc>
        <w:tc>
          <w:tcPr>
            <w:tcW w:w="298" w:type="pct"/>
            <w:tcBorders>
              <w:top w:val="nil"/>
              <w:left w:val="nil"/>
              <w:bottom w:val="single" w:sz="4" w:space="0" w:color="auto"/>
              <w:right w:val="single" w:sz="4" w:space="0" w:color="auto"/>
            </w:tcBorders>
            <w:shd w:val="clear" w:color="auto" w:fill="auto"/>
            <w:noWrap/>
            <w:vAlign w:val="bottom"/>
            <w:hideMark/>
          </w:tcPr>
          <w:p w14:paraId="2EB957A9"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1764BBCC" w14:textId="77777777" w:rsidR="00AE31DC" w:rsidRPr="00A52AEE" w:rsidRDefault="00AE31DC" w:rsidP="00FE68E8">
            <w:pPr>
              <w:jc w:val="right"/>
              <w:rPr>
                <w:lang w:eastAsia="en-GB"/>
              </w:rPr>
            </w:pPr>
            <w:r w:rsidRPr="00A52AEE">
              <w:rPr>
                <w:lang w:eastAsia="en-GB"/>
              </w:rPr>
              <w:t>450</w:t>
            </w:r>
          </w:p>
        </w:tc>
        <w:tc>
          <w:tcPr>
            <w:tcW w:w="300" w:type="pct"/>
            <w:tcBorders>
              <w:top w:val="nil"/>
              <w:left w:val="nil"/>
              <w:bottom w:val="single" w:sz="4" w:space="0" w:color="auto"/>
              <w:right w:val="single" w:sz="4" w:space="0" w:color="auto"/>
            </w:tcBorders>
            <w:shd w:val="clear" w:color="auto" w:fill="auto"/>
            <w:noWrap/>
            <w:vAlign w:val="bottom"/>
            <w:hideMark/>
          </w:tcPr>
          <w:p w14:paraId="0E854CF1"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2AE56622" w14:textId="77777777" w:rsidR="00AE31DC" w:rsidRPr="00A52AEE" w:rsidRDefault="00AE31DC" w:rsidP="00FE68E8">
            <w:pPr>
              <w:jc w:val="right"/>
              <w:rPr>
                <w:lang w:eastAsia="en-GB"/>
              </w:rPr>
            </w:pPr>
            <w:r w:rsidRPr="00A52AEE">
              <w:rPr>
                <w:lang w:eastAsia="en-GB"/>
              </w:rPr>
              <w:t>510</w:t>
            </w:r>
          </w:p>
        </w:tc>
        <w:tc>
          <w:tcPr>
            <w:tcW w:w="300" w:type="pct"/>
            <w:tcBorders>
              <w:top w:val="nil"/>
              <w:left w:val="nil"/>
              <w:bottom w:val="single" w:sz="4" w:space="0" w:color="auto"/>
              <w:right w:val="single" w:sz="4" w:space="0" w:color="auto"/>
            </w:tcBorders>
            <w:shd w:val="clear" w:color="auto" w:fill="auto"/>
            <w:noWrap/>
            <w:vAlign w:val="bottom"/>
            <w:hideMark/>
          </w:tcPr>
          <w:p w14:paraId="3D8C031D" w14:textId="77777777" w:rsidR="00AE31DC" w:rsidRPr="00A52AEE" w:rsidRDefault="00AE31DC" w:rsidP="00FE68E8">
            <w:pPr>
              <w:jc w:val="right"/>
              <w:rPr>
                <w:lang w:eastAsia="en-GB"/>
              </w:rPr>
            </w:pPr>
            <w:r w:rsidRPr="00A52AEE">
              <w:rPr>
                <w:lang w:eastAsia="en-GB"/>
              </w:rPr>
              <w:t>1%</w:t>
            </w:r>
          </w:p>
        </w:tc>
        <w:tc>
          <w:tcPr>
            <w:tcW w:w="370" w:type="pct"/>
            <w:tcBorders>
              <w:top w:val="nil"/>
              <w:left w:val="nil"/>
              <w:bottom w:val="single" w:sz="4" w:space="0" w:color="auto"/>
              <w:right w:val="single" w:sz="4" w:space="0" w:color="auto"/>
            </w:tcBorders>
            <w:vAlign w:val="bottom"/>
          </w:tcPr>
          <w:p w14:paraId="237F502D" w14:textId="33E90020" w:rsidR="00AE31DC" w:rsidRPr="00A52AEE" w:rsidRDefault="00AE31DC" w:rsidP="00FE68E8">
            <w:pPr>
              <w:jc w:val="right"/>
              <w:rPr>
                <w:rFonts w:eastAsia="Times New Roman"/>
                <w:lang w:eastAsia="en-GB"/>
              </w:rPr>
            </w:pPr>
            <w:r w:rsidRPr="00A52AEE">
              <w:t>10</w:t>
            </w:r>
          </w:p>
        </w:tc>
      </w:tr>
      <w:tr w:rsidR="00DB2D18" w:rsidRPr="00A52AEE" w14:paraId="69402AFD" w14:textId="663387F7"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6B2E0214" w14:textId="77777777" w:rsidR="00AE31DC" w:rsidRPr="00A52AEE" w:rsidRDefault="00AE31DC" w:rsidP="00A52AEE">
            <w:pPr>
              <w:rPr>
                <w:lang w:eastAsia="en-GB"/>
              </w:rPr>
            </w:pPr>
            <w:r w:rsidRPr="00A52AEE">
              <w:rPr>
                <w:lang w:eastAsia="en-GB"/>
              </w:rPr>
              <w:t>Kingston upon Thames</w:t>
            </w:r>
          </w:p>
        </w:tc>
        <w:tc>
          <w:tcPr>
            <w:tcW w:w="491" w:type="pct"/>
            <w:tcBorders>
              <w:top w:val="nil"/>
              <w:left w:val="nil"/>
              <w:bottom w:val="single" w:sz="4" w:space="0" w:color="auto"/>
              <w:right w:val="single" w:sz="4" w:space="0" w:color="auto"/>
            </w:tcBorders>
            <w:shd w:val="clear" w:color="auto" w:fill="auto"/>
            <w:noWrap/>
            <w:vAlign w:val="bottom"/>
            <w:hideMark/>
          </w:tcPr>
          <w:p w14:paraId="5F12BC77" w14:textId="77777777" w:rsidR="00AE31DC" w:rsidRPr="00A52AEE" w:rsidRDefault="00AE31DC" w:rsidP="00FE68E8">
            <w:pPr>
              <w:jc w:val="right"/>
              <w:rPr>
                <w:lang w:eastAsia="en-GB"/>
              </w:rPr>
            </w:pPr>
            <w:r w:rsidRPr="00A52AEE">
              <w:rPr>
                <w:lang w:eastAsia="en-GB"/>
              </w:rPr>
              <w:t>515</w:t>
            </w:r>
          </w:p>
        </w:tc>
        <w:tc>
          <w:tcPr>
            <w:tcW w:w="299" w:type="pct"/>
            <w:tcBorders>
              <w:top w:val="nil"/>
              <w:left w:val="nil"/>
              <w:bottom w:val="single" w:sz="4" w:space="0" w:color="auto"/>
              <w:right w:val="single" w:sz="4" w:space="0" w:color="auto"/>
            </w:tcBorders>
            <w:shd w:val="clear" w:color="auto" w:fill="auto"/>
            <w:noWrap/>
            <w:vAlign w:val="bottom"/>
            <w:hideMark/>
          </w:tcPr>
          <w:p w14:paraId="6CD4FD2A"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42012F97" w14:textId="77777777" w:rsidR="00AE31DC" w:rsidRPr="00A52AEE" w:rsidRDefault="00AE31DC" w:rsidP="00FE68E8">
            <w:pPr>
              <w:jc w:val="right"/>
              <w:rPr>
                <w:lang w:eastAsia="en-GB"/>
              </w:rPr>
            </w:pPr>
            <w:r w:rsidRPr="00A52AEE">
              <w:rPr>
                <w:lang w:eastAsia="en-GB"/>
              </w:rPr>
              <w:t>570</w:t>
            </w:r>
          </w:p>
        </w:tc>
        <w:tc>
          <w:tcPr>
            <w:tcW w:w="299" w:type="pct"/>
            <w:tcBorders>
              <w:top w:val="nil"/>
              <w:left w:val="nil"/>
              <w:bottom w:val="single" w:sz="4" w:space="0" w:color="auto"/>
              <w:right w:val="single" w:sz="4" w:space="0" w:color="auto"/>
            </w:tcBorders>
            <w:shd w:val="clear" w:color="auto" w:fill="auto"/>
            <w:noWrap/>
            <w:vAlign w:val="bottom"/>
            <w:hideMark/>
          </w:tcPr>
          <w:p w14:paraId="428B8D18"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7EB0B85E" w14:textId="77777777" w:rsidR="00AE31DC" w:rsidRPr="00A52AEE" w:rsidRDefault="00AE31DC" w:rsidP="00FE68E8">
            <w:pPr>
              <w:jc w:val="right"/>
              <w:rPr>
                <w:lang w:eastAsia="en-GB"/>
              </w:rPr>
            </w:pPr>
            <w:r w:rsidRPr="00A52AEE">
              <w:rPr>
                <w:lang w:eastAsia="en-GB"/>
              </w:rPr>
              <w:t>475</w:t>
            </w:r>
          </w:p>
        </w:tc>
        <w:tc>
          <w:tcPr>
            <w:tcW w:w="298" w:type="pct"/>
            <w:tcBorders>
              <w:top w:val="nil"/>
              <w:left w:val="nil"/>
              <w:bottom w:val="single" w:sz="4" w:space="0" w:color="auto"/>
              <w:right w:val="single" w:sz="4" w:space="0" w:color="auto"/>
            </w:tcBorders>
            <w:shd w:val="clear" w:color="auto" w:fill="auto"/>
            <w:noWrap/>
            <w:vAlign w:val="bottom"/>
            <w:hideMark/>
          </w:tcPr>
          <w:p w14:paraId="5C9DE881"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30ED8E88" w14:textId="77777777" w:rsidR="00AE31DC" w:rsidRPr="00A52AEE" w:rsidRDefault="00AE31DC" w:rsidP="00FE68E8">
            <w:pPr>
              <w:jc w:val="right"/>
              <w:rPr>
                <w:lang w:eastAsia="en-GB"/>
              </w:rPr>
            </w:pPr>
            <w:r w:rsidRPr="00A52AEE">
              <w:rPr>
                <w:lang w:eastAsia="en-GB"/>
              </w:rPr>
              <w:t>485</w:t>
            </w:r>
          </w:p>
        </w:tc>
        <w:tc>
          <w:tcPr>
            <w:tcW w:w="300" w:type="pct"/>
            <w:tcBorders>
              <w:top w:val="nil"/>
              <w:left w:val="nil"/>
              <w:bottom w:val="single" w:sz="4" w:space="0" w:color="auto"/>
              <w:right w:val="single" w:sz="4" w:space="0" w:color="auto"/>
            </w:tcBorders>
            <w:shd w:val="clear" w:color="auto" w:fill="auto"/>
            <w:noWrap/>
            <w:vAlign w:val="bottom"/>
            <w:hideMark/>
          </w:tcPr>
          <w:p w14:paraId="2481BFF0"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20AD2D6F" w14:textId="77777777" w:rsidR="00AE31DC" w:rsidRPr="00A52AEE" w:rsidRDefault="00AE31DC" w:rsidP="00FE68E8">
            <w:pPr>
              <w:jc w:val="right"/>
              <w:rPr>
                <w:lang w:eastAsia="en-GB"/>
              </w:rPr>
            </w:pPr>
            <w:r w:rsidRPr="00A52AEE">
              <w:rPr>
                <w:lang w:eastAsia="en-GB"/>
              </w:rPr>
              <w:t>440</w:t>
            </w:r>
          </w:p>
        </w:tc>
        <w:tc>
          <w:tcPr>
            <w:tcW w:w="300" w:type="pct"/>
            <w:tcBorders>
              <w:top w:val="nil"/>
              <w:left w:val="nil"/>
              <w:bottom w:val="single" w:sz="4" w:space="0" w:color="auto"/>
              <w:right w:val="single" w:sz="4" w:space="0" w:color="auto"/>
            </w:tcBorders>
            <w:shd w:val="clear" w:color="auto" w:fill="auto"/>
            <w:noWrap/>
            <w:vAlign w:val="bottom"/>
            <w:hideMark/>
          </w:tcPr>
          <w:p w14:paraId="2EB4CD99" w14:textId="77777777" w:rsidR="00AE31DC" w:rsidRPr="00A52AEE" w:rsidRDefault="00AE31DC" w:rsidP="00FE68E8">
            <w:pPr>
              <w:jc w:val="right"/>
              <w:rPr>
                <w:lang w:eastAsia="en-GB"/>
              </w:rPr>
            </w:pPr>
            <w:r w:rsidRPr="00A52AEE">
              <w:rPr>
                <w:lang w:eastAsia="en-GB"/>
              </w:rPr>
              <w:t>1%</w:t>
            </w:r>
          </w:p>
        </w:tc>
        <w:tc>
          <w:tcPr>
            <w:tcW w:w="370" w:type="pct"/>
            <w:tcBorders>
              <w:top w:val="nil"/>
              <w:left w:val="nil"/>
              <w:bottom w:val="single" w:sz="4" w:space="0" w:color="auto"/>
              <w:right w:val="single" w:sz="4" w:space="0" w:color="auto"/>
            </w:tcBorders>
            <w:vAlign w:val="bottom"/>
          </w:tcPr>
          <w:p w14:paraId="61F402B8" w14:textId="0CB6A205" w:rsidR="00AE31DC" w:rsidRPr="00A52AEE" w:rsidRDefault="00AE31DC" w:rsidP="00FE68E8">
            <w:pPr>
              <w:jc w:val="right"/>
              <w:rPr>
                <w:rFonts w:eastAsia="Times New Roman"/>
                <w:lang w:eastAsia="en-GB"/>
              </w:rPr>
            </w:pPr>
            <w:r w:rsidRPr="00A52AEE">
              <w:t>-75</w:t>
            </w:r>
          </w:p>
        </w:tc>
      </w:tr>
      <w:tr w:rsidR="00DB2D18" w:rsidRPr="00A52AEE" w14:paraId="681BBD69" w14:textId="69192D93"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5DBE25E4" w14:textId="77777777" w:rsidR="00AE31DC" w:rsidRPr="00A52AEE" w:rsidRDefault="00AE31DC" w:rsidP="00A52AEE">
            <w:pPr>
              <w:rPr>
                <w:lang w:eastAsia="en-GB"/>
              </w:rPr>
            </w:pPr>
            <w:r w:rsidRPr="00A52AEE">
              <w:rPr>
                <w:lang w:eastAsia="en-GB"/>
              </w:rPr>
              <w:t>Lambeth</w:t>
            </w:r>
          </w:p>
        </w:tc>
        <w:tc>
          <w:tcPr>
            <w:tcW w:w="491" w:type="pct"/>
            <w:tcBorders>
              <w:top w:val="nil"/>
              <w:left w:val="nil"/>
              <w:bottom w:val="single" w:sz="4" w:space="0" w:color="auto"/>
              <w:right w:val="single" w:sz="4" w:space="0" w:color="auto"/>
            </w:tcBorders>
            <w:shd w:val="clear" w:color="auto" w:fill="auto"/>
            <w:noWrap/>
            <w:vAlign w:val="bottom"/>
            <w:hideMark/>
          </w:tcPr>
          <w:p w14:paraId="62C090F0" w14:textId="77777777" w:rsidR="00AE31DC" w:rsidRPr="00A52AEE" w:rsidRDefault="00AE31DC" w:rsidP="00FE68E8">
            <w:pPr>
              <w:jc w:val="right"/>
              <w:rPr>
                <w:lang w:eastAsia="en-GB"/>
              </w:rPr>
            </w:pPr>
            <w:r w:rsidRPr="00A52AEE">
              <w:rPr>
                <w:lang w:eastAsia="en-GB"/>
              </w:rPr>
              <w:t>1825</w:t>
            </w:r>
          </w:p>
        </w:tc>
        <w:tc>
          <w:tcPr>
            <w:tcW w:w="299" w:type="pct"/>
            <w:tcBorders>
              <w:top w:val="nil"/>
              <w:left w:val="nil"/>
              <w:bottom w:val="single" w:sz="4" w:space="0" w:color="auto"/>
              <w:right w:val="single" w:sz="4" w:space="0" w:color="auto"/>
            </w:tcBorders>
            <w:shd w:val="clear" w:color="auto" w:fill="auto"/>
            <w:noWrap/>
            <w:vAlign w:val="bottom"/>
            <w:hideMark/>
          </w:tcPr>
          <w:p w14:paraId="108543B9"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6383BF56" w14:textId="77777777" w:rsidR="00AE31DC" w:rsidRPr="00A52AEE" w:rsidRDefault="00AE31DC" w:rsidP="00FE68E8">
            <w:pPr>
              <w:jc w:val="right"/>
              <w:rPr>
                <w:lang w:eastAsia="en-GB"/>
              </w:rPr>
            </w:pPr>
            <w:r w:rsidRPr="00A52AEE">
              <w:rPr>
                <w:lang w:eastAsia="en-GB"/>
              </w:rPr>
              <w:t>1890</w:t>
            </w:r>
          </w:p>
        </w:tc>
        <w:tc>
          <w:tcPr>
            <w:tcW w:w="299" w:type="pct"/>
            <w:tcBorders>
              <w:top w:val="nil"/>
              <w:left w:val="nil"/>
              <w:bottom w:val="single" w:sz="4" w:space="0" w:color="auto"/>
              <w:right w:val="single" w:sz="4" w:space="0" w:color="auto"/>
            </w:tcBorders>
            <w:shd w:val="clear" w:color="auto" w:fill="auto"/>
            <w:noWrap/>
            <w:vAlign w:val="bottom"/>
            <w:hideMark/>
          </w:tcPr>
          <w:p w14:paraId="505029BF" w14:textId="77777777" w:rsidR="00AE31DC" w:rsidRPr="00A52AEE" w:rsidRDefault="00AE31DC" w:rsidP="00FE68E8">
            <w:pPr>
              <w:jc w:val="right"/>
              <w:rPr>
                <w:lang w:eastAsia="en-GB"/>
              </w:rPr>
            </w:pPr>
            <w:r w:rsidRPr="00A52AEE">
              <w:rPr>
                <w:lang w:eastAsia="en-GB"/>
              </w:rPr>
              <w:t>5%</w:t>
            </w:r>
          </w:p>
        </w:tc>
        <w:tc>
          <w:tcPr>
            <w:tcW w:w="373" w:type="pct"/>
            <w:tcBorders>
              <w:top w:val="nil"/>
              <w:left w:val="nil"/>
              <w:bottom w:val="single" w:sz="4" w:space="0" w:color="auto"/>
              <w:right w:val="single" w:sz="4" w:space="0" w:color="auto"/>
            </w:tcBorders>
            <w:shd w:val="clear" w:color="auto" w:fill="auto"/>
            <w:noWrap/>
            <w:vAlign w:val="bottom"/>
            <w:hideMark/>
          </w:tcPr>
          <w:p w14:paraId="2E5E669E" w14:textId="77777777" w:rsidR="00AE31DC" w:rsidRPr="00A52AEE" w:rsidRDefault="00AE31DC" w:rsidP="00FE68E8">
            <w:pPr>
              <w:jc w:val="right"/>
              <w:rPr>
                <w:lang w:eastAsia="en-GB"/>
              </w:rPr>
            </w:pPr>
            <w:r w:rsidRPr="00A52AEE">
              <w:rPr>
                <w:lang w:eastAsia="en-GB"/>
              </w:rPr>
              <w:t>2135</w:t>
            </w:r>
          </w:p>
        </w:tc>
        <w:tc>
          <w:tcPr>
            <w:tcW w:w="298" w:type="pct"/>
            <w:tcBorders>
              <w:top w:val="nil"/>
              <w:left w:val="nil"/>
              <w:bottom w:val="single" w:sz="4" w:space="0" w:color="auto"/>
              <w:right w:val="single" w:sz="4" w:space="0" w:color="auto"/>
            </w:tcBorders>
            <w:shd w:val="clear" w:color="auto" w:fill="auto"/>
            <w:noWrap/>
            <w:vAlign w:val="bottom"/>
            <w:hideMark/>
          </w:tcPr>
          <w:p w14:paraId="76939A41" w14:textId="77777777" w:rsidR="00AE31DC" w:rsidRPr="00A52AEE" w:rsidRDefault="00AE31DC" w:rsidP="00FE68E8">
            <w:pPr>
              <w:jc w:val="right"/>
              <w:rPr>
                <w:lang w:eastAsia="en-GB"/>
              </w:rPr>
            </w:pPr>
            <w:r w:rsidRPr="00A52AEE">
              <w:rPr>
                <w:lang w:eastAsia="en-GB"/>
              </w:rPr>
              <w:t>5%</w:t>
            </w:r>
          </w:p>
        </w:tc>
        <w:tc>
          <w:tcPr>
            <w:tcW w:w="373" w:type="pct"/>
            <w:tcBorders>
              <w:top w:val="nil"/>
              <w:left w:val="nil"/>
              <w:bottom w:val="single" w:sz="4" w:space="0" w:color="auto"/>
              <w:right w:val="single" w:sz="4" w:space="0" w:color="auto"/>
            </w:tcBorders>
            <w:shd w:val="clear" w:color="auto" w:fill="auto"/>
            <w:noWrap/>
            <w:vAlign w:val="bottom"/>
            <w:hideMark/>
          </w:tcPr>
          <w:p w14:paraId="1791AE2C" w14:textId="77777777" w:rsidR="00AE31DC" w:rsidRPr="00A52AEE" w:rsidRDefault="00AE31DC" w:rsidP="00FE68E8">
            <w:pPr>
              <w:jc w:val="right"/>
              <w:rPr>
                <w:lang w:eastAsia="en-GB"/>
              </w:rPr>
            </w:pPr>
            <w:r w:rsidRPr="00A52AEE">
              <w:rPr>
                <w:lang w:eastAsia="en-GB"/>
              </w:rPr>
              <w:t>1895</w:t>
            </w:r>
          </w:p>
        </w:tc>
        <w:tc>
          <w:tcPr>
            <w:tcW w:w="300" w:type="pct"/>
            <w:tcBorders>
              <w:top w:val="nil"/>
              <w:left w:val="nil"/>
              <w:bottom w:val="single" w:sz="4" w:space="0" w:color="auto"/>
              <w:right w:val="single" w:sz="4" w:space="0" w:color="auto"/>
            </w:tcBorders>
            <w:shd w:val="clear" w:color="auto" w:fill="auto"/>
            <w:noWrap/>
            <w:vAlign w:val="bottom"/>
            <w:hideMark/>
          </w:tcPr>
          <w:p w14:paraId="4AD37984"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2DE9AB40" w14:textId="77777777" w:rsidR="00AE31DC" w:rsidRPr="00A52AEE" w:rsidRDefault="00AE31DC" w:rsidP="00FE68E8">
            <w:pPr>
              <w:jc w:val="right"/>
              <w:rPr>
                <w:lang w:eastAsia="en-GB"/>
              </w:rPr>
            </w:pPr>
            <w:r w:rsidRPr="00A52AEE">
              <w:rPr>
                <w:lang w:eastAsia="en-GB"/>
              </w:rPr>
              <w:t>1985</w:t>
            </w:r>
          </w:p>
        </w:tc>
        <w:tc>
          <w:tcPr>
            <w:tcW w:w="300" w:type="pct"/>
            <w:tcBorders>
              <w:top w:val="nil"/>
              <w:left w:val="nil"/>
              <w:bottom w:val="single" w:sz="4" w:space="0" w:color="auto"/>
              <w:right w:val="single" w:sz="4" w:space="0" w:color="auto"/>
            </w:tcBorders>
            <w:shd w:val="clear" w:color="auto" w:fill="auto"/>
            <w:noWrap/>
            <w:vAlign w:val="bottom"/>
            <w:hideMark/>
          </w:tcPr>
          <w:p w14:paraId="785B781C" w14:textId="77777777" w:rsidR="00AE31DC" w:rsidRPr="00A52AEE" w:rsidRDefault="00AE31DC" w:rsidP="00FE68E8">
            <w:pPr>
              <w:jc w:val="right"/>
              <w:rPr>
                <w:lang w:eastAsia="en-GB"/>
              </w:rPr>
            </w:pPr>
            <w:r w:rsidRPr="00A52AEE">
              <w:rPr>
                <w:lang w:eastAsia="en-GB"/>
              </w:rPr>
              <w:t>5%</w:t>
            </w:r>
          </w:p>
        </w:tc>
        <w:tc>
          <w:tcPr>
            <w:tcW w:w="370" w:type="pct"/>
            <w:tcBorders>
              <w:top w:val="nil"/>
              <w:left w:val="nil"/>
              <w:bottom w:val="single" w:sz="4" w:space="0" w:color="auto"/>
              <w:right w:val="single" w:sz="4" w:space="0" w:color="auto"/>
            </w:tcBorders>
            <w:vAlign w:val="bottom"/>
          </w:tcPr>
          <w:p w14:paraId="05F64D5A" w14:textId="55725DDA" w:rsidR="00AE31DC" w:rsidRPr="00A52AEE" w:rsidRDefault="00AE31DC" w:rsidP="00FE68E8">
            <w:pPr>
              <w:jc w:val="right"/>
              <w:rPr>
                <w:rFonts w:eastAsia="Times New Roman"/>
                <w:lang w:eastAsia="en-GB"/>
              </w:rPr>
            </w:pPr>
            <w:r w:rsidRPr="00A52AEE">
              <w:t>160</w:t>
            </w:r>
          </w:p>
        </w:tc>
      </w:tr>
      <w:tr w:rsidR="00DB2D18" w:rsidRPr="00A52AEE" w14:paraId="58827F5E" w14:textId="55022D37"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B3E4D13" w14:textId="77777777" w:rsidR="00AE31DC" w:rsidRPr="00A52AEE" w:rsidRDefault="00AE31DC" w:rsidP="00A52AEE">
            <w:pPr>
              <w:rPr>
                <w:lang w:eastAsia="en-GB"/>
              </w:rPr>
            </w:pPr>
            <w:r w:rsidRPr="00A52AEE">
              <w:rPr>
                <w:lang w:eastAsia="en-GB"/>
              </w:rPr>
              <w:t>Lewisham</w:t>
            </w:r>
          </w:p>
        </w:tc>
        <w:tc>
          <w:tcPr>
            <w:tcW w:w="491" w:type="pct"/>
            <w:tcBorders>
              <w:top w:val="nil"/>
              <w:left w:val="nil"/>
              <w:bottom w:val="single" w:sz="4" w:space="0" w:color="auto"/>
              <w:right w:val="single" w:sz="4" w:space="0" w:color="auto"/>
            </w:tcBorders>
            <w:shd w:val="clear" w:color="auto" w:fill="auto"/>
            <w:noWrap/>
            <w:vAlign w:val="bottom"/>
            <w:hideMark/>
          </w:tcPr>
          <w:p w14:paraId="701F82E7" w14:textId="77777777" w:rsidR="00AE31DC" w:rsidRPr="00A52AEE" w:rsidRDefault="00AE31DC" w:rsidP="00FE68E8">
            <w:pPr>
              <w:jc w:val="right"/>
              <w:rPr>
                <w:lang w:eastAsia="en-GB"/>
              </w:rPr>
            </w:pPr>
            <w:r w:rsidRPr="00A52AEE">
              <w:rPr>
                <w:lang w:eastAsia="en-GB"/>
              </w:rPr>
              <w:t>1465</w:t>
            </w:r>
          </w:p>
        </w:tc>
        <w:tc>
          <w:tcPr>
            <w:tcW w:w="299" w:type="pct"/>
            <w:tcBorders>
              <w:top w:val="nil"/>
              <w:left w:val="nil"/>
              <w:bottom w:val="single" w:sz="4" w:space="0" w:color="auto"/>
              <w:right w:val="single" w:sz="4" w:space="0" w:color="auto"/>
            </w:tcBorders>
            <w:shd w:val="clear" w:color="auto" w:fill="auto"/>
            <w:noWrap/>
            <w:vAlign w:val="bottom"/>
            <w:hideMark/>
          </w:tcPr>
          <w:p w14:paraId="03EDD02F"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55583CB7" w14:textId="77777777" w:rsidR="00AE31DC" w:rsidRPr="00A52AEE" w:rsidRDefault="00AE31DC" w:rsidP="00FE68E8">
            <w:pPr>
              <w:jc w:val="right"/>
              <w:rPr>
                <w:lang w:eastAsia="en-GB"/>
              </w:rPr>
            </w:pPr>
            <w:r w:rsidRPr="00A52AEE">
              <w:rPr>
                <w:lang w:eastAsia="en-GB"/>
              </w:rPr>
              <w:t>1620</w:t>
            </w:r>
          </w:p>
        </w:tc>
        <w:tc>
          <w:tcPr>
            <w:tcW w:w="299" w:type="pct"/>
            <w:tcBorders>
              <w:top w:val="nil"/>
              <w:left w:val="nil"/>
              <w:bottom w:val="single" w:sz="4" w:space="0" w:color="auto"/>
              <w:right w:val="single" w:sz="4" w:space="0" w:color="auto"/>
            </w:tcBorders>
            <w:shd w:val="clear" w:color="auto" w:fill="auto"/>
            <w:noWrap/>
            <w:vAlign w:val="bottom"/>
            <w:hideMark/>
          </w:tcPr>
          <w:p w14:paraId="351E27AD"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60E4E09A" w14:textId="77777777" w:rsidR="00AE31DC" w:rsidRPr="00A52AEE" w:rsidRDefault="00AE31DC" w:rsidP="00FE68E8">
            <w:pPr>
              <w:jc w:val="right"/>
              <w:rPr>
                <w:lang w:eastAsia="en-GB"/>
              </w:rPr>
            </w:pPr>
            <w:r w:rsidRPr="00A52AEE">
              <w:rPr>
                <w:lang w:eastAsia="en-GB"/>
              </w:rPr>
              <w:t>1630</w:t>
            </w:r>
          </w:p>
        </w:tc>
        <w:tc>
          <w:tcPr>
            <w:tcW w:w="298" w:type="pct"/>
            <w:tcBorders>
              <w:top w:val="nil"/>
              <w:left w:val="nil"/>
              <w:bottom w:val="single" w:sz="4" w:space="0" w:color="auto"/>
              <w:right w:val="single" w:sz="4" w:space="0" w:color="auto"/>
            </w:tcBorders>
            <w:shd w:val="clear" w:color="auto" w:fill="auto"/>
            <w:noWrap/>
            <w:vAlign w:val="bottom"/>
            <w:hideMark/>
          </w:tcPr>
          <w:p w14:paraId="47895C18"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7B9EF0FD" w14:textId="77777777" w:rsidR="00AE31DC" w:rsidRPr="00A52AEE" w:rsidRDefault="00AE31DC" w:rsidP="00FE68E8">
            <w:pPr>
              <w:jc w:val="right"/>
              <w:rPr>
                <w:lang w:eastAsia="en-GB"/>
              </w:rPr>
            </w:pPr>
            <w:r w:rsidRPr="00A52AEE">
              <w:rPr>
                <w:lang w:eastAsia="en-GB"/>
              </w:rPr>
              <w:t>1510</w:t>
            </w:r>
          </w:p>
        </w:tc>
        <w:tc>
          <w:tcPr>
            <w:tcW w:w="300" w:type="pct"/>
            <w:tcBorders>
              <w:top w:val="nil"/>
              <w:left w:val="nil"/>
              <w:bottom w:val="single" w:sz="4" w:space="0" w:color="auto"/>
              <w:right w:val="single" w:sz="4" w:space="0" w:color="auto"/>
            </w:tcBorders>
            <w:shd w:val="clear" w:color="auto" w:fill="auto"/>
            <w:noWrap/>
            <w:vAlign w:val="bottom"/>
            <w:hideMark/>
          </w:tcPr>
          <w:p w14:paraId="1B9005CF"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7F3B9F40" w14:textId="77777777" w:rsidR="00AE31DC" w:rsidRPr="00A52AEE" w:rsidRDefault="00AE31DC" w:rsidP="00FE68E8">
            <w:pPr>
              <w:jc w:val="right"/>
              <w:rPr>
                <w:lang w:eastAsia="en-GB"/>
              </w:rPr>
            </w:pPr>
            <w:r w:rsidRPr="00A52AEE">
              <w:rPr>
                <w:lang w:eastAsia="en-GB"/>
              </w:rPr>
              <w:t>1660</w:t>
            </w:r>
          </w:p>
        </w:tc>
        <w:tc>
          <w:tcPr>
            <w:tcW w:w="300" w:type="pct"/>
            <w:tcBorders>
              <w:top w:val="nil"/>
              <w:left w:val="nil"/>
              <w:bottom w:val="single" w:sz="4" w:space="0" w:color="auto"/>
              <w:right w:val="single" w:sz="4" w:space="0" w:color="auto"/>
            </w:tcBorders>
            <w:shd w:val="clear" w:color="auto" w:fill="auto"/>
            <w:noWrap/>
            <w:vAlign w:val="bottom"/>
            <w:hideMark/>
          </w:tcPr>
          <w:p w14:paraId="2D595E46"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4F8D87AC" w14:textId="1F874B57" w:rsidR="00AE31DC" w:rsidRPr="00A52AEE" w:rsidRDefault="00AE31DC" w:rsidP="00FE68E8">
            <w:pPr>
              <w:jc w:val="right"/>
              <w:rPr>
                <w:rFonts w:eastAsia="Times New Roman"/>
                <w:lang w:eastAsia="en-GB"/>
              </w:rPr>
            </w:pPr>
            <w:r w:rsidRPr="00A52AEE">
              <w:t>195</w:t>
            </w:r>
          </w:p>
        </w:tc>
      </w:tr>
      <w:tr w:rsidR="00DB2D18" w:rsidRPr="00A52AEE" w14:paraId="56D2832A" w14:textId="039AB285"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15D0E1F" w14:textId="77777777" w:rsidR="00AE31DC" w:rsidRPr="00A52AEE" w:rsidRDefault="00AE31DC" w:rsidP="00A52AEE">
            <w:pPr>
              <w:rPr>
                <w:lang w:eastAsia="en-GB"/>
              </w:rPr>
            </w:pPr>
            <w:r w:rsidRPr="00A52AEE">
              <w:rPr>
                <w:lang w:eastAsia="en-GB"/>
              </w:rPr>
              <w:t>Merton</w:t>
            </w:r>
          </w:p>
        </w:tc>
        <w:tc>
          <w:tcPr>
            <w:tcW w:w="491" w:type="pct"/>
            <w:tcBorders>
              <w:top w:val="nil"/>
              <w:left w:val="nil"/>
              <w:bottom w:val="single" w:sz="4" w:space="0" w:color="auto"/>
              <w:right w:val="single" w:sz="4" w:space="0" w:color="auto"/>
            </w:tcBorders>
            <w:shd w:val="clear" w:color="auto" w:fill="auto"/>
            <w:noWrap/>
            <w:vAlign w:val="bottom"/>
            <w:hideMark/>
          </w:tcPr>
          <w:p w14:paraId="09F36DFE" w14:textId="77777777" w:rsidR="00AE31DC" w:rsidRPr="00A52AEE" w:rsidRDefault="00AE31DC" w:rsidP="00FE68E8">
            <w:pPr>
              <w:jc w:val="right"/>
              <w:rPr>
                <w:lang w:eastAsia="en-GB"/>
              </w:rPr>
            </w:pPr>
            <w:r w:rsidRPr="00A52AEE">
              <w:rPr>
                <w:lang w:eastAsia="en-GB"/>
              </w:rPr>
              <w:t>690</w:t>
            </w:r>
          </w:p>
        </w:tc>
        <w:tc>
          <w:tcPr>
            <w:tcW w:w="299" w:type="pct"/>
            <w:tcBorders>
              <w:top w:val="nil"/>
              <w:left w:val="nil"/>
              <w:bottom w:val="single" w:sz="4" w:space="0" w:color="auto"/>
              <w:right w:val="single" w:sz="4" w:space="0" w:color="auto"/>
            </w:tcBorders>
            <w:shd w:val="clear" w:color="auto" w:fill="auto"/>
            <w:noWrap/>
            <w:vAlign w:val="bottom"/>
            <w:hideMark/>
          </w:tcPr>
          <w:p w14:paraId="5ACF5BA0"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5FFAE55C" w14:textId="77777777" w:rsidR="00AE31DC" w:rsidRPr="00A52AEE" w:rsidRDefault="00AE31DC" w:rsidP="00FE68E8">
            <w:pPr>
              <w:jc w:val="right"/>
              <w:rPr>
                <w:lang w:eastAsia="en-GB"/>
              </w:rPr>
            </w:pPr>
            <w:r w:rsidRPr="00A52AEE">
              <w:rPr>
                <w:lang w:eastAsia="en-GB"/>
              </w:rPr>
              <w:t>785</w:t>
            </w:r>
          </w:p>
        </w:tc>
        <w:tc>
          <w:tcPr>
            <w:tcW w:w="299" w:type="pct"/>
            <w:tcBorders>
              <w:top w:val="nil"/>
              <w:left w:val="nil"/>
              <w:bottom w:val="single" w:sz="4" w:space="0" w:color="auto"/>
              <w:right w:val="single" w:sz="4" w:space="0" w:color="auto"/>
            </w:tcBorders>
            <w:shd w:val="clear" w:color="auto" w:fill="auto"/>
            <w:noWrap/>
            <w:vAlign w:val="bottom"/>
            <w:hideMark/>
          </w:tcPr>
          <w:p w14:paraId="373DEB44"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5D77584F" w14:textId="77777777" w:rsidR="00AE31DC" w:rsidRPr="00A52AEE" w:rsidRDefault="00AE31DC" w:rsidP="00FE68E8">
            <w:pPr>
              <w:jc w:val="right"/>
              <w:rPr>
                <w:lang w:eastAsia="en-GB"/>
              </w:rPr>
            </w:pPr>
            <w:r w:rsidRPr="00A52AEE">
              <w:rPr>
                <w:lang w:eastAsia="en-GB"/>
              </w:rPr>
              <w:t>975</w:t>
            </w:r>
          </w:p>
        </w:tc>
        <w:tc>
          <w:tcPr>
            <w:tcW w:w="298" w:type="pct"/>
            <w:tcBorders>
              <w:top w:val="nil"/>
              <w:left w:val="nil"/>
              <w:bottom w:val="single" w:sz="4" w:space="0" w:color="auto"/>
              <w:right w:val="single" w:sz="4" w:space="0" w:color="auto"/>
            </w:tcBorders>
            <w:shd w:val="clear" w:color="auto" w:fill="auto"/>
            <w:noWrap/>
            <w:vAlign w:val="bottom"/>
            <w:hideMark/>
          </w:tcPr>
          <w:p w14:paraId="4683A8EA"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43F3E728" w14:textId="77777777" w:rsidR="00AE31DC" w:rsidRPr="00A52AEE" w:rsidRDefault="00AE31DC" w:rsidP="00FE68E8">
            <w:pPr>
              <w:jc w:val="right"/>
              <w:rPr>
                <w:lang w:eastAsia="en-GB"/>
              </w:rPr>
            </w:pPr>
            <w:r w:rsidRPr="00A52AEE">
              <w:rPr>
                <w:lang w:eastAsia="en-GB"/>
              </w:rPr>
              <w:t>910</w:t>
            </w:r>
          </w:p>
        </w:tc>
        <w:tc>
          <w:tcPr>
            <w:tcW w:w="300" w:type="pct"/>
            <w:tcBorders>
              <w:top w:val="nil"/>
              <w:left w:val="nil"/>
              <w:bottom w:val="single" w:sz="4" w:space="0" w:color="auto"/>
              <w:right w:val="single" w:sz="4" w:space="0" w:color="auto"/>
            </w:tcBorders>
            <w:shd w:val="clear" w:color="auto" w:fill="auto"/>
            <w:noWrap/>
            <w:vAlign w:val="bottom"/>
            <w:hideMark/>
          </w:tcPr>
          <w:p w14:paraId="7EF7D4AD"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04A6E750" w14:textId="77777777" w:rsidR="00AE31DC" w:rsidRPr="00A52AEE" w:rsidRDefault="00AE31DC" w:rsidP="00FE68E8">
            <w:pPr>
              <w:jc w:val="right"/>
              <w:rPr>
                <w:lang w:eastAsia="en-GB"/>
              </w:rPr>
            </w:pPr>
            <w:r w:rsidRPr="00A52AEE">
              <w:rPr>
                <w:lang w:eastAsia="en-GB"/>
              </w:rPr>
              <w:t>910</w:t>
            </w:r>
          </w:p>
        </w:tc>
        <w:tc>
          <w:tcPr>
            <w:tcW w:w="300" w:type="pct"/>
            <w:tcBorders>
              <w:top w:val="nil"/>
              <w:left w:val="nil"/>
              <w:bottom w:val="single" w:sz="4" w:space="0" w:color="auto"/>
              <w:right w:val="single" w:sz="4" w:space="0" w:color="auto"/>
            </w:tcBorders>
            <w:shd w:val="clear" w:color="auto" w:fill="auto"/>
            <w:noWrap/>
            <w:vAlign w:val="bottom"/>
            <w:hideMark/>
          </w:tcPr>
          <w:p w14:paraId="1204A249"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60BF5468" w14:textId="24620599" w:rsidR="00AE31DC" w:rsidRPr="00A52AEE" w:rsidRDefault="00AE31DC" w:rsidP="00FE68E8">
            <w:pPr>
              <w:jc w:val="right"/>
              <w:rPr>
                <w:rFonts w:eastAsia="Times New Roman"/>
                <w:lang w:eastAsia="en-GB"/>
              </w:rPr>
            </w:pPr>
            <w:r w:rsidRPr="00A52AEE">
              <w:t>220</w:t>
            </w:r>
          </w:p>
        </w:tc>
      </w:tr>
      <w:tr w:rsidR="00DB2D18" w:rsidRPr="00A52AEE" w14:paraId="49A3E486" w14:textId="27160D8C"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64FEC862" w14:textId="77777777" w:rsidR="00AE31DC" w:rsidRPr="00A52AEE" w:rsidRDefault="00AE31DC" w:rsidP="00A52AEE">
            <w:pPr>
              <w:rPr>
                <w:lang w:eastAsia="en-GB"/>
              </w:rPr>
            </w:pPr>
            <w:r w:rsidRPr="00A52AEE">
              <w:rPr>
                <w:lang w:eastAsia="en-GB"/>
              </w:rPr>
              <w:t>Newham</w:t>
            </w:r>
          </w:p>
        </w:tc>
        <w:tc>
          <w:tcPr>
            <w:tcW w:w="491" w:type="pct"/>
            <w:tcBorders>
              <w:top w:val="nil"/>
              <w:left w:val="nil"/>
              <w:bottom w:val="single" w:sz="4" w:space="0" w:color="auto"/>
              <w:right w:val="single" w:sz="4" w:space="0" w:color="auto"/>
            </w:tcBorders>
            <w:shd w:val="clear" w:color="auto" w:fill="auto"/>
            <w:noWrap/>
            <w:vAlign w:val="bottom"/>
            <w:hideMark/>
          </w:tcPr>
          <w:p w14:paraId="1D5A478C" w14:textId="77777777" w:rsidR="00AE31DC" w:rsidRPr="00A52AEE" w:rsidRDefault="00AE31DC" w:rsidP="00FE68E8">
            <w:pPr>
              <w:jc w:val="right"/>
              <w:rPr>
                <w:lang w:eastAsia="en-GB"/>
              </w:rPr>
            </w:pPr>
            <w:r w:rsidRPr="00A52AEE">
              <w:rPr>
                <w:lang w:eastAsia="en-GB"/>
              </w:rPr>
              <w:t>2340</w:t>
            </w:r>
          </w:p>
        </w:tc>
        <w:tc>
          <w:tcPr>
            <w:tcW w:w="299" w:type="pct"/>
            <w:tcBorders>
              <w:top w:val="nil"/>
              <w:left w:val="nil"/>
              <w:bottom w:val="single" w:sz="4" w:space="0" w:color="auto"/>
              <w:right w:val="single" w:sz="4" w:space="0" w:color="auto"/>
            </w:tcBorders>
            <w:shd w:val="clear" w:color="auto" w:fill="auto"/>
            <w:noWrap/>
            <w:vAlign w:val="bottom"/>
            <w:hideMark/>
          </w:tcPr>
          <w:p w14:paraId="2B778793" w14:textId="77777777" w:rsidR="00AE31DC" w:rsidRPr="00A52AEE" w:rsidRDefault="00AE31DC" w:rsidP="00FE68E8">
            <w:pPr>
              <w:jc w:val="right"/>
              <w:rPr>
                <w:lang w:eastAsia="en-GB"/>
              </w:rPr>
            </w:pPr>
            <w:r w:rsidRPr="00A52AEE">
              <w:rPr>
                <w:lang w:eastAsia="en-GB"/>
              </w:rPr>
              <w:t>6%</w:t>
            </w:r>
          </w:p>
        </w:tc>
        <w:tc>
          <w:tcPr>
            <w:tcW w:w="374" w:type="pct"/>
            <w:tcBorders>
              <w:top w:val="nil"/>
              <w:left w:val="nil"/>
              <w:bottom w:val="single" w:sz="4" w:space="0" w:color="auto"/>
              <w:right w:val="single" w:sz="4" w:space="0" w:color="auto"/>
            </w:tcBorders>
            <w:shd w:val="clear" w:color="auto" w:fill="auto"/>
            <w:noWrap/>
            <w:vAlign w:val="bottom"/>
            <w:hideMark/>
          </w:tcPr>
          <w:p w14:paraId="2398D158" w14:textId="77777777" w:rsidR="00AE31DC" w:rsidRPr="00A52AEE" w:rsidRDefault="00AE31DC" w:rsidP="00FE68E8">
            <w:pPr>
              <w:jc w:val="right"/>
              <w:rPr>
                <w:lang w:eastAsia="en-GB"/>
              </w:rPr>
            </w:pPr>
            <w:r w:rsidRPr="00A52AEE">
              <w:rPr>
                <w:lang w:eastAsia="en-GB"/>
              </w:rPr>
              <w:t>2460</w:t>
            </w:r>
          </w:p>
        </w:tc>
        <w:tc>
          <w:tcPr>
            <w:tcW w:w="299" w:type="pct"/>
            <w:tcBorders>
              <w:top w:val="nil"/>
              <w:left w:val="nil"/>
              <w:bottom w:val="single" w:sz="4" w:space="0" w:color="auto"/>
              <w:right w:val="single" w:sz="4" w:space="0" w:color="auto"/>
            </w:tcBorders>
            <w:shd w:val="clear" w:color="auto" w:fill="auto"/>
            <w:noWrap/>
            <w:vAlign w:val="bottom"/>
            <w:hideMark/>
          </w:tcPr>
          <w:p w14:paraId="38A3E6A0" w14:textId="77777777" w:rsidR="00AE31DC" w:rsidRPr="00A52AEE" w:rsidRDefault="00AE31DC" w:rsidP="00FE68E8">
            <w:pPr>
              <w:jc w:val="right"/>
              <w:rPr>
                <w:lang w:eastAsia="en-GB"/>
              </w:rPr>
            </w:pPr>
            <w:r w:rsidRPr="00A52AEE">
              <w:rPr>
                <w:lang w:eastAsia="en-GB"/>
              </w:rPr>
              <w:t>6%</w:t>
            </w:r>
          </w:p>
        </w:tc>
        <w:tc>
          <w:tcPr>
            <w:tcW w:w="373" w:type="pct"/>
            <w:tcBorders>
              <w:top w:val="nil"/>
              <w:left w:val="nil"/>
              <w:bottom w:val="single" w:sz="4" w:space="0" w:color="auto"/>
              <w:right w:val="single" w:sz="4" w:space="0" w:color="auto"/>
            </w:tcBorders>
            <w:shd w:val="clear" w:color="auto" w:fill="auto"/>
            <w:noWrap/>
            <w:vAlign w:val="bottom"/>
            <w:hideMark/>
          </w:tcPr>
          <w:p w14:paraId="02D350CF" w14:textId="77777777" w:rsidR="00AE31DC" w:rsidRPr="00A52AEE" w:rsidRDefault="00AE31DC" w:rsidP="00FE68E8">
            <w:pPr>
              <w:jc w:val="right"/>
              <w:rPr>
                <w:lang w:eastAsia="en-GB"/>
              </w:rPr>
            </w:pPr>
            <w:r w:rsidRPr="00A52AEE">
              <w:rPr>
                <w:lang w:eastAsia="en-GB"/>
              </w:rPr>
              <w:t>2315</w:t>
            </w:r>
          </w:p>
        </w:tc>
        <w:tc>
          <w:tcPr>
            <w:tcW w:w="298" w:type="pct"/>
            <w:tcBorders>
              <w:top w:val="nil"/>
              <w:left w:val="nil"/>
              <w:bottom w:val="single" w:sz="4" w:space="0" w:color="auto"/>
              <w:right w:val="single" w:sz="4" w:space="0" w:color="auto"/>
            </w:tcBorders>
            <w:shd w:val="clear" w:color="auto" w:fill="auto"/>
            <w:noWrap/>
            <w:vAlign w:val="bottom"/>
            <w:hideMark/>
          </w:tcPr>
          <w:p w14:paraId="7FCFD004" w14:textId="77777777" w:rsidR="00AE31DC" w:rsidRPr="00A52AEE" w:rsidRDefault="00AE31DC" w:rsidP="00FE68E8">
            <w:pPr>
              <w:jc w:val="right"/>
              <w:rPr>
                <w:lang w:eastAsia="en-GB"/>
              </w:rPr>
            </w:pPr>
            <w:r w:rsidRPr="00A52AEE">
              <w:rPr>
                <w:lang w:eastAsia="en-GB"/>
              </w:rPr>
              <w:t>6%</w:t>
            </w:r>
          </w:p>
        </w:tc>
        <w:tc>
          <w:tcPr>
            <w:tcW w:w="373" w:type="pct"/>
            <w:tcBorders>
              <w:top w:val="nil"/>
              <w:left w:val="nil"/>
              <w:bottom w:val="single" w:sz="4" w:space="0" w:color="auto"/>
              <w:right w:val="single" w:sz="4" w:space="0" w:color="auto"/>
            </w:tcBorders>
            <w:shd w:val="clear" w:color="auto" w:fill="auto"/>
            <w:noWrap/>
            <w:vAlign w:val="bottom"/>
            <w:hideMark/>
          </w:tcPr>
          <w:p w14:paraId="626C19D9" w14:textId="77777777" w:rsidR="00AE31DC" w:rsidRPr="00A52AEE" w:rsidRDefault="00AE31DC" w:rsidP="00FE68E8">
            <w:pPr>
              <w:jc w:val="right"/>
              <w:rPr>
                <w:lang w:eastAsia="en-GB"/>
              </w:rPr>
            </w:pPr>
            <w:r w:rsidRPr="00A52AEE">
              <w:rPr>
                <w:lang w:eastAsia="en-GB"/>
              </w:rPr>
              <w:t>2420</w:t>
            </w:r>
          </w:p>
        </w:tc>
        <w:tc>
          <w:tcPr>
            <w:tcW w:w="300" w:type="pct"/>
            <w:tcBorders>
              <w:top w:val="nil"/>
              <w:left w:val="nil"/>
              <w:bottom w:val="single" w:sz="4" w:space="0" w:color="auto"/>
              <w:right w:val="single" w:sz="4" w:space="0" w:color="auto"/>
            </w:tcBorders>
            <w:shd w:val="clear" w:color="auto" w:fill="auto"/>
            <w:noWrap/>
            <w:vAlign w:val="bottom"/>
            <w:hideMark/>
          </w:tcPr>
          <w:p w14:paraId="68287611" w14:textId="77777777" w:rsidR="00AE31DC" w:rsidRPr="00A52AEE" w:rsidRDefault="00AE31DC" w:rsidP="00FE68E8">
            <w:pPr>
              <w:jc w:val="right"/>
              <w:rPr>
                <w:lang w:eastAsia="en-GB"/>
              </w:rPr>
            </w:pPr>
            <w:r w:rsidRPr="00A52AEE">
              <w:rPr>
                <w:lang w:eastAsia="en-GB"/>
              </w:rPr>
              <w:t>6%</w:t>
            </w:r>
          </w:p>
        </w:tc>
        <w:tc>
          <w:tcPr>
            <w:tcW w:w="374" w:type="pct"/>
            <w:tcBorders>
              <w:top w:val="nil"/>
              <w:left w:val="nil"/>
              <w:bottom w:val="single" w:sz="4" w:space="0" w:color="auto"/>
              <w:right w:val="single" w:sz="4" w:space="0" w:color="auto"/>
            </w:tcBorders>
            <w:shd w:val="clear" w:color="auto" w:fill="auto"/>
            <w:noWrap/>
            <w:vAlign w:val="bottom"/>
            <w:hideMark/>
          </w:tcPr>
          <w:p w14:paraId="73465B04" w14:textId="77777777" w:rsidR="00AE31DC" w:rsidRPr="00A52AEE" w:rsidRDefault="00AE31DC" w:rsidP="00FE68E8">
            <w:pPr>
              <w:jc w:val="right"/>
              <w:rPr>
                <w:lang w:eastAsia="en-GB"/>
              </w:rPr>
            </w:pPr>
            <w:r w:rsidRPr="00A52AEE">
              <w:rPr>
                <w:lang w:eastAsia="en-GB"/>
              </w:rPr>
              <w:t>2790</w:t>
            </w:r>
          </w:p>
        </w:tc>
        <w:tc>
          <w:tcPr>
            <w:tcW w:w="300" w:type="pct"/>
            <w:tcBorders>
              <w:top w:val="nil"/>
              <w:left w:val="nil"/>
              <w:bottom w:val="single" w:sz="4" w:space="0" w:color="auto"/>
              <w:right w:val="single" w:sz="4" w:space="0" w:color="auto"/>
            </w:tcBorders>
            <w:shd w:val="clear" w:color="auto" w:fill="auto"/>
            <w:noWrap/>
            <w:vAlign w:val="bottom"/>
            <w:hideMark/>
          </w:tcPr>
          <w:p w14:paraId="6D1E976B" w14:textId="77777777" w:rsidR="00AE31DC" w:rsidRPr="00A52AEE" w:rsidRDefault="00AE31DC" w:rsidP="00FE68E8">
            <w:pPr>
              <w:jc w:val="right"/>
              <w:rPr>
                <w:lang w:eastAsia="en-GB"/>
              </w:rPr>
            </w:pPr>
            <w:r w:rsidRPr="00A52AEE">
              <w:rPr>
                <w:lang w:eastAsia="en-GB"/>
              </w:rPr>
              <w:t>7%</w:t>
            </w:r>
          </w:p>
        </w:tc>
        <w:tc>
          <w:tcPr>
            <w:tcW w:w="370" w:type="pct"/>
            <w:tcBorders>
              <w:top w:val="nil"/>
              <w:left w:val="nil"/>
              <w:bottom w:val="single" w:sz="4" w:space="0" w:color="auto"/>
              <w:right w:val="single" w:sz="4" w:space="0" w:color="auto"/>
            </w:tcBorders>
            <w:vAlign w:val="bottom"/>
          </w:tcPr>
          <w:p w14:paraId="14127FB1" w14:textId="5F7D92E0" w:rsidR="00AE31DC" w:rsidRPr="00A52AEE" w:rsidRDefault="00AE31DC" w:rsidP="00FE68E8">
            <w:pPr>
              <w:jc w:val="right"/>
              <w:rPr>
                <w:rFonts w:eastAsia="Times New Roman"/>
                <w:lang w:eastAsia="en-GB"/>
              </w:rPr>
            </w:pPr>
            <w:r w:rsidRPr="00A52AEE">
              <w:t>450</w:t>
            </w:r>
          </w:p>
        </w:tc>
      </w:tr>
      <w:tr w:rsidR="00DB2D18" w:rsidRPr="00A52AEE" w14:paraId="14C297AB" w14:textId="24B955E3"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2F82BDE0" w14:textId="77777777" w:rsidR="00AE31DC" w:rsidRPr="00A52AEE" w:rsidRDefault="00AE31DC" w:rsidP="00A52AEE">
            <w:pPr>
              <w:rPr>
                <w:lang w:eastAsia="en-GB"/>
              </w:rPr>
            </w:pPr>
            <w:r w:rsidRPr="00A52AEE">
              <w:rPr>
                <w:lang w:eastAsia="en-GB"/>
              </w:rPr>
              <w:t>Redbridge</w:t>
            </w:r>
          </w:p>
        </w:tc>
        <w:tc>
          <w:tcPr>
            <w:tcW w:w="491" w:type="pct"/>
            <w:tcBorders>
              <w:top w:val="nil"/>
              <w:left w:val="nil"/>
              <w:bottom w:val="single" w:sz="4" w:space="0" w:color="auto"/>
              <w:right w:val="single" w:sz="4" w:space="0" w:color="auto"/>
            </w:tcBorders>
            <w:shd w:val="clear" w:color="auto" w:fill="auto"/>
            <w:noWrap/>
            <w:vAlign w:val="bottom"/>
            <w:hideMark/>
          </w:tcPr>
          <w:p w14:paraId="45BB0202" w14:textId="77777777" w:rsidR="00AE31DC" w:rsidRPr="00A52AEE" w:rsidRDefault="00AE31DC" w:rsidP="00FE68E8">
            <w:pPr>
              <w:jc w:val="right"/>
              <w:rPr>
                <w:lang w:eastAsia="en-GB"/>
              </w:rPr>
            </w:pPr>
            <w:r w:rsidRPr="00A52AEE">
              <w:rPr>
                <w:lang w:eastAsia="en-GB"/>
              </w:rPr>
              <w:t>960</w:t>
            </w:r>
          </w:p>
        </w:tc>
        <w:tc>
          <w:tcPr>
            <w:tcW w:w="299" w:type="pct"/>
            <w:tcBorders>
              <w:top w:val="nil"/>
              <w:left w:val="nil"/>
              <w:bottom w:val="single" w:sz="4" w:space="0" w:color="auto"/>
              <w:right w:val="single" w:sz="4" w:space="0" w:color="auto"/>
            </w:tcBorders>
            <w:shd w:val="clear" w:color="auto" w:fill="auto"/>
            <w:noWrap/>
            <w:vAlign w:val="bottom"/>
            <w:hideMark/>
          </w:tcPr>
          <w:p w14:paraId="3248D314"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2ED683A1" w14:textId="77777777" w:rsidR="00AE31DC" w:rsidRPr="00A52AEE" w:rsidRDefault="00AE31DC" w:rsidP="00FE68E8">
            <w:pPr>
              <w:jc w:val="right"/>
              <w:rPr>
                <w:lang w:eastAsia="en-GB"/>
              </w:rPr>
            </w:pPr>
            <w:r w:rsidRPr="00A52AEE">
              <w:rPr>
                <w:lang w:eastAsia="en-GB"/>
              </w:rPr>
              <w:t>1100</w:t>
            </w:r>
          </w:p>
        </w:tc>
        <w:tc>
          <w:tcPr>
            <w:tcW w:w="299" w:type="pct"/>
            <w:tcBorders>
              <w:top w:val="nil"/>
              <w:left w:val="nil"/>
              <w:bottom w:val="single" w:sz="4" w:space="0" w:color="auto"/>
              <w:right w:val="single" w:sz="4" w:space="0" w:color="auto"/>
            </w:tcBorders>
            <w:shd w:val="clear" w:color="auto" w:fill="auto"/>
            <w:noWrap/>
            <w:vAlign w:val="bottom"/>
            <w:hideMark/>
          </w:tcPr>
          <w:p w14:paraId="76847766"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52E581EF" w14:textId="77777777" w:rsidR="00AE31DC" w:rsidRPr="00A52AEE" w:rsidRDefault="00AE31DC" w:rsidP="00FE68E8">
            <w:pPr>
              <w:jc w:val="right"/>
              <w:rPr>
                <w:lang w:eastAsia="en-GB"/>
              </w:rPr>
            </w:pPr>
            <w:r w:rsidRPr="00A52AEE">
              <w:rPr>
                <w:lang w:eastAsia="en-GB"/>
              </w:rPr>
              <w:t>1065</w:t>
            </w:r>
          </w:p>
        </w:tc>
        <w:tc>
          <w:tcPr>
            <w:tcW w:w="298" w:type="pct"/>
            <w:tcBorders>
              <w:top w:val="nil"/>
              <w:left w:val="nil"/>
              <w:bottom w:val="single" w:sz="4" w:space="0" w:color="auto"/>
              <w:right w:val="single" w:sz="4" w:space="0" w:color="auto"/>
            </w:tcBorders>
            <w:shd w:val="clear" w:color="auto" w:fill="auto"/>
            <w:noWrap/>
            <w:vAlign w:val="bottom"/>
            <w:hideMark/>
          </w:tcPr>
          <w:p w14:paraId="49B68DA8"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7B654C15" w14:textId="77777777" w:rsidR="00AE31DC" w:rsidRPr="00A52AEE" w:rsidRDefault="00AE31DC" w:rsidP="00FE68E8">
            <w:pPr>
              <w:jc w:val="right"/>
              <w:rPr>
                <w:lang w:eastAsia="en-GB"/>
              </w:rPr>
            </w:pPr>
            <w:r w:rsidRPr="00A52AEE">
              <w:rPr>
                <w:lang w:eastAsia="en-GB"/>
              </w:rPr>
              <w:t>1030</w:t>
            </w:r>
          </w:p>
        </w:tc>
        <w:tc>
          <w:tcPr>
            <w:tcW w:w="300" w:type="pct"/>
            <w:tcBorders>
              <w:top w:val="nil"/>
              <w:left w:val="nil"/>
              <w:bottom w:val="single" w:sz="4" w:space="0" w:color="auto"/>
              <w:right w:val="single" w:sz="4" w:space="0" w:color="auto"/>
            </w:tcBorders>
            <w:shd w:val="clear" w:color="auto" w:fill="auto"/>
            <w:noWrap/>
            <w:vAlign w:val="bottom"/>
            <w:hideMark/>
          </w:tcPr>
          <w:p w14:paraId="7824AA9A"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31B1C238" w14:textId="77777777" w:rsidR="00AE31DC" w:rsidRPr="00A52AEE" w:rsidRDefault="00AE31DC" w:rsidP="00FE68E8">
            <w:pPr>
              <w:jc w:val="right"/>
              <w:rPr>
                <w:lang w:eastAsia="en-GB"/>
              </w:rPr>
            </w:pPr>
            <w:r w:rsidRPr="00A52AEE">
              <w:rPr>
                <w:lang w:eastAsia="en-GB"/>
              </w:rPr>
              <w:t>1130</w:t>
            </w:r>
          </w:p>
        </w:tc>
        <w:tc>
          <w:tcPr>
            <w:tcW w:w="300" w:type="pct"/>
            <w:tcBorders>
              <w:top w:val="nil"/>
              <w:left w:val="nil"/>
              <w:bottom w:val="single" w:sz="4" w:space="0" w:color="auto"/>
              <w:right w:val="single" w:sz="4" w:space="0" w:color="auto"/>
            </w:tcBorders>
            <w:shd w:val="clear" w:color="auto" w:fill="auto"/>
            <w:noWrap/>
            <w:vAlign w:val="bottom"/>
            <w:hideMark/>
          </w:tcPr>
          <w:p w14:paraId="0B74A3F5"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75209BDC" w14:textId="6F788279" w:rsidR="00AE31DC" w:rsidRPr="00A52AEE" w:rsidRDefault="00AE31DC" w:rsidP="00FE68E8">
            <w:pPr>
              <w:jc w:val="right"/>
              <w:rPr>
                <w:rFonts w:eastAsia="Times New Roman"/>
                <w:lang w:eastAsia="en-GB"/>
              </w:rPr>
            </w:pPr>
            <w:r w:rsidRPr="00A52AEE">
              <w:t>170</w:t>
            </w:r>
          </w:p>
        </w:tc>
      </w:tr>
      <w:tr w:rsidR="00DB2D18" w:rsidRPr="00A52AEE" w14:paraId="20D91842" w14:textId="7F08422D"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8412E4D" w14:textId="77777777" w:rsidR="00AE31DC" w:rsidRPr="00A52AEE" w:rsidRDefault="00AE31DC" w:rsidP="00A52AEE">
            <w:pPr>
              <w:rPr>
                <w:lang w:eastAsia="en-GB"/>
              </w:rPr>
            </w:pPr>
            <w:r w:rsidRPr="00A52AEE">
              <w:rPr>
                <w:lang w:eastAsia="en-GB"/>
              </w:rPr>
              <w:t>Richmond upon Thames</w:t>
            </w:r>
          </w:p>
        </w:tc>
        <w:tc>
          <w:tcPr>
            <w:tcW w:w="491" w:type="pct"/>
            <w:tcBorders>
              <w:top w:val="nil"/>
              <w:left w:val="nil"/>
              <w:bottom w:val="single" w:sz="4" w:space="0" w:color="auto"/>
              <w:right w:val="single" w:sz="4" w:space="0" w:color="auto"/>
            </w:tcBorders>
            <w:shd w:val="clear" w:color="auto" w:fill="auto"/>
            <w:noWrap/>
            <w:vAlign w:val="bottom"/>
            <w:hideMark/>
          </w:tcPr>
          <w:p w14:paraId="4799F5C5" w14:textId="77777777" w:rsidR="00AE31DC" w:rsidRPr="00A52AEE" w:rsidRDefault="00AE31DC" w:rsidP="00FE68E8">
            <w:pPr>
              <w:jc w:val="right"/>
              <w:rPr>
                <w:lang w:eastAsia="en-GB"/>
              </w:rPr>
            </w:pPr>
            <w:r w:rsidRPr="00A52AEE">
              <w:rPr>
                <w:lang w:eastAsia="en-GB"/>
              </w:rPr>
              <w:t>1050</w:t>
            </w:r>
          </w:p>
        </w:tc>
        <w:tc>
          <w:tcPr>
            <w:tcW w:w="299" w:type="pct"/>
            <w:tcBorders>
              <w:top w:val="nil"/>
              <w:left w:val="nil"/>
              <w:bottom w:val="single" w:sz="4" w:space="0" w:color="auto"/>
              <w:right w:val="single" w:sz="4" w:space="0" w:color="auto"/>
            </w:tcBorders>
            <w:shd w:val="clear" w:color="auto" w:fill="auto"/>
            <w:noWrap/>
            <w:vAlign w:val="bottom"/>
            <w:hideMark/>
          </w:tcPr>
          <w:p w14:paraId="78767070"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72C46BC6" w14:textId="77777777" w:rsidR="00AE31DC" w:rsidRPr="00A52AEE" w:rsidRDefault="00AE31DC" w:rsidP="00FE68E8">
            <w:pPr>
              <w:jc w:val="right"/>
              <w:rPr>
                <w:lang w:eastAsia="en-GB"/>
              </w:rPr>
            </w:pPr>
            <w:r w:rsidRPr="00A52AEE">
              <w:rPr>
                <w:lang w:eastAsia="en-GB"/>
              </w:rPr>
              <w:t>1115</w:t>
            </w:r>
          </w:p>
        </w:tc>
        <w:tc>
          <w:tcPr>
            <w:tcW w:w="299" w:type="pct"/>
            <w:tcBorders>
              <w:top w:val="nil"/>
              <w:left w:val="nil"/>
              <w:bottom w:val="single" w:sz="4" w:space="0" w:color="auto"/>
              <w:right w:val="single" w:sz="4" w:space="0" w:color="auto"/>
            </w:tcBorders>
            <w:shd w:val="clear" w:color="auto" w:fill="auto"/>
            <w:noWrap/>
            <w:vAlign w:val="bottom"/>
            <w:hideMark/>
          </w:tcPr>
          <w:p w14:paraId="74678B21"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43516919" w14:textId="77777777" w:rsidR="00AE31DC" w:rsidRPr="00A52AEE" w:rsidRDefault="00AE31DC" w:rsidP="00FE68E8">
            <w:pPr>
              <w:jc w:val="right"/>
              <w:rPr>
                <w:lang w:eastAsia="en-GB"/>
              </w:rPr>
            </w:pPr>
            <w:r w:rsidRPr="00A52AEE">
              <w:rPr>
                <w:lang w:eastAsia="en-GB"/>
              </w:rPr>
              <w:t>865</w:t>
            </w:r>
          </w:p>
        </w:tc>
        <w:tc>
          <w:tcPr>
            <w:tcW w:w="298" w:type="pct"/>
            <w:tcBorders>
              <w:top w:val="nil"/>
              <w:left w:val="nil"/>
              <w:bottom w:val="single" w:sz="4" w:space="0" w:color="auto"/>
              <w:right w:val="single" w:sz="4" w:space="0" w:color="auto"/>
            </w:tcBorders>
            <w:shd w:val="clear" w:color="auto" w:fill="auto"/>
            <w:noWrap/>
            <w:vAlign w:val="bottom"/>
            <w:hideMark/>
          </w:tcPr>
          <w:p w14:paraId="2539C484"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3434CD07" w14:textId="77777777" w:rsidR="00AE31DC" w:rsidRPr="00A52AEE" w:rsidRDefault="00AE31DC" w:rsidP="00FE68E8">
            <w:pPr>
              <w:jc w:val="right"/>
              <w:rPr>
                <w:lang w:eastAsia="en-GB"/>
              </w:rPr>
            </w:pPr>
            <w:r w:rsidRPr="00A52AEE">
              <w:rPr>
                <w:lang w:eastAsia="en-GB"/>
              </w:rPr>
              <w:t>790</w:t>
            </w:r>
          </w:p>
        </w:tc>
        <w:tc>
          <w:tcPr>
            <w:tcW w:w="300" w:type="pct"/>
            <w:tcBorders>
              <w:top w:val="nil"/>
              <w:left w:val="nil"/>
              <w:bottom w:val="single" w:sz="4" w:space="0" w:color="auto"/>
              <w:right w:val="single" w:sz="4" w:space="0" w:color="auto"/>
            </w:tcBorders>
            <w:shd w:val="clear" w:color="auto" w:fill="auto"/>
            <w:noWrap/>
            <w:vAlign w:val="bottom"/>
            <w:hideMark/>
          </w:tcPr>
          <w:p w14:paraId="68AA4D8C"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686DE30D" w14:textId="77777777" w:rsidR="00AE31DC" w:rsidRPr="00A52AEE" w:rsidRDefault="00AE31DC" w:rsidP="00FE68E8">
            <w:pPr>
              <w:jc w:val="right"/>
              <w:rPr>
                <w:lang w:eastAsia="en-GB"/>
              </w:rPr>
            </w:pPr>
            <w:r w:rsidRPr="00A52AEE">
              <w:rPr>
                <w:lang w:eastAsia="en-GB"/>
              </w:rPr>
              <w:t>900</w:t>
            </w:r>
          </w:p>
        </w:tc>
        <w:tc>
          <w:tcPr>
            <w:tcW w:w="300" w:type="pct"/>
            <w:tcBorders>
              <w:top w:val="nil"/>
              <w:left w:val="nil"/>
              <w:bottom w:val="single" w:sz="4" w:space="0" w:color="auto"/>
              <w:right w:val="single" w:sz="4" w:space="0" w:color="auto"/>
            </w:tcBorders>
            <w:shd w:val="clear" w:color="auto" w:fill="auto"/>
            <w:noWrap/>
            <w:vAlign w:val="bottom"/>
            <w:hideMark/>
          </w:tcPr>
          <w:p w14:paraId="5AAC58D7"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7ADFB0E7" w14:textId="7D3259C2" w:rsidR="00AE31DC" w:rsidRPr="00A52AEE" w:rsidRDefault="00AE31DC" w:rsidP="00FE68E8">
            <w:pPr>
              <w:jc w:val="right"/>
              <w:rPr>
                <w:rFonts w:eastAsia="Times New Roman"/>
                <w:lang w:eastAsia="en-GB"/>
              </w:rPr>
            </w:pPr>
            <w:r w:rsidRPr="00A52AEE">
              <w:t>-150</w:t>
            </w:r>
          </w:p>
        </w:tc>
      </w:tr>
      <w:tr w:rsidR="00DB2D18" w:rsidRPr="00A52AEE" w14:paraId="021A4F3E" w14:textId="72929828"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438461E3" w14:textId="77777777" w:rsidR="00AE31DC" w:rsidRPr="00A52AEE" w:rsidRDefault="00AE31DC" w:rsidP="00A52AEE">
            <w:pPr>
              <w:rPr>
                <w:lang w:eastAsia="en-GB"/>
              </w:rPr>
            </w:pPr>
            <w:r w:rsidRPr="00A52AEE">
              <w:rPr>
                <w:lang w:eastAsia="en-GB"/>
              </w:rPr>
              <w:t>Southwark</w:t>
            </w:r>
          </w:p>
        </w:tc>
        <w:tc>
          <w:tcPr>
            <w:tcW w:w="491" w:type="pct"/>
            <w:tcBorders>
              <w:top w:val="nil"/>
              <w:left w:val="nil"/>
              <w:bottom w:val="single" w:sz="4" w:space="0" w:color="auto"/>
              <w:right w:val="single" w:sz="4" w:space="0" w:color="auto"/>
            </w:tcBorders>
            <w:shd w:val="clear" w:color="auto" w:fill="auto"/>
            <w:noWrap/>
            <w:vAlign w:val="bottom"/>
            <w:hideMark/>
          </w:tcPr>
          <w:p w14:paraId="48AC0700" w14:textId="77777777" w:rsidR="00AE31DC" w:rsidRPr="00A52AEE" w:rsidRDefault="00AE31DC" w:rsidP="00FE68E8">
            <w:pPr>
              <w:jc w:val="right"/>
              <w:rPr>
                <w:lang w:eastAsia="en-GB"/>
              </w:rPr>
            </w:pPr>
            <w:r w:rsidRPr="00A52AEE">
              <w:rPr>
                <w:lang w:eastAsia="en-GB"/>
              </w:rPr>
              <w:t>1620</w:t>
            </w:r>
          </w:p>
        </w:tc>
        <w:tc>
          <w:tcPr>
            <w:tcW w:w="299" w:type="pct"/>
            <w:tcBorders>
              <w:top w:val="nil"/>
              <w:left w:val="nil"/>
              <w:bottom w:val="single" w:sz="4" w:space="0" w:color="auto"/>
              <w:right w:val="single" w:sz="4" w:space="0" w:color="auto"/>
            </w:tcBorders>
            <w:shd w:val="clear" w:color="auto" w:fill="auto"/>
            <w:noWrap/>
            <w:vAlign w:val="bottom"/>
            <w:hideMark/>
          </w:tcPr>
          <w:p w14:paraId="0A95540F"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1DC67AC0" w14:textId="77777777" w:rsidR="00AE31DC" w:rsidRPr="00A52AEE" w:rsidRDefault="00AE31DC" w:rsidP="00FE68E8">
            <w:pPr>
              <w:jc w:val="right"/>
              <w:rPr>
                <w:lang w:eastAsia="en-GB"/>
              </w:rPr>
            </w:pPr>
            <w:r w:rsidRPr="00A52AEE">
              <w:rPr>
                <w:lang w:eastAsia="en-GB"/>
              </w:rPr>
              <w:t>1755</w:t>
            </w:r>
          </w:p>
        </w:tc>
        <w:tc>
          <w:tcPr>
            <w:tcW w:w="299" w:type="pct"/>
            <w:tcBorders>
              <w:top w:val="nil"/>
              <w:left w:val="nil"/>
              <w:bottom w:val="single" w:sz="4" w:space="0" w:color="auto"/>
              <w:right w:val="single" w:sz="4" w:space="0" w:color="auto"/>
            </w:tcBorders>
            <w:shd w:val="clear" w:color="auto" w:fill="auto"/>
            <w:noWrap/>
            <w:vAlign w:val="bottom"/>
            <w:hideMark/>
          </w:tcPr>
          <w:p w14:paraId="625FCD2C"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104EFE62" w14:textId="77777777" w:rsidR="00AE31DC" w:rsidRPr="00A52AEE" w:rsidRDefault="00AE31DC" w:rsidP="00FE68E8">
            <w:pPr>
              <w:jc w:val="right"/>
              <w:rPr>
                <w:lang w:eastAsia="en-GB"/>
              </w:rPr>
            </w:pPr>
            <w:r w:rsidRPr="00A52AEE">
              <w:rPr>
                <w:lang w:eastAsia="en-GB"/>
              </w:rPr>
              <w:t>1755</w:t>
            </w:r>
          </w:p>
        </w:tc>
        <w:tc>
          <w:tcPr>
            <w:tcW w:w="298" w:type="pct"/>
            <w:tcBorders>
              <w:top w:val="nil"/>
              <w:left w:val="nil"/>
              <w:bottom w:val="single" w:sz="4" w:space="0" w:color="auto"/>
              <w:right w:val="single" w:sz="4" w:space="0" w:color="auto"/>
            </w:tcBorders>
            <w:shd w:val="clear" w:color="auto" w:fill="auto"/>
            <w:noWrap/>
            <w:vAlign w:val="bottom"/>
            <w:hideMark/>
          </w:tcPr>
          <w:p w14:paraId="4181B092"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275FA902" w14:textId="77777777" w:rsidR="00AE31DC" w:rsidRPr="00A52AEE" w:rsidRDefault="00AE31DC" w:rsidP="00FE68E8">
            <w:pPr>
              <w:jc w:val="right"/>
              <w:rPr>
                <w:lang w:eastAsia="en-GB"/>
              </w:rPr>
            </w:pPr>
            <w:r w:rsidRPr="00A52AEE">
              <w:rPr>
                <w:lang w:eastAsia="en-GB"/>
              </w:rPr>
              <w:t>1770</w:t>
            </w:r>
          </w:p>
        </w:tc>
        <w:tc>
          <w:tcPr>
            <w:tcW w:w="300" w:type="pct"/>
            <w:tcBorders>
              <w:top w:val="nil"/>
              <w:left w:val="nil"/>
              <w:bottom w:val="single" w:sz="4" w:space="0" w:color="auto"/>
              <w:right w:val="single" w:sz="4" w:space="0" w:color="auto"/>
            </w:tcBorders>
            <w:shd w:val="clear" w:color="auto" w:fill="auto"/>
            <w:noWrap/>
            <w:vAlign w:val="bottom"/>
            <w:hideMark/>
          </w:tcPr>
          <w:p w14:paraId="1BE36EA5"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7F187D44" w14:textId="77777777" w:rsidR="00AE31DC" w:rsidRPr="00A52AEE" w:rsidRDefault="00AE31DC" w:rsidP="00FE68E8">
            <w:pPr>
              <w:jc w:val="right"/>
              <w:rPr>
                <w:lang w:eastAsia="en-GB"/>
              </w:rPr>
            </w:pPr>
            <w:r w:rsidRPr="00A52AEE">
              <w:rPr>
                <w:lang w:eastAsia="en-GB"/>
              </w:rPr>
              <w:t>1775</w:t>
            </w:r>
          </w:p>
        </w:tc>
        <w:tc>
          <w:tcPr>
            <w:tcW w:w="300" w:type="pct"/>
            <w:tcBorders>
              <w:top w:val="nil"/>
              <w:left w:val="nil"/>
              <w:bottom w:val="single" w:sz="4" w:space="0" w:color="auto"/>
              <w:right w:val="single" w:sz="4" w:space="0" w:color="auto"/>
            </w:tcBorders>
            <w:shd w:val="clear" w:color="auto" w:fill="auto"/>
            <w:noWrap/>
            <w:vAlign w:val="bottom"/>
            <w:hideMark/>
          </w:tcPr>
          <w:p w14:paraId="698A84EC" w14:textId="77777777" w:rsidR="00AE31DC" w:rsidRPr="00A52AEE" w:rsidRDefault="00AE31DC" w:rsidP="00FE68E8">
            <w:pPr>
              <w:jc w:val="right"/>
              <w:rPr>
                <w:lang w:eastAsia="en-GB"/>
              </w:rPr>
            </w:pPr>
            <w:r w:rsidRPr="00A52AEE">
              <w:rPr>
                <w:lang w:eastAsia="en-GB"/>
              </w:rPr>
              <w:t>4%</w:t>
            </w:r>
          </w:p>
        </w:tc>
        <w:tc>
          <w:tcPr>
            <w:tcW w:w="370" w:type="pct"/>
            <w:tcBorders>
              <w:top w:val="nil"/>
              <w:left w:val="nil"/>
              <w:bottom w:val="single" w:sz="4" w:space="0" w:color="auto"/>
              <w:right w:val="single" w:sz="4" w:space="0" w:color="auto"/>
            </w:tcBorders>
            <w:vAlign w:val="bottom"/>
          </w:tcPr>
          <w:p w14:paraId="7CE43BAD" w14:textId="0FAA66C8" w:rsidR="00AE31DC" w:rsidRPr="00A52AEE" w:rsidRDefault="00AE31DC" w:rsidP="00FE68E8">
            <w:pPr>
              <w:jc w:val="right"/>
              <w:rPr>
                <w:rFonts w:eastAsia="Times New Roman"/>
                <w:lang w:eastAsia="en-GB"/>
              </w:rPr>
            </w:pPr>
            <w:r w:rsidRPr="00A52AEE">
              <w:t>155</w:t>
            </w:r>
          </w:p>
        </w:tc>
      </w:tr>
      <w:tr w:rsidR="00DB2D18" w:rsidRPr="00A52AEE" w14:paraId="72575613" w14:textId="5AD25382"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465EBA84" w14:textId="77777777" w:rsidR="00AE31DC" w:rsidRPr="00A52AEE" w:rsidRDefault="00AE31DC" w:rsidP="00A52AEE">
            <w:pPr>
              <w:rPr>
                <w:lang w:eastAsia="en-GB"/>
              </w:rPr>
            </w:pPr>
            <w:r w:rsidRPr="00A52AEE">
              <w:rPr>
                <w:lang w:eastAsia="en-GB"/>
              </w:rPr>
              <w:t>Sutton</w:t>
            </w:r>
          </w:p>
        </w:tc>
        <w:tc>
          <w:tcPr>
            <w:tcW w:w="491" w:type="pct"/>
            <w:tcBorders>
              <w:top w:val="nil"/>
              <w:left w:val="nil"/>
              <w:bottom w:val="single" w:sz="4" w:space="0" w:color="auto"/>
              <w:right w:val="single" w:sz="4" w:space="0" w:color="auto"/>
            </w:tcBorders>
            <w:shd w:val="clear" w:color="auto" w:fill="auto"/>
            <w:noWrap/>
            <w:vAlign w:val="bottom"/>
            <w:hideMark/>
          </w:tcPr>
          <w:p w14:paraId="3B262E40" w14:textId="77777777" w:rsidR="00AE31DC" w:rsidRPr="00A52AEE" w:rsidRDefault="00AE31DC" w:rsidP="00FE68E8">
            <w:pPr>
              <w:jc w:val="right"/>
              <w:rPr>
                <w:lang w:eastAsia="en-GB"/>
              </w:rPr>
            </w:pPr>
            <w:r w:rsidRPr="00A52AEE">
              <w:rPr>
                <w:lang w:eastAsia="en-GB"/>
              </w:rPr>
              <w:t>570</w:t>
            </w:r>
          </w:p>
        </w:tc>
        <w:tc>
          <w:tcPr>
            <w:tcW w:w="299" w:type="pct"/>
            <w:tcBorders>
              <w:top w:val="nil"/>
              <w:left w:val="nil"/>
              <w:bottom w:val="single" w:sz="4" w:space="0" w:color="auto"/>
              <w:right w:val="single" w:sz="4" w:space="0" w:color="auto"/>
            </w:tcBorders>
            <w:shd w:val="clear" w:color="auto" w:fill="auto"/>
            <w:noWrap/>
            <w:vAlign w:val="bottom"/>
            <w:hideMark/>
          </w:tcPr>
          <w:p w14:paraId="42C924FE"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399CF2A6" w14:textId="77777777" w:rsidR="00AE31DC" w:rsidRPr="00A52AEE" w:rsidRDefault="00AE31DC" w:rsidP="00FE68E8">
            <w:pPr>
              <w:jc w:val="right"/>
              <w:rPr>
                <w:lang w:eastAsia="en-GB"/>
              </w:rPr>
            </w:pPr>
            <w:r w:rsidRPr="00A52AEE">
              <w:rPr>
                <w:lang w:eastAsia="en-GB"/>
              </w:rPr>
              <w:t>520</w:t>
            </w:r>
          </w:p>
        </w:tc>
        <w:tc>
          <w:tcPr>
            <w:tcW w:w="299" w:type="pct"/>
            <w:tcBorders>
              <w:top w:val="nil"/>
              <w:left w:val="nil"/>
              <w:bottom w:val="single" w:sz="4" w:space="0" w:color="auto"/>
              <w:right w:val="single" w:sz="4" w:space="0" w:color="auto"/>
            </w:tcBorders>
            <w:shd w:val="clear" w:color="auto" w:fill="auto"/>
            <w:noWrap/>
            <w:vAlign w:val="bottom"/>
            <w:hideMark/>
          </w:tcPr>
          <w:p w14:paraId="5515A3FE" w14:textId="77777777" w:rsidR="00AE31DC" w:rsidRPr="00A52AEE" w:rsidRDefault="00AE31DC" w:rsidP="00FE68E8">
            <w:pPr>
              <w:jc w:val="right"/>
              <w:rPr>
                <w:lang w:eastAsia="en-GB"/>
              </w:rPr>
            </w:pPr>
            <w:r w:rsidRPr="00A52AEE">
              <w:rPr>
                <w:lang w:eastAsia="en-GB"/>
              </w:rPr>
              <w:t>1%</w:t>
            </w:r>
          </w:p>
        </w:tc>
        <w:tc>
          <w:tcPr>
            <w:tcW w:w="373" w:type="pct"/>
            <w:tcBorders>
              <w:top w:val="nil"/>
              <w:left w:val="nil"/>
              <w:bottom w:val="single" w:sz="4" w:space="0" w:color="auto"/>
              <w:right w:val="single" w:sz="4" w:space="0" w:color="auto"/>
            </w:tcBorders>
            <w:shd w:val="clear" w:color="auto" w:fill="auto"/>
            <w:noWrap/>
            <w:vAlign w:val="bottom"/>
            <w:hideMark/>
          </w:tcPr>
          <w:p w14:paraId="3A41315F" w14:textId="77777777" w:rsidR="00AE31DC" w:rsidRPr="00A52AEE" w:rsidRDefault="00AE31DC" w:rsidP="00FE68E8">
            <w:pPr>
              <w:jc w:val="right"/>
              <w:rPr>
                <w:lang w:eastAsia="en-GB"/>
              </w:rPr>
            </w:pPr>
            <w:r w:rsidRPr="00A52AEE">
              <w:rPr>
                <w:lang w:eastAsia="en-GB"/>
              </w:rPr>
              <w:t>665</w:t>
            </w:r>
          </w:p>
        </w:tc>
        <w:tc>
          <w:tcPr>
            <w:tcW w:w="298" w:type="pct"/>
            <w:tcBorders>
              <w:top w:val="nil"/>
              <w:left w:val="nil"/>
              <w:bottom w:val="single" w:sz="4" w:space="0" w:color="auto"/>
              <w:right w:val="single" w:sz="4" w:space="0" w:color="auto"/>
            </w:tcBorders>
            <w:shd w:val="clear" w:color="auto" w:fill="auto"/>
            <w:noWrap/>
            <w:vAlign w:val="bottom"/>
            <w:hideMark/>
          </w:tcPr>
          <w:p w14:paraId="720FEB24"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67BCB7EA" w14:textId="77777777" w:rsidR="00AE31DC" w:rsidRPr="00A52AEE" w:rsidRDefault="00AE31DC" w:rsidP="00FE68E8">
            <w:pPr>
              <w:jc w:val="right"/>
              <w:rPr>
                <w:lang w:eastAsia="en-GB"/>
              </w:rPr>
            </w:pPr>
            <w:r w:rsidRPr="00A52AEE">
              <w:rPr>
                <w:lang w:eastAsia="en-GB"/>
              </w:rPr>
              <w:t>675</w:t>
            </w:r>
          </w:p>
        </w:tc>
        <w:tc>
          <w:tcPr>
            <w:tcW w:w="300" w:type="pct"/>
            <w:tcBorders>
              <w:top w:val="nil"/>
              <w:left w:val="nil"/>
              <w:bottom w:val="single" w:sz="4" w:space="0" w:color="auto"/>
              <w:right w:val="single" w:sz="4" w:space="0" w:color="auto"/>
            </w:tcBorders>
            <w:shd w:val="clear" w:color="auto" w:fill="auto"/>
            <w:noWrap/>
            <w:vAlign w:val="bottom"/>
            <w:hideMark/>
          </w:tcPr>
          <w:p w14:paraId="4DE88551"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6C4F512F" w14:textId="77777777" w:rsidR="00AE31DC" w:rsidRPr="00A52AEE" w:rsidRDefault="00AE31DC" w:rsidP="00FE68E8">
            <w:pPr>
              <w:jc w:val="right"/>
              <w:rPr>
                <w:lang w:eastAsia="en-GB"/>
              </w:rPr>
            </w:pPr>
            <w:r w:rsidRPr="00A52AEE">
              <w:rPr>
                <w:lang w:eastAsia="en-GB"/>
              </w:rPr>
              <w:t>610</w:t>
            </w:r>
          </w:p>
        </w:tc>
        <w:tc>
          <w:tcPr>
            <w:tcW w:w="300" w:type="pct"/>
            <w:tcBorders>
              <w:top w:val="nil"/>
              <w:left w:val="nil"/>
              <w:bottom w:val="single" w:sz="4" w:space="0" w:color="auto"/>
              <w:right w:val="single" w:sz="4" w:space="0" w:color="auto"/>
            </w:tcBorders>
            <w:shd w:val="clear" w:color="auto" w:fill="auto"/>
            <w:noWrap/>
            <w:vAlign w:val="bottom"/>
            <w:hideMark/>
          </w:tcPr>
          <w:p w14:paraId="39EA7355" w14:textId="77777777" w:rsidR="00AE31DC" w:rsidRPr="00A52AEE" w:rsidRDefault="00AE31DC" w:rsidP="00FE68E8">
            <w:pPr>
              <w:jc w:val="right"/>
              <w:rPr>
                <w:lang w:eastAsia="en-GB"/>
              </w:rPr>
            </w:pPr>
            <w:r w:rsidRPr="00A52AEE">
              <w:rPr>
                <w:lang w:eastAsia="en-GB"/>
              </w:rPr>
              <w:t>1%</w:t>
            </w:r>
          </w:p>
        </w:tc>
        <w:tc>
          <w:tcPr>
            <w:tcW w:w="370" w:type="pct"/>
            <w:tcBorders>
              <w:top w:val="nil"/>
              <w:left w:val="nil"/>
              <w:bottom w:val="single" w:sz="4" w:space="0" w:color="auto"/>
              <w:right w:val="single" w:sz="4" w:space="0" w:color="auto"/>
            </w:tcBorders>
            <w:vAlign w:val="bottom"/>
          </w:tcPr>
          <w:p w14:paraId="51DA7F36" w14:textId="1735D183" w:rsidR="00AE31DC" w:rsidRPr="00A52AEE" w:rsidRDefault="00AE31DC" w:rsidP="00FE68E8">
            <w:pPr>
              <w:jc w:val="right"/>
              <w:rPr>
                <w:rFonts w:eastAsia="Times New Roman"/>
                <w:lang w:eastAsia="en-GB"/>
              </w:rPr>
            </w:pPr>
            <w:r w:rsidRPr="00A52AEE">
              <w:t>40</w:t>
            </w:r>
          </w:p>
        </w:tc>
      </w:tr>
      <w:tr w:rsidR="00DB2D18" w:rsidRPr="00A52AEE" w14:paraId="446F9AEA" w14:textId="464F246A"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1B8DFAB6" w14:textId="77777777" w:rsidR="00AE31DC" w:rsidRPr="00A52AEE" w:rsidRDefault="00AE31DC" w:rsidP="00A52AEE">
            <w:pPr>
              <w:rPr>
                <w:lang w:eastAsia="en-GB"/>
              </w:rPr>
            </w:pPr>
            <w:r w:rsidRPr="00A52AEE">
              <w:rPr>
                <w:lang w:eastAsia="en-GB"/>
              </w:rPr>
              <w:t>Tower Hamlets</w:t>
            </w:r>
          </w:p>
        </w:tc>
        <w:tc>
          <w:tcPr>
            <w:tcW w:w="491" w:type="pct"/>
            <w:tcBorders>
              <w:top w:val="nil"/>
              <w:left w:val="nil"/>
              <w:bottom w:val="single" w:sz="4" w:space="0" w:color="auto"/>
              <w:right w:val="single" w:sz="4" w:space="0" w:color="auto"/>
            </w:tcBorders>
            <w:shd w:val="clear" w:color="auto" w:fill="auto"/>
            <w:noWrap/>
            <w:vAlign w:val="bottom"/>
            <w:hideMark/>
          </w:tcPr>
          <w:p w14:paraId="30D7C97F" w14:textId="77777777" w:rsidR="00AE31DC" w:rsidRPr="00A52AEE" w:rsidRDefault="00AE31DC" w:rsidP="00FE68E8">
            <w:pPr>
              <w:jc w:val="right"/>
              <w:rPr>
                <w:lang w:eastAsia="en-GB"/>
              </w:rPr>
            </w:pPr>
            <w:r w:rsidRPr="00A52AEE">
              <w:rPr>
                <w:lang w:eastAsia="en-GB"/>
              </w:rPr>
              <w:t>1245</w:t>
            </w:r>
          </w:p>
        </w:tc>
        <w:tc>
          <w:tcPr>
            <w:tcW w:w="299" w:type="pct"/>
            <w:tcBorders>
              <w:top w:val="nil"/>
              <w:left w:val="nil"/>
              <w:bottom w:val="single" w:sz="4" w:space="0" w:color="auto"/>
              <w:right w:val="single" w:sz="4" w:space="0" w:color="auto"/>
            </w:tcBorders>
            <w:shd w:val="clear" w:color="auto" w:fill="auto"/>
            <w:noWrap/>
            <w:vAlign w:val="bottom"/>
            <w:hideMark/>
          </w:tcPr>
          <w:p w14:paraId="6159DB83"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4F470A47" w14:textId="77777777" w:rsidR="00AE31DC" w:rsidRPr="00A52AEE" w:rsidRDefault="00AE31DC" w:rsidP="00FE68E8">
            <w:pPr>
              <w:jc w:val="right"/>
              <w:rPr>
                <w:lang w:eastAsia="en-GB"/>
              </w:rPr>
            </w:pPr>
            <w:r w:rsidRPr="00A52AEE">
              <w:rPr>
                <w:lang w:eastAsia="en-GB"/>
              </w:rPr>
              <w:t>1300</w:t>
            </w:r>
          </w:p>
        </w:tc>
        <w:tc>
          <w:tcPr>
            <w:tcW w:w="299" w:type="pct"/>
            <w:tcBorders>
              <w:top w:val="nil"/>
              <w:left w:val="nil"/>
              <w:bottom w:val="single" w:sz="4" w:space="0" w:color="auto"/>
              <w:right w:val="single" w:sz="4" w:space="0" w:color="auto"/>
            </w:tcBorders>
            <w:shd w:val="clear" w:color="auto" w:fill="auto"/>
            <w:noWrap/>
            <w:vAlign w:val="bottom"/>
            <w:hideMark/>
          </w:tcPr>
          <w:p w14:paraId="73622FE3"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18D41F76" w14:textId="77777777" w:rsidR="00AE31DC" w:rsidRPr="00A52AEE" w:rsidRDefault="00AE31DC" w:rsidP="00FE68E8">
            <w:pPr>
              <w:jc w:val="right"/>
              <w:rPr>
                <w:lang w:eastAsia="en-GB"/>
              </w:rPr>
            </w:pPr>
            <w:r w:rsidRPr="00A52AEE">
              <w:rPr>
                <w:lang w:eastAsia="en-GB"/>
              </w:rPr>
              <w:t>1250</w:t>
            </w:r>
          </w:p>
        </w:tc>
        <w:tc>
          <w:tcPr>
            <w:tcW w:w="298" w:type="pct"/>
            <w:tcBorders>
              <w:top w:val="nil"/>
              <w:left w:val="nil"/>
              <w:bottom w:val="single" w:sz="4" w:space="0" w:color="auto"/>
              <w:right w:val="single" w:sz="4" w:space="0" w:color="auto"/>
            </w:tcBorders>
            <w:shd w:val="clear" w:color="auto" w:fill="auto"/>
            <w:noWrap/>
            <w:vAlign w:val="bottom"/>
            <w:hideMark/>
          </w:tcPr>
          <w:p w14:paraId="1CC7BF6C"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360745A3" w14:textId="77777777" w:rsidR="00AE31DC" w:rsidRPr="00A52AEE" w:rsidRDefault="00AE31DC" w:rsidP="00FE68E8">
            <w:pPr>
              <w:jc w:val="right"/>
              <w:rPr>
                <w:lang w:eastAsia="en-GB"/>
              </w:rPr>
            </w:pPr>
            <w:r w:rsidRPr="00A52AEE">
              <w:rPr>
                <w:lang w:eastAsia="en-GB"/>
              </w:rPr>
              <w:t>1205</w:t>
            </w:r>
          </w:p>
        </w:tc>
        <w:tc>
          <w:tcPr>
            <w:tcW w:w="300" w:type="pct"/>
            <w:tcBorders>
              <w:top w:val="nil"/>
              <w:left w:val="nil"/>
              <w:bottom w:val="single" w:sz="4" w:space="0" w:color="auto"/>
              <w:right w:val="single" w:sz="4" w:space="0" w:color="auto"/>
            </w:tcBorders>
            <w:shd w:val="clear" w:color="auto" w:fill="auto"/>
            <w:noWrap/>
            <w:vAlign w:val="bottom"/>
            <w:hideMark/>
          </w:tcPr>
          <w:p w14:paraId="500748EB"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42853CE2" w14:textId="77777777" w:rsidR="00AE31DC" w:rsidRPr="00A52AEE" w:rsidRDefault="00AE31DC" w:rsidP="00FE68E8">
            <w:pPr>
              <w:jc w:val="right"/>
              <w:rPr>
                <w:lang w:eastAsia="en-GB"/>
              </w:rPr>
            </w:pPr>
            <w:r w:rsidRPr="00A52AEE">
              <w:rPr>
                <w:lang w:eastAsia="en-GB"/>
              </w:rPr>
              <w:t>1280</w:t>
            </w:r>
          </w:p>
        </w:tc>
        <w:tc>
          <w:tcPr>
            <w:tcW w:w="300" w:type="pct"/>
            <w:tcBorders>
              <w:top w:val="nil"/>
              <w:left w:val="nil"/>
              <w:bottom w:val="single" w:sz="4" w:space="0" w:color="auto"/>
              <w:right w:val="single" w:sz="4" w:space="0" w:color="auto"/>
            </w:tcBorders>
            <w:shd w:val="clear" w:color="auto" w:fill="auto"/>
            <w:noWrap/>
            <w:vAlign w:val="bottom"/>
            <w:hideMark/>
          </w:tcPr>
          <w:p w14:paraId="0C7D77F5" w14:textId="77777777" w:rsidR="00AE31DC" w:rsidRPr="00A52AEE" w:rsidRDefault="00AE31DC" w:rsidP="00FE68E8">
            <w:pPr>
              <w:jc w:val="right"/>
              <w:rPr>
                <w:lang w:eastAsia="en-GB"/>
              </w:rPr>
            </w:pPr>
            <w:r w:rsidRPr="00A52AEE">
              <w:rPr>
                <w:lang w:eastAsia="en-GB"/>
              </w:rPr>
              <w:t>3%</w:t>
            </w:r>
          </w:p>
        </w:tc>
        <w:tc>
          <w:tcPr>
            <w:tcW w:w="370" w:type="pct"/>
            <w:tcBorders>
              <w:top w:val="nil"/>
              <w:left w:val="nil"/>
              <w:bottom w:val="single" w:sz="4" w:space="0" w:color="auto"/>
              <w:right w:val="single" w:sz="4" w:space="0" w:color="auto"/>
            </w:tcBorders>
            <w:vAlign w:val="bottom"/>
          </w:tcPr>
          <w:p w14:paraId="6534E2A1" w14:textId="06B353AD" w:rsidR="00AE31DC" w:rsidRPr="00A52AEE" w:rsidRDefault="00AE31DC" w:rsidP="00FE68E8">
            <w:pPr>
              <w:jc w:val="right"/>
              <w:rPr>
                <w:rFonts w:eastAsia="Times New Roman"/>
                <w:lang w:eastAsia="en-GB"/>
              </w:rPr>
            </w:pPr>
            <w:r w:rsidRPr="00A52AEE">
              <w:t>35</w:t>
            </w:r>
          </w:p>
        </w:tc>
      </w:tr>
      <w:tr w:rsidR="00DB2D18" w:rsidRPr="00A52AEE" w14:paraId="2CA66058" w14:textId="38E71873"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896E398" w14:textId="77777777" w:rsidR="00AE31DC" w:rsidRPr="00A52AEE" w:rsidRDefault="00AE31DC" w:rsidP="00A52AEE">
            <w:pPr>
              <w:rPr>
                <w:lang w:eastAsia="en-GB"/>
              </w:rPr>
            </w:pPr>
            <w:r w:rsidRPr="00A52AEE">
              <w:rPr>
                <w:lang w:eastAsia="en-GB"/>
              </w:rPr>
              <w:t>Waltham Forest</w:t>
            </w:r>
          </w:p>
        </w:tc>
        <w:tc>
          <w:tcPr>
            <w:tcW w:w="491" w:type="pct"/>
            <w:tcBorders>
              <w:top w:val="nil"/>
              <w:left w:val="nil"/>
              <w:bottom w:val="single" w:sz="4" w:space="0" w:color="auto"/>
              <w:right w:val="single" w:sz="4" w:space="0" w:color="auto"/>
            </w:tcBorders>
            <w:shd w:val="clear" w:color="auto" w:fill="auto"/>
            <w:noWrap/>
            <w:vAlign w:val="bottom"/>
            <w:hideMark/>
          </w:tcPr>
          <w:p w14:paraId="1FA5F6DE" w14:textId="77777777" w:rsidR="00AE31DC" w:rsidRPr="00A52AEE" w:rsidRDefault="00AE31DC" w:rsidP="00FE68E8">
            <w:pPr>
              <w:jc w:val="right"/>
              <w:rPr>
                <w:lang w:eastAsia="en-GB"/>
              </w:rPr>
            </w:pPr>
            <w:r w:rsidRPr="00A52AEE">
              <w:rPr>
                <w:lang w:eastAsia="en-GB"/>
              </w:rPr>
              <w:t>1580</w:t>
            </w:r>
          </w:p>
        </w:tc>
        <w:tc>
          <w:tcPr>
            <w:tcW w:w="299" w:type="pct"/>
            <w:tcBorders>
              <w:top w:val="nil"/>
              <w:left w:val="nil"/>
              <w:bottom w:val="single" w:sz="4" w:space="0" w:color="auto"/>
              <w:right w:val="single" w:sz="4" w:space="0" w:color="auto"/>
            </w:tcBorders>
            <w:shd w:val="clear" w:color="auto" w:fill="auto"/>
            <w:noWrap/>
            <w:vAlign w:val="bottom"/>
            <w:hideMark/>
          </w:tcPr>
          <w:p w14:paraId="3CFC626A" w14:textId="77777777" w:rsidR="00AE31DC" w:rsidRPr="00A52AEE" w:rsidRDefault="00AE31DC" w:rsidP="00FE68E8">
            <w:pPr>
              <w:jc w:val="right"/>
              <w:rPr>
                <w:lang w:eastAsia="en-GB"/>
              </w:rPr>
            </w:pPr>
            <w:r w:rsidRPr="00A52AEE">
              <w:rPr>
                <w:lang w:eastAsia="en-GB"/>
              </w:rPr>
              <w:t>4%</w:t>
            </w:r>
          </w:p>
        </w:tc>
        <w:tc>
          <w:tcPr>
            <w:tcW w:w="374" w:type="pct"/>
            <w:tcBorders>
              <w:top w:val="nil"/>
              <w:left w:val="nil"/>
              <w:bottom w:val="single" w:sz="4" w:space="0" w:color="auto"/>
              <w:right w:val="single" w:sz="4" w:space="0" w:color="auto"/>
            </w:tcBorders>
            <w:shd w:val="clear" w:color="auto" w:fill="auto"/>
            <w:noWrap/>
            <w:vAlign w:val="bottom"/>
            <w:hideMark/>
          </w:tcPr>
          <w:p w14:paraId="39584617" w14:textId="77777777" w:rsidR="00AE31DC" w:rsidRPr="00A52AEE" w:rsidRDefault="00AE31DC" w:rsidP="00FE68E8">
            <w:pPr>
              <w:jc w:val="right"/>
              <w:rPr>
                <w:lang w:eastAsia="en-GB"/>
              </w:rPr>
            </w:pPr>
            <w:r w:rsidRPr="00A52AEE">
              <w:rPr>
                <w:lang w:eastAsia="en-GB"/>
              </w:rPr>
              <w:t>1690</w:t>
            </w:r>
          </w:p>
        </w:tc>
        <w:tc>
          <w:tcPr>
            <w:tcW w:w="299" w:type="pct"/>
            <w:tcBorders>
              <w:top w:val="nil"/>
              <w:left w:val="nil"/>
              <w:bottom w:val="single" w:sz="4" w:space="0" w:color="auto"/>
              <w:right w:val="single" w:sz="4" w:space="0" w:color="auto"/>
            </w:tcBorders>
            <w:shd w:val="clear" w:color="auto" w:fill="auto"/>
            <w:noWrap/>
            <w:vAlign w:val="bottom"/>
            <w:hideMark/>
          </w:tcPr>
          <w:p w14:paraId="0A85A212"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43A74B7B" w14:textId="77777777" w:rsidR="00AE31DC" w:rsidRPr="00A52AEE" w:rsidRDefault="00AE31DC" w:rsidP="00FE68E8">
            <w:pPr>
              <w:jc w:val="right"/>
              <w:rPr>
                <w:lang w:eastAsia="en-GB"/>
              </w:rPr>
            </w:pPr>
            <w:r w:rsidRPr="00A52AEE">
              <w:rPr>
                <w:lang w:eastAsia="en-GB"/>
              </w:rPr>
              <w:t>1725</w:t>
            </w:r>
          </w:p>
        </w:tc>
        <w:tc>
          <w:tcPr>
            <w:tcW w:w="298" w:type="pct"/>
            <w:tcBorders>
              <w:top w:val="nil"/>
              <w:left w:val="nil"/>
              <w:bottom w:val="single" w:sz="4" w:space="0" w:color="auto"/>
              <w:right w:val="single" w:sz="4" w:space="0" w:color="auto"/>
            </w:tcBorders>
            <w:shd w:val="clear" w:color="auto" w:fill="auto"/>
            <w:noWrap/>
            <w:vAlign w:val="bottom"/>
            <w:hideMark/>
          </w:tcPr>
          <w:p w14:paraId="04077758" w14:textId="77777777" w:rsidR="00AE31DC" w:rsidRPr="00A52AEE" w:rsidRDefault="00AE31DC" w:rsidP="00FE68E8">
            <w:pPr>
              <w:jc w:val="right"/>
              <w:rPr>
                <w:lang w:eastAsia="en-GB"/>
              </w:rPr>
            </w:pPr>
            <w:r w:rsidRPr="00A52AEE">
              <w:rPr>
                <w:lang w:eastAsia="en-GB"/>
              </w:rPr>
              <w:t>4%</w:t>
            </w:r>
          </w:p>
        </w:tc>
        <w:tc>
          <w:tcPr>
            <w:tcW w:w="373" w:type="pct"/>
            <w:tcBorders>
              <w:top w:val="nil"/>
              <w:left w:val="nil"/>
              <w:bottom w:val="single" w:sz="4" w:space="0" w:color="auto"/>
              <w:right w:val="single" w:sz="4" w:space="0" w:color="auto"/>
            </w:tcBorders>
            <w:shd w:val="clear" w:color="auto" w:fill="auto"/>
            <w:noWrap/>
            <w:vAlign w:val="bottom"/>
            <w:hideMark/>
          </w:tcPr>
          <w:p w14:paraId="2D7A0D4A" w14:textId="77777777" w:rsidR="00AE31DC" w:rsidRPr="00A52AEE" w:rsidRDefault="00AE31DC" w:rsidP="00FE68E8">
            <w:pPr>
              <w:jc w:val="right"/>
              <w:rPr>
                <w:lang w:eastAsia="en-GB"/>
              </w:rPr>
            </w:pPr>
            <w:r w:rsidRPr="00A52AEE">
              <w:rPr>
                <w:lang w:eastAsia="en-GB"/>
              </w:rPr>
              <w:t>1795</w:t>
            </w:r>
          </w:p>
        </w:tc>
        <w:tc>
          <w:tcPr>
            <w:tcW w:w="300" w:type="pct"/>
            <w:tcBorders>
              <w:top w:val="nil"/>
              <w:left w:val="nil"/>
              <w:bottom w:val="single" w:sz="4" w:space="0" w:color="auto"/>
              <w:right w:val="single" w:sz="4" w:space="0" w:color="auto"/>
            </w:tcBorders>
            <w:shd w:val="clear" w:color="auto" w:fill="auto"/>
            <w:noWrap/>
            <w:vAlign w:val="bottom"/>
            <w:hideMark/>
          </w:tcPr>
          <w:p w14:paraId="3E5C8AB4" w14:textId="77777777" w:rsidR="00AE31DC" w:rsidRPr="00A52AEE" w:rsidRDefault="00AE31DC" w:rsidP="00FE68E8">
            <w:pPr>
              <w:jc w:val="right"/>
              <w:rPr>
                <w:lang w:eastAsia="en-GB"/>
              </w:rPr>
            </w:pPr>
            <w:r w:rsidRPr="00A52AEE">
              <w:rPr>
                <w:lang w:eastAsia="en-GB"/>
              </w:rPr>
              <w:t>5%</w:t>
            </w:r>
          </w:p>
        </w:tc>
        <w:tc>
          <w:tcPr>
            <w:tcW w:w="374" w:type="pct"/>
            <w:tcBorders>
              <w:top w:val="nil"/>
              <w:left w:val="nil"/>
              <w:bottom w:val="single" w:sz="4" w:space="0" w:color="auto"/>
              <w:right w:val="single" w:sz="4" w:space="0" w:color="auto"/>
            </w:tcBorders>
            <w:shd w:val="clear" w:color="auto" w:fill="auto"/>
            <w:noWrap/>
            <w:vAlign w:val="bottom"/>
            <w:hideMark/>
          </w:tcPr>
          <w:p w14:paraId="7F41E56B" w14:textId="77777777" w:rsidR="00AE31DC" w:rsidRPr="00A52AEE" w:rsidRDefault="00AE31DC" w:rsidP="00FE68E8">
            <w:pPr>
              <w:jc w:val="right"/>
              <w:rPr>
                <w:lang w:eastAsia="en-GB"/>
              </w:rPr>
            </w:pPr>
            <w:r w:rsidRPr="00A52AEE">
              <w:rPr>
                <w:lang w:eastAsia="en-GB"/>
              </w:rPr>
              <w:t>1995</w:t>
            </w:r>
          </w:p>
        </w:tc>
        <w:tc>
          <w:tcPr>
            <w:tcW w:w="300" w:type="pct"/>
            <w:tcBorders>
              <w:top w:val="nil"/>
              <w:left w:val="nil"/>
              <w:bottom w:val="single" w:sz="4" w:space="0" w:color="auto"/>
              <w:right w:val="single" w:sz="4" w:space="0" w:color="auto"/>
            </w:tcBorders>
            <w:shd w:val="clear" w:color="auto" w:fill="auto"/>
            <w:noWrap/>
            <w:vAlign w:val="bottom"/>
            <w:hideMark/>
          </w:tcPr>
          <w:p w14:paraId="1E0B2565" w14:textId="77777777" w:rsidR="00AE31DC" w:rsidRPr="00A52AEE" w:rsidRDefault="00AE31DC" w:rsidP="00FE68E8">
            <w:pPr>
              <w:jc w:val="right"/>
              <w:rPr>
                <w:lang w:eastAsia="en-GB"/>
              </w:rPr>
            </w:pPr>
            <w:r w:rsidRPr="00A52AEE">
              <w:rPr>
                <w:lang w:eastAsia="en-GB"/>
              </w:rPr>
              <w:t>5%</w:t>
            </w:r>
          </w:p>
        </w:tc>
        <w:tc>
          <w:tcPr>
            <w:tcW w:w="370" w:type="pct"/>
            <w:tcBorders>
              <w:top w:val="nil"/>
              <w:left w:val="nil"/>
              <w:bottom w:val="single" w:sz="4" w:space="0" w:color="auto"/>
              <w:right w:val="single" w:sz="4" w:space="0" w:color="auto"/>
            </w:tcBorders>
            <w:vAlign w:val="bottom"/>
          </w:tcPr>
          <w:p w14:paraId="14A1C514" w14:textId="289DD975" w:rsidR="00AE31DC" w:rsidRPr="00A52AEE" w:rsidRDefault="00AE31DC" w:rsidP="00FE68E8">
            <w:pPr>
              <w:jc w:val="right"/>
              <w:rPr>
                <w:rFonts w:eastAsia="Times New Roman"/>
                <w:lang w:eastAsia="en-GB"/>
              </w:rPr>
            </w:pPr>
            <w:r w:rsidRPr="00A52AEE">
              <w:t>415</w:t>
            </w:r>
          </w:p>
        </w:tc>
      </w:tr>
      <w:tr w:rsidR="00DB2D18" w:rsidRPr="00A52AEE" w14:paraId="05FC40C4" w14:textId="1D1246D1"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05CAE2D8" w14:textId="77777777" w:rsidR="00AE31DC" w:rsidRPr="00A52AEE" w:rsidRDefault="00AE31DC" w:rsidP="00A52AEE">
            <w:pPr>
              <w:rPr>
                <w:lang w:eastAsia="en-GB"/>
              </w:rPr>
            </w:pPr>
            <w:r w:rsidRPr="00A52AEE">
              <w:rPr>
                <w:lang w:eastAsia="en-GB"/>
              </w:rPr>
              <w:t>Wandsworth</w:t>
            </w:r>
          </w:p>
        </w:tc>
        <w:tc>
          <w:tcPr>
            <w:tcW w:w="491" w:type="pct"/>
            <w:tcBorders>
              <w:top w:val="nil"/>
              <w:left w:val="nil"/>
              <w:bottom w:val="single" w:sz="4" w:space="0" w:color="auto"/>
              <w:right w:val="single" w:sz="4" w:space="0" w:color="auto"/>
            </w:tcBorders>
            <w:shd w:val="clear" w:color="auto" w:fill="auto"/>
            <w:noWrap/>
            <w:vAlign w:val="bottom"/>
            <w:hideMark/>
          </w:tcPr>
          <w:p w14:paraId="536D27E6" w14:textId="77777777" w:rsidR="00AE31DC" w:rsidRPr="00A52AEE" w:rsidRDefault="00AE31DC" w:rsidP="00FE68E8">
            <w:pPr>
              <w:jc w:val="right"/>
              <w:rPr>
                <w:lang w:eastAsia="en-GB"/>
              </w:rPr>
            </w:pPr>
            <w:r w:rsidRPr="00A52AEE">
              <w:rPr>
                <w:lang w:eastAsia="en-GB"/>
              </w:rPr>
              <w:t>1035</w:t>
            </w:r>
          </w:p>
        </w:tc>
        <w:tc>
          <w:tcPr>
            <w:tcW w:w="299" w:type="pct"/>
            <w:tcBorders>
              <w:top w:val="nil"/>
              <w:left w:val="nil"/>
              <w:bottom w:val="single" w:sz="4" w:space="0" w:color="auto"/>
              <w:right w:val="single" w:sz="4" w:space="0" w:color="auto"/>
            </w:tcBorders>
            <w:shd w:val="clear" w:color="auto" w:fill="auto"/>
            <w:noWrap/>
            <w:vAlign w:val="bottom"/>
            <w:hideMark/>
          </w:tcPr>
          <w:p w14:paraId="1DA07B92"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30B161C9" w14:textId="77777777" w:rsidR="00AE31DC" w:rsidRPr="00A52AEE" w:rsidRDefault="00AE31DC" w:rsidP="00FE68E8">
            <w:pPr>
              <w:jc w:val="right"/>
              <w:rPr>
                <w:lang w:eastAsia="en-GB"/>
              </w:rPr>
            </w:pPr>
            <w:r w:rsidRPr="00A52AEE">
              <w:rPr>
                <w:lang w:eastAsia="en-GB"/>
              </w:rPr>
              <w:t>1100</w:t>
            </w:r>
          </w:p>
        </w:tc>
        <w:tc>
          <w:tcPr>
            <w:tcW w:w="299" w:type="pct"/>
            <w:tcBorders>
              <w:top w:val="nil"/>
              <w:left w:val="nil"/>
              <w:bottom w:val="single" w:sz="4" w:space="0" w:color="auto"/>
              <w:right w:val="single" w:sz="4" w:space="0" w:color="auto"/>
            </w:tcBorders>
            <w:shd w:val="clear" w:color="auto" w:fill="auto"/>
            <w:noWrap/>
            <w:vAlign w:val="bottom"/>
            <w:hideMark/>
          </w:tcPr>
          <w:p w14:paraId="20013C61"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6A761F57" w14:textId="77777777" w:rsidR="00AE31DC" w:rsidRPr="00A52AEE" w:rsidRDefault="00AE31DC" w:rsidP="00FE68E8">
            <w:pPr>
              <w:jc w:val="right"/>
              <w:rPr>
                <w:lang w:eastAsia="en-GB"/>
              </w:rPr>
            </w:pPr>
            <w:r w:rsidRPr="00A52AEE">
              <w:rPr>
                <w:lang w:eastAsia="en-GB"/>
              </w:rPr>
              <w:t>1140</w:t>
            </w:r>
          </w:p>
        </w:tc>
        <w:tc>
          <w:tcPr>
            <w:tcW w:w="298" w:type="pct"/>
            <w:tcBorders>
              <w:top w:val="nil"/>
              <w:left w:val="nil"/>
              <w:bottom w:val="single" w:sz="4" w:space="0" w:color="auto"/>
              <w:right w:val="single" w:sz="4" w:space="0" w:color="auto"/>
            </w:tcBorders>
            <w:shd w:val="clear" w:color="auto" w:fill="auto"/>
            <w:noWrap/>
            <w:vAlign w:val="bottom"/>
            <w:hideMark/>
          </w:tcPr>
          <w:p w14:paraId="509D3F18" w14:textId="77777777" w:rsidR="00AE31DC" w:rsidRPr="00A52AEE" w:rsidRDefault="00AE31DC" w:rsidP="00FE68E8">
            <w:pPr>
              <w:jc w:val="right"/>
              <w:rPr>
                <w:lang w:eastAsia="en-GB"/>
              </w:rPr>
            </w:pPr>
            <w:r w:rsidRPr="00A52AEE">
              <w:rPr>
                <w:lang w:eastAsia="en-GB"/>
              </w:rPr>
              <w:t>3%</w:t>
            </w:r>
          </w:p>
        </w:tc>
        <w:tc>
          <w:tcPr>
            <w:tcW w:w="373" w:type="pct"/>
            <w:tcBorders>
              <w:top w:val="nil"/>
              <w:left w:val="nil"/>
              <w:bottom w:val="single" w:sz="4" w:space="0" w:color="auto"/>
              <w:right w:val="single" w:sz="4" w:space="0" w:color="auto"/>
            </w:tcBorders>
            <w:shd w:val="clear" w:color="auto" w:fill="auto"/>
            <w:noWrap/>
            <w:vAlign w:val="bottom"/>
            <w:hideMark/>
          </w:tcPr>
          <w:p w14:paraId="3B8A6A8A" w14:textId="77777777" w:rsidR="00AE31DC" w:rsidRPr="00A52AEE" w:rsidRDefault="00AE31DC" w:rsidP="00FE68E8">
            <w:pPr>
              <w:jc w:val="right"/>
              <w:rPr>
                <w:lang w:eastAsia="en-GB"/>
              </w:rPr>
            </w:pPr>
            <w:r w:rsidRPr="00A52AEE">
              <w:rPr>
                <w:lang w:eastAsia="en-GB"/>
              </w:rPr>
              <w:t>1035</w:t>
            </w:r>
          </w:p>
        </w:tc>
        <w:tc>
          <w:tcPr>
            <w:tcW w:w="300" w:type="pct"/>
            <w:tcBorders>
              <w:top w:val="nil"/>
              <w:left w:val="nil"/>
              <w:bottom w:val="single" w:sz="4" w:space="0" w:color="auto"/>
              <w:right w:val="single" w:sz="4" w:space="0" w:color="auto"/>
            </w:tcBorders>
            <w:shd w:val="clear" w:color="auto" w:fill="auto"/>
            <w:noWrap/>
            <w:vAlign w:val="bottom"/>
            <w:hideMark/>
          </w:tcPr>
          <w:p w14:paraId="4825FC69" w14:textId="77777777" w:rsidR="00AE31DC" w:rsidRPr="00A52AEE" w:rsidRDefault="00AE31DC" w:rsidP="00FE68E8">
            <w:pPr>
              <w:jc w:val="right"/>
              <w:rPr>
                <w:lang w:eastAsia="en-GB"/>
              </w:rPr>
            </w:pPr>
            <w:r w:rsidRPr="00A52AEE">
              <w:rPr>
                <w:lang w:eastAsia="en-GB"/>
              </w:rPr>
              <w:t>3%</w:t>
            </w:r>
          </w:p>
        </w:tc>
        <w:tc>
          <w:tcPr>
            <w:tcW w:w="374" w:type="pct"/>
            <w:tcBorders>
              <w:top w:val="nil"/>
              <w:left w:val="nil"/>
              <w:bottom w:val="single" w:sz="4" w:space="0" w:color="auto"/>
              <w:right w:val="single" w:sz="4" w:space="0" w:color="auto"/>
            </w:tcBorders>
            <w:shd w:val="clear" w:color="auto" w:fill="auto"/>
            <w:noWrap/>
            <w:vAlign w:val="bottom"/>
            <w:hideMark/>
          </w:tcPr>
          <w:p w14:paraId="74511E89" w14:textId="77777777" w:rsidR="00AE31DC" w:rsidRPr="00A52AEE" w:rsidRDefault="00AE31DC" w:rsidP="00FE68E8">
            <w:pPr>
              <w:jc w:val="right"/>
              <w:rPr>
                <w:lang w:eastAsia="en-GB"/>
              </w:rPr>
            </w:pPr>
            <w:r w:rsidRPr="00A52AEE">
              <w:rPr>
                <w:lang w:eastAsia="en-GB"/>
              </w:rPr>
              <w:t>965</w:t>
            </w:r>
          </w:p>
        </w:tc>
        <w:tc>
          <w:tcPr>
            <w:tcW w:w="300" w:type="pct"/>
            <w:tcBorders>
              <w:top w:val="nil"/>
              <w:left w:val="nil"/>
              <w:bottom w:val="single" w:sz="4" w:space="0" w:color="auto"/>
              <w:right w:val="single" w:sz="4" w:space="0" w:color="auto"/>
            </w:tcBorders>
            <w:shd w:val="clear" w:color="auto" w:fill="auto"/>
            <w:noWrap/>
            <w:vAlign w:val="bottom"/>
            <w:hideMark/>
          </w:tcPr>
          <w:p w14:paraId="670D582A"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61337C64" w14:textId="4AAC2D87" w:rsidR="00AE31DC" w:rsidRPr="00A52AEE" w:rsidRDefault="00AE31DC" w:rsidP="00FE68E8">
            <w:pPr>
              <w:jc w:val="right"/>
              <w:rPr>
                <w:rFonts w:eastAsia="Times New Roman"/>
                <w:lang w:eastAsia="en-GB"/>
              </w:rPr>
            </w:pPr>
            <w:r w:rsidRPr="00A52AEE">
              <w:t>-70</w:t>
            </w:r>
          </w:p>
        </w:tc>
      </w:tr>
      <w:tr w:rsidR="00DB2D18" w:rsidRPr="00A52AEE" w14:paraId="1286E7CC" w14:textId="0F37F893" w:rsidTr="00DB2D18">
        <w:trPr>
          <w:trHeight w:val="300"/>
        </w:trPr>
        <w:tc>
          <w:tcPr>
            <w:tcW w:w="1149" w:type="pct"/>
            <w:tcBorders>
              <w:top w:val="nil"/>
              <w:left w:val="single" w:sz="4" w:space="0" w:color="auto"/>
              <w:bottom w:val="single" w:sz="4" w:space="0" w:color="auto"/>
              <w:right w:val="single" w:sz="4" w:space="0" w:color="auto"/>
            </w:tcBorders>
            <w:shd w:val="clear" w:color="auto" w:fill="auto"/>
            <w:noWrap/>
            <w:vAlign w:val="bottom"/>
            <w:hideMark/>
          </w:tcPr>
          <w:p w14:paraId="394D5C32" w14:textId="77777777" w:rsidR="00AE31DC" w:rsidRPr="00A52AEE" w:rsidRDefault="00AE31DC" w:rsidP="00A52AEE">
            <w:pPr>
              <w:rPr>
                <w:lang w:eastAsia="en-GB"/>
              </w:rPr>
            </w:pPr>
            <w:r w:rsidRPr="00A52AEE">
              <w:rPr>
                <w:lang w:eastAsia="en-GB"/>
              </w:rPr>
              <w:t>Westminster</w:t>
            </w:r>
          </w:p>
        </w:tc>
        <w:tc>
          <w:tcPr>
            <w:tcW w:w="491" w:type="pct"/>
            <w:tcBorders>
              <w:top w:val="nil"/>
              <w:left w:val="nil"/>
              <w:bottom w:val="single" w:sz="4" w:space="0" w:color="auto"/>
              <w:right w:val="single" w:sz="4" w:space="0" w:color="auto"/>
            </w:tcBorders>
            <w:shd w:val="clear" w:color="auto" w:fill="auto"/>
            <w:noWrap/>
            <w:vAlign w:val="bottom"/>
            <w:hideMark/>
          </w:tcPr>
          <w:p w14:paraId="67D6BE75" w14:textId="77777777" w:rsidR="00AE31DC" w:rsidRPr="00A52AEE" w:rsidRDefault="00AE31DC" w:rsidP="00FE68E8">
            <w:pPr>
              <w:jc w:val="right"/>
              <w:rPr>
                <w:lang w:eastAsia="en-GB"/>
              </w:rPr>
            </w:pPr>
            <w:r w:rsidRPr="00A52AEE">
              <w:rPr>
                <w:lang w:eastAsia="en-GB"/>
              </w:rPr>
              <w:t>665</w:t>
            </w:r>
          </w:p>
        </w:tc>
        <w:tc>
          <w:tcPr>
            <w:tcW w:w="299" w:type="pct"/>
            <w:tcBorders>
              <w:top w:val="nil"/>
              <w:left w:val="nil"/>
              <w:bottom w:val="single" w:sz="4" w:space="0" w:color="auto"/>
              <w:right w:val="single" w:sz="4" w:space="0" w:color="auto"/>
            </w:tcBorders>
            <w:shd w:val="clear" w:color="auto" w:fill="auto"/>
            <w:noWrap/>
            <w:vAlign w:val="bottom"/>
            <w:hideMark/>
          </w:tcPr>
          <w:p w14:paraId="3455759B" w14:textId="77777777" w:rsidR="00AE31DC" w:rsidRPr="00A52AEE" w:rsidRDefault="00AE31DC" w:rsidP="00FE68E8">
            <w:pPr>
              <w:jc w:val="right"/>
              <w:rPr>
                <w:lang w:eastAsia="en-GB"/>
              </w:rPr>
            </w:pPr>
            <w:r w:rsidRPr="00A52AEE">
              <w:rPr>
                <w:lang w:eastAsia="en-GB"/>
              </w:rPr>
              <w:t>2%</w:t>
            </w:r>
          </w:p>
        </w:tc>
        <w:tc>
          <w:tcPr>
            <w:tcW w:w="374" w:type="pct"/>
            <w:tcBorders>
              <w:top w:val="nil"/>
              <w:left w:val="nil"/>
              <w:bottom w:val="single" w:sz="4" w:space="0" w:color="auto"/>
              <w:right w:val="single" w:sz="4" w:space="0" w:color="auto"/>
            </w:tcBorders>
            <w:shd w:val="clear" w:color="auto" w:fill="auto"/>
            <w:noWrap/>
            <w:vAlign w:val="bottom"/>
            <w:hideMark/>
          </w:tcPr>
          <w:p w14:paraId="4D8D92C0" w14:textId="77777777" w:rsidR="00AE31DC" w:rsidRPr="00A52AEE" w:rsidRDefault="00AE31DC" w:rsidP="00FE68E8">
            <w:pPr>
              <w:jc w:val="right"/>
              <w:rPr>
                <w:lang w:eastAsia="en-GB"/>
              </w:rPr>
            </w:pPr>
            <w:r w:rsidRPr="00A52AEE">
              <w:rPr>
                <w:lang w:eastAsia="en-GB"/>
              </w:rPr>
              <w:t>610</w:t>
            </w:r>
          </w:p>
        </w:tc>
        <w:tc>
          <w:tcPr>
            <w:tcW w:w="299" w:type="pct"/>
            <w:tcBorders>
              <w:top w:val="nil"/>
              <w:left w:val="nil"/>
              <w:bottom w:val="single" w:sz="4" w:space="0" w:color="auto"/>
              <w:right w:val="single" w:sz="4" w:space="0" w:color="auto"/>
            </w:tcBorders>
            <w:shd w:val="clear" w:color="auto" w:fill="auto"/>
            <w:noWrap/>
            <w:vAlign w:val="bottom"/>
            <w:hideMark/>
          </w:tcPr>
          <w:p w14:paraId="4B43A89D"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7DA87935" w14:textId="77777777" w:rsidR="00AE31DC" w:rsidRPr="00A52AEE" w:rsidRDefault="00AE31DC" w:rsidP="00FE68E8">
            <w:pPr>
              <w:jc w:val="right"/>
              <w:rPr>
                <w:lang w:eastAsia="en-GB"/>
              </w:rPr>
            </w:pPr>
            <w:r w:rsidRPr="00A52AEE">
              <w:rPr>
                <w:lang w:eastAsia="en-GB"/>
              </w:rPr>
              <w:t>620</w:t>
            </w:r>
          </w:p>
        </w:tc>
        <w:tc>
          <w:tcPr>
            <w:tcW w:w="298" w:type="pct"/>
            <w:tcBorders>
              <w:top w:val="nil"/>
              <w:left w:val="nil"/>
              <w:bottom w:val="single" w:sz="4" w:space="0" w:color="auto"/>
              <w:right w:val="single" w:sz="4" w:space="0" w:color="auto"/>
            </w:tcBorders>
            <w:shd w:val="clear" w:color="auto" w:fill="auto"/>
            <w:noWrap/>
            <w:vAlign w:val="bottom"/>
            <w:hideMark/>
          </w:tcPr>
          <w:p w14:paraId="433ECEDB" w14:textId="77777777" w:rsidR="00AE31DC" w:rsidRPr="00A52AEE" w:rsidRDefault="00AE31DC" w:rsidP="00FE68E8">
            <w:pPr>
              <w:jc w:val="right"/>
              <w:rPr>
                <w:lang w:eastAsia="en-GB"/>
              </w:rPr>
            </w:pPr>
            <w:r w:rsidRPr="00A52AEE">
              <w:rPr>
                <w:lang w:eastAsia="en-GB"/>
              </w:rPr>
              <w:t>2%</w:t>
            </w:r>
          </w:p>
        </w:tc>
        <w:tc>
          <w:tcPr>
            <w:tcW w:w="373" w:type="pct"/>
            <w:tcBorders>
              <w:top w:val="nil"/>
              <w:left w:val="nil"/>
              <w:bottom w:val="single" w:sz="4" w:space="0" w:color="auto"/>
              <w:right w:val="single" w:sz="4" w:space="0" w:color="auto"/>
            </w:tcBorders>
            <w:shd w:val="clear" w:color="auto" w:fill="auto"/>
            <w:noWrap/>
            <w:vAlign w:val="bottom"/>
            <w:hideMark/>
          </w:tcPr>
          <w:p w14:paraId="5B9270E9" w14:textId="77777777" w:rsidR="00AE31DC" w:rsidRPr="00A52AEE" w:rsidRDefault="00AE31DC" w:rsidP="00FE68E8">
            <w:pPr>
              <w:jc w:val="right"/>
              <w:rPr>
                <w:lang w:eastAsia="en-GB"/>
              </w:rPr>
            </w:pPr>
            <w:r w:rsidRPr="00A52AEE">
              <w:rPr>
                <w:lang w:eastAsia="en-GB"/>
              </w:rPr>
              <w:t>575</w:t>
            </w:r>
          </w:p>
        </w:tc>
        <w:tc>
          <w:tcPr>
            <w:tcW w:w="300" w:type="pct"/>
            <w:tcBorders>
              <w:top w:val="nil"/>
              <w:left w:val="nil"/>
              <w:bottom w:val="single" w:sz="4" w:space="0" w:color="auto"/>
              <w:right w:val="single" w:sz="4" w:space="0" w:color="auto"/>
            </w:tcBorders>
            <w:shd w:val="clear" w:color="auto" w:fill="auto"/>
            <w:noWrap/>
            <w:vAlign w:val="bottom"/>
            <w:hideMark/>
          </w:tcPr>
          <w:p w14:paraId="1C02942E" w14:textId="77777777" w:rsidR="00AE31DC" w:rsidRPr="00A52AEE" w:rsidRDefault="00AE31DC" w:rsidP="00FE68E8">
            <w:pPr>
              <w:jc w:val="right"/>
              <w:rPr>
                <w:lang w:eastAsia="en-GB"/>
              </w:rPr>
            </w:pPr>
            <w:r w:rsidRPr="00A52AEE">
              <w:rPr>
                <w:lang w:eastAsia="en-GB"/>
              </w:rPr>
              <w:t>1%</w:t>
            </w:r>
          </w:p>
        </w:tc>
        <w:tc>
          <w:tcPr>
            <w:tcW w:w="374" w:type="pct"/>
            <w:tcBorders>
              <w:top w:val="nil"/>
              <w:left w:val="nil"/>
              <w:bottom w:val="single" w:sz="4" w:space="0" w:color="auto"/>
              <w:right w:val="single" w:sz="4" w:space="0" w:color="auto"/>
            </w:tcBorders>
            <w:shd w:val="clear" w:color="auto" w:fill="auto"/>
            <w:noWrap/>
            <w:vAlign w:val="bottom"/>
            <w:hideMark/>
          </w:tcPr>
          <w:p w14:paraId="29FB7404" w14:textId="77777777" w:rsidR="00AE31DC" w:rsidRPr="00A52AEE" w:rsidRDefault="00AE31DC" w:rsidP="00FE68E8">
            <w:pPr>
              <w:jc w:val="right"/>
              <w:rPr>
                <w:lang w:eastAsia="en-GB"/>
              </w:rPr>
            </w:pPr>
            <w:r w:rsidRPr="00A52AEE">
              <w:rPr>
                <w:lang w:eastAsia="en-GB"/>
              </w:rPr>
              <w:t>740</w:t>
            </w:r>
          </w:p>
        </w:tc>
        <w:tc>
          <w:tcPr>
            <w:tcW w:w="300" w:type="pct"/>
            <w:tcBorders>
              <w:top w:val="nil"/>
              <w:left w:val="nil"/>
              <w:bottom w:val="single" w:sz="4" w:space="0" w:color="auto"/>
              <w:right w:val="single" w:sz="4" w:space="0" w:color="auto"/>
            </w:tcBorders>
            <w:shd w:val="clear" w:color="auto" w:fill="auto"/>
            <w:noWrap/>
            <w:vAlign w:val="bottom"/>
            <w:hideMark/>
          </w:tcPr>
          <w:p w14:paraId="2E9E85FC" w14:textId="77777777" w:rsidR="00AE31DC" w:rsidRPr="00A52AEE" w:rsidRDefault="00AE31DC" w:rsidP="00FE68E8">
            <w:pPr>
              <w:jc w:val="right"/>
              <w:rPr>
                <w:lang w:eastAsia="en-GB"/>
              </w:rPr>
            </w:pPr>
            <w:r w:rsidRPr="00A52AEE">
              <w:rPr>
                <w:lang w:eastAsia="en-GB"/>
              </w:rPr>
              <w:t>2%</w:t>
            </w:r>
          </w:p>
        </w:tc>
        <w:tc>
          <w:tcPr>
            <w:tcW w:w="370" w:type="pct"/>
            <w:tcBorders>
              <w:top w:val="nil"/>
              <w:left w:val="nil"/>
              <w:bottom w:val="single" w:sz="4" w:space="0" w:color="auto"/>
              <w:right w:val="single" w:sz="4" w:space="0" w:color="auto"/>
            </w:tcBorders>
            <w:vAlign w:val="bottom"/>
          </w:tcPr>
          <w:p w14:paraId="7147D69F" w14:textId="4A5B6D95" w:rsidR="00AE31DC" w:rsidRPr="00A52AEE" w:rsidRDefault="00AE31DC" w:rsidP="00FE68E8">
            <w:pPr>
              <w:jc w:val="right"/>
              <w:rPr>
                <w:rFonts w:eastAsia="Times New Roman"/>
                <w:lang w:eastAsia="en-GB"/>
              </w:rPr>
            </w:pPr>
            <w:r w:rsidRPr="00A52AEE">
              <w:t>75</w:t>
            </w:r>
          </w:p>
        </w:tc>
      </w:tr>
    </w:tbl>
    <w:p w14:paraId="4FCA35AC" w14:textId="77777777" w:rsidR="00E012DF" w:rsidRPr="00A52AEE" w:rsidRDefault="00E012DF" w:rsidP="00A52AEE">
      <w:pPr>
        <w:rPr>
          <w:lang w:eastAsia="en-GB"/>
        </w:rPr>
      </w:pPr>
    </w:p>
    <w:p w14:paraId="700C923C" w14:textId="0CF07DAC" w:rsidR="00327301" w:rsidRPr="00A52AEE" w:rsidRDefault="00771DD0" w:rsidP="008D527A">
      <w:pPr>
        <w:pStyle w:val="Heading2"/>
      </w:pPr>
      <w:bookmarkStart w:id="83" w:name="_Toc429151313"/>
      <w:r>
        <w:t>4</w:t>
      </w:r>
      <w:r w:rsidR="007F7A33">
        <w:t>.9</w:t>
      </w:r>
      <w:r w:rsidR="00E012DF" w:rsidRPr="00A52AEE">
        <w:tab/>
      </w:r>
      <w:r w:rsidR="00167733" w:rsidRPr="00A52AEE">
        <w:t>London b</w:t>
      </w:r>
      <w:r w:rsidR="00327301" w:rsidRPr="00A52AEE">
        <w:t>orough and age breakdown</w:t>
      </w:r>
      <w:bookmarkEnd w:id="83"/>
    </w:p>
    <w:p w14:paraId="5C381F10" w14:textId="0386C52A" w:rsidR="00327301" w:rsidRPr="00A52AEE" w:rsidRDefault="00327301" w:rsidP="00A52AEE">
      <w:pPr>
        <w:rPr>
          <w:lang w:eastAsia="en-GB"/>
        </w:rPr>
      </w:pPr>
      <w:r w:rsidRPr="00A52AEE">
        <w:rPr>
          <w:lang w:eastAsia="en-GB"/>
        </w:rPr>
        <w:t xml:space="preserve">There are clear differences in the age profile of </w:t>
      </w:r>
      <w:r w:rsidR="00842186" w:rsidRPr="00A52AEE">
        <w:rPr>
          <w:lang w:eastAsia="en-GB"/>
        </w:rPr>
        <w:t>student</w:t>
      </w:r>
      <w:r w:rsidRPr="00A52AEE">
        <w:rPr>
          <w:lang w:eastAsia="en-GB"/>
        </w:rPr>
        <w:t xml:space="preserve">s at borough level. For example, Sutton, Kingston on Thames, Bromley and Bexley all have more mature </w:t>
      </w:r>
      <w:r w:rsidR="00842186" w:rsidRPr="00A52AEE">
        <w:rPr>
          <w:lang w:eastAsia="en-GB"/>
        </w:rPr>
        <w:t>student</w:t>
      </w:r>
      <w:r w:rsidRPr="00A52AEE">
        <w:rPr>
          <w:lang w:eastAsia="en-GB"/>
        </w:rPr>
        <w:t xml:space="preserve">s than say Waltham Forest or Tower Hamlets. Time series data also shows changes </w:t>
      </w:r>
      <w:r w:rsidR="00F702BE" w:rsidRPr="00A52AEE">
        <w:rPr>
          <w:lang w:eastAsia="en-GB"/>
        </w:rPr>
        <w:t>and</w:t>
      </w:r>
      <w:r w:rsidRPr="00A52AEE">
        <w:rPr>
          <w:lang w:eastAsia="en-GB"/>
        </w:rPr>
        <w:t xml:space="preserve"> these boroughs have seen a change in their age profile reflecting the general decline in mature </w:t>
      </w:r>
      <w:r w:rsidR="00842186" w:rsidRPr="00A52AEE">
        <w:rPr>
          <w:lang w:eastAsia="en-GB"/>
        </w:rPr>
        <w:t>student</w:t>
      </w:r>
      <w:r w:rsidRPr="00A52AEE">
        <w:rPr>
          <w:lang w:eastAsia="en-GB"/>
        </w:rPr>
        <w:t xml:space="preserve">s. The </w:t>
      </w:r>
      <w:r w:rsidR="00F702BE" w:rsidRPr="00A52AEE">
        <w:rPr>
          <w:lang w:eastAsia="en-GB"/>
        </w:rPr>
        <w:t>latest cohort in 2011-12 shows</w:t>
      </w:r>
      <w:r w:rsidRPr="00A52AEE">
        <w:rPr>
          <w:lang w:eastAsia="en-GB"/>
        </w:rPr>
        <w:t xml:space="preserve"> higher </w:t>
      </w:r>
      <w:r w:rsidR="00F702BE" w:rsidRPr="00A52AEE">
        <w:rPr>
          <w:lang w:eastAsia="en-GB"/>
        </w:rPr>
        <w:t>numbers</w:t>
      </w:r>
      <w:r w:rsidRPr="00A52AEE">
        <w:rPr>
          <w:lang w:eastAsia="en-GB"/>
        </w:rPr>
        <w:t xml:space="preserve"> of younger </w:t>
      </w:r>
      <w:r w:rsidR="00842186" w:rsidRPr="00A52AEE">
        <w:rPr>
          <w:lang w:eastAsia="en-GB"/>
        </w:rPr>
        <w:t>student</w:t>
      </w:r>
      <w:r w:rsidRPr="00A52AEE">
        <w:rPr>
          <w:lang w:eastAsia="en-GB"/>
        </w:rPr>
        <w:t>s than the earliest cohort in 2007-08</w:t>
      </w:r>
      <w:r w:rsidR="0012275C" w:rsidRPr="00A52AEE">
        <w:rPr>
          <w:lang w:eastAsia="en-GB"/>
        </w:rPr>
        <w:t xml:space="preserve"> and this affects some boroughs more than others.</w:t>
      </w:r>
    </w:p>
    <w:p w14:paraId="1FED6E92" w14:textId="77777777" w:rsidR="00327301" w:rsidRPr="00A52AEE" w:rsidRDefault="00327301" w:rsidP="00A52AEE">
      <w:pPr>
        <w:rPr>
          <w:lang w:eastAsia="en-GB"/>
        </w:rPr>
      </w:pPr>
    </w:p>
    <w:p w14:paraId="2603C761" w14:textId="52A20127" w:rsidR="00327301" w:rsidRPr="00855E4A" w:rsidRDefault="004D2866" w:rsidP="00A52AEE">
      <w:pPr>
        <w:rPr>
          <w:b/>
        </w:rPr>
      </w:pPr>
      <w:r>
        <w:rPr>
          <w:b/>
        </w:rPr>
        <w:t>Table 9</w:t>
      </w:r>
      <w:r w:rsidR="00327301" w:rsidRPr="00855E4A">
        <w:rPr>
          <w:b/>
        </w:rPr>
        <w:t xml:space="preserve">: Cohort breakdown by </w:t>
      </w:r>
      <w:r w:rsidR="00F702BE" w:rsidRPr="00855E4A">
        <w:rPr>
          <w:b/>
        </w:rPr>
        <w:t>age and London b</w:t>
      </w:r>
      <w:r w:rsidR="00327301" w:rsidRPr="00855E4A">
        <w:rPr>
          <w:b/>
        </w:rPr>
        <w:t>orough</w:t>
      </w:r>
    </w:p>
    <w:p w14:paraId="0BDC85C0" w14:textId="77777777" w:rsidR="00327301" w:rsidRPr="00A52AEE" w:rsidRDefault="00327301" w:rsidP="00A52AEE">
      <w:pPr>
        <w:rPr>
          <w:lang w:eastAsia="en-GB"/>
        </w:rPr>
      </w:pPr>
    </w:p>
    <w:tbl>
      <w:tblPr>
        <w:tblW w:w="51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1"/>
        <w:gridCol w:w="48"/>
        <w:gridCol w:w="515"/>
        <w:gridCol w:w="592"/>
        <w:gridCol w:w="561"/>
        <w:gridCol w:w="557"/>
        <w:gridCol w:w="557"/>
        <w:gridCol w:w="562"/>
        <w:gridCol w:w="559"/>
        <w:gridCol w:w="557"/>
        <w:gridCol w:w="562"/>
        <w:gridCol w:w="555"/>
        <w:gridCol w:w="555"/>
        <w:gridCol w:w="562"/>
        <w:gridCol w:w="555"/>
        <w:gridCol w:w="553"/>
        <w:gridCol w:w="678"/>
      </w:tblGrid>
      <w:tr w:rsidR="00855E4A" w:rsidRPr="00855E4A" w14:paraId="208E7532" w14:textId="77777777" w:rsidTr="00DB2D18">
        <w:trPr>
          <w:trHeight w:val="366"/>
          <w:tblHeader/>
        </w:trPr>
        <w:tc>
          <w:tcPr>
            <w:tcW w:w="674" w:type="pct"/>
            <w:gridSpan w:val="2"/>
            <w:vMerge w:val="restart"/>
            <w:tcBorders>
              <w:top w:val="single" w:sz="4" w:space="0" w:color="auto"/>
              <w:left w:val="single" w:sz="4" w:space="0" w:color="auto"/>
              <w:right w:val="single" w:sz="12" w:space="0" w:color="auto"/>
            </w:tcBorders>
            <w:shd w:val="clear" w:color="auto" w:fill="1F4E79" w:themeFill="accent1" w:themeFillShade="80"/>
            <w:noWrap/>
            <w:vAlign w:val="center"/>
            <w:hideMark/>
          </w:tcPr>
          <w:p w14:paraId="20E14EB8" w14:textId="429D9EF6" w:rsidR="00327301" w:rsidRPr="00855E4A" w:rsidRDefault="00855E4A" w:rsidP="00855E4A">
            <w:pPr>
              <w:rPr>
                <w:b/>
                <w:color w:val="FFFFFF" w:themeColor="background1"/>
                <w:lang w:eastAsia="en-GB"/>
              </w:rPr>
            </w:pPr>
            <w:r>
              <w:rPr>
                <w:b/>
                <w:color w:val="FFFFFF" w:themeColor="background1"/>
                <w:lang w:eastAsia="en-GB"/>
              </w:rPr>
              <w:t>London b</w:t>
            </w:r>
            <w:r w:rsidR="00327301" w:rsidRPr="00855E4A">
              <w:rPr>
                <w:b/>
                <w:color w:val="FFFFFF" w:themeColor="background1"/>
                <w:lang w:eastAsia="en-GB"/>
              </w:rPr>
              <w:t>orough</w:t>
            </w:r>
          </w:p>
        </w:tc>
        <w:tc>
          <w:tcPr>
            <w:tcW w:w="851" w:type="pct"/>
            <w:gridSpan w:val="3"/>
            <w:tcBorders>
              <w:top w:val="single" w:sz="4"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7E95BDBC"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2007-08</w:t>
            </w:r>
          </w:p>
        </w:tc>
        <w:tc>
          <w:tcPr>
            <w:tcW w:w="855" w:type="pct"/>
            <w:gridSpan w:val="3"/>
            <w:tcBorders>
              <w:top w:val="single" w:sz="4" w:space="0" w:color="auto"/>
              <w:left w:val="single" w:sz="12" w:space="0" w:color="auto"/>
              <w:bottom w:val="single" w:sz="6" w:space="0" w:color="auto"/>
              <w:right w:val="single" w:sz="12" w:space="0" w:color="auto"/>
            </w:tcBorders>
            <w:shd w:val="clear" w:color="auto" w:fill="1F4E79" w:themeFill="accent1" w:themeFillShade="80"/>
            <w:noWrap/>
            <w:vAlign w:val="center"/>
            <w:hideMark/>
          </w:tcPr>
          <w:p w14:paraId="519CCDC8"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2008-09</w:t>
            </w:r>
          </w:p>
        </w:tc>
        <w:tc>
          <w:tcPr>
            <w:tcW w:w="856" w:type="pct"/>
            <w:gridSpan w:val="3"/>
            <w:tcBorders>
              <w:top w:val="single" w:sz="4" w:space="0" w:color="auto"/>
              <w:left w:val="single" w:sz="12" w:space="0" w:color="auto"/>
              <w:bottom w:val="single" w:sz="6" w:space="0" w:color="auto"/>
              <w:right w:val="single" w:sz="12" w:space="0" w:color="auto"/>
            </w:tcBorders>
            <w:shd w:val="clear" w:color="auto" w:fill="1F4E79" w:themeFill="accent1" w:themeFillShade="80"/>
            <w:noWrap/>
            <w:vAlign w:val="center"/>
            <w:hideMark/>
          </w:tcPr>
          <w:p w14:paraId="078F4E7F"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2009-10</w:t>
            </w:r>
          </w:p>
        </w:tc>
        <w:tc>
          <w:tcPr>
            <w:tcW w:w="853" w:type="pct"/>
            <w:gridSpan w:val="3"/>
            <w:tcBorders>
              <w:top w:val="single" w:sz="4" w:space="0" w:color="auto"/>
              <w:left w:val="single" w:sz="12" w:space="0" w:color="auto"/>
              <w:bottom w:val="single" w:sz="6" w:space="0" w:color="auto"/>
              <w:right w:val="single" w:sz="12" w:space="0" w:color="auto"/>
            </w:tcBorders>
            <w:shd w:val="clear" w:color="auto" w:fill="1F4E79" w:themeFill="accent1" w:themeFillShade="80"/>
            <w:noWrap/>
            <w:vAlign w:val="center"/>
            <w:hideMark/>
          </w:tcPr>
          <w:p w14:paraId="1FC313A3"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2010-11</w:t>
            </w:r>
          </w:p>
        </w:tc>
        <w:tc>
          <w:tcPr>
            <w:tcW w:w="911" w:type="pct"/>
            <w:gridSpan w:val="3"/>
            <w:tcBorders>
              <w:top w:val="single" w:sz="4" w:space="0" w:color="auto"/>
              <w:left w:val="single" w:sz="12" w:space="0" w:color="auto"/>
              <w:right w:val="single" w:sz="4" w:space="0" w:color="auto"/>
            </w:tcBorders>
            <w:shd w:val="clear" w:color="auto" w:fill="1F4E79" w:themeFill="accent1" w:themeFillShade="80"/>
            <w:noWrap/>
            <w:vAlign w:val="center"/>
            <w:hideMark/>
          </w:tcPr>
          <w:p w14:paraId="19D52238"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2011-12</w:t>
            </w:r>
          </w:p>
        </w:tc>
      </w:tr>
      <w:tr w:rsidR="00DB2D18" w:rsidRPr="00855E4A" w14:paraId="2049E755" w14:textId="77777777" w:rsidTr="00DB2D18">
        <w:trPr>
          <w:cantSplit/>
          <w:trHeight w:val="1689"/>
          <w:tblHeader/>
        </w:trPr>
        <w:tc>
          <w:tcPr>
            <w:tcW w:w="674" w:type="pct"/>
            <w:gridSpan w:val="2"/>
            <w:vMerge/>
            <w:tcBorders>
              <w:left w:val="single" w:sz="4" w:space="0" w:color="auto"/>
              <w:right w:val="single" w:sz="12" w:space="0" w:color="auto"/>
            </w:tcBorders>
            <w:shd w:val="clear" w:color="auto" w:fill="1F4E79" w:themeFill="accent1" w:themeFillShade="80"/>
            <w:vAlign w:val="center"/>
            <w:hideMark/>
          </w:tcPr>
          <w:p w14:paraId="1432B125" w14:textId="77777777" w:rsidR="00327301" w:rsidRPr="00855E4A" w:rsidRDefault="00327301" w:rsidP="00A52AEE">
            <w:pPr>
              <w:rPr>
                <w:b/>
                <w:color w:val="FFFFFF" w:themeColor="background1"/>
                <w:lang w:eastAsia="en-GB"/>
              </w:rPr>
            </w:pPr>
          </w:p>
        </w:tc>
        <w:tc>
          <w:tcPr>
            <w:tcW w:w="263" w:type="pct"/>
            <w:tcBorders>
              <w:top w:val="single" w:sz="4" w:space="0" w:color="auto"/>
              <w:left w:val="single" w:sz="12" w:space="0" w:color="auto"/>
              <w:bottom w:val="single" w:sz="4" w:space="0" w:color="auto"/>
              <w:right w:val="nil"/>
            </w:tcBorders>
            <w:shd w:val="clear" w:color="auto" w:fill="1F4E79" w:themeFill="accent1" w:themeFillShade="80"/>
            <w:textDirection w:val="btLr"/>
            <w:vAlign w:val="center"/>
            <w:hideMark/>
          </w:tcPr>
          <w:p w14:paraId="77C291D5" w14:textId="0DDDEF58" w:rsidR="00327301" w:rsidRPr="00855E4A" w:rsidRDefault="00327301" w:rsidP="00855E4A">
            <w:pPr>
              <w:jc w:val="center"/>
              <w:rPr>
                <w:b/>
                <w:color w:val="FFFFFF" w:themeColor="background1"/>
                <w:lang w:eastAsia="en-GB"/>
              </w:rPr>
            </w:pPr>
            <w:r w:rsidRPr="00855E4A">
              <w:rPr>
                <w:b/>
                <w:color w:val="FFFFFF" w:themeColor="background1"/>
                <w:lang w:eastAsia="en-GB"/>
              </w:rPr>
              <w:t>Less than 20</w:t>
            </w:r>
          </w:p>
        </w:tc>
        <w:tc>
          <w:tcPr>
            <w:tcW w:w="302" w:type="pct"/>
            <w:tcBorders>
              <w:top w:val="single" w:sz="4" w:space="0" w:color="auto"/>
              <w:left w:val="nil"/>
              <w:bottom w:val="single" w:sz="4" w:space="0" w:color="auto"/>
              <w:right w:val="nil"/>
            </w:tcBorders>
            <w:shd w:val="clear" w:color="auto" w:fill="1F4E79" w:themeFill="accent1" w:themeFillShade="80"/>
            <w:textDirection w:val="btLr"/>
            <w:vAlign w:val="center"/>
            <w:hideMark/>
          </w:tcPr>
          <w:p w14:paraId="7E619DD3"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20-24</w:t>
            </w:r>
          </w:p>
        </w:tc>
        <w:tc>
          <w:tcPr>
            <w:tcW w:w="285" w:type="pct"/>
            <w:tcBorders>
              <w:top w:val="single" w:sz="4" w:space="0" w:color="auto"/>
              <w:left w:val="nil"/>
              <w:bottom w:val="single" w:sz="4" w:space="0" w:color="auto"/>
              <w:right w:val="single" w:sz="12" w:space="0" w:color="auto"/>
            </w:tcBorders>
            <w:shd w:val="clear" w:color="auto" w:fill="1F4E79" w:themeFill="accent1" w:themeFillShade="80"/>
            <w:textDirection w:val="btLr"/>
            <w:vAlign w:val="center"/>
            <w:hideMark/>
          </w:tcPr>
          <w:p w14:paraId="01F094D4"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25 plus</w:t>
            </w:r>
          </w:p>
        </w:tc>
        <w:tc>
          <w:tcPr>
            <w:tcW w:w="284" w:type="pct"/>
            <w:tcBorders>
              <w:top w:val="single" w:sz="6" w:space="0" w:color="auto"/>
              <w:left w:val="single" w:sz="12" w:space="0" w:color="auto"/>
              <w:bottom w:val="single" w:sz="4" w:space="0" w:color="auto"/>
            </w:tcBorders>
            <w:shd w:val="clear" w:color="auto" w:fill="1F4E79" w:themeFill="accent1" w:themeFillShade="80"/>
            <w:textDirection w:val="btLr"/>
            <w:vAlign w:val="center"/>
            <w:hideMark/>
          </w:tcPr>
          <w:p w14:paraId="058A2F28"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Less than 20</w:t>
            </w:r>
          </w:p>
        </w:tc>
        <w:tc>
          <w:tcPr>
            <w:tcW w:w="284" w:type="pct"/>
            <w:tcBorders>
              <w:top w:val="single" w:sz="6" w:space="0" w:color="auto"/>
              <w:bottom w:val="single" w:sz="4" w:space="0" w:color="auto"/>
            </w:tcBorders>
            <w:shd w:val="clear" w:color="auto" w:fill="1F4E79" w:themeFill="accent1" w:themeFillShade="80"/>
            <w:textDirection w:val="btLr"/>
            <w:vAlign w:val="center"/>
            <w:hideMark/>
          </w:tcPr>
          <w:p w14:paraId="213FD678"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20-24</w:t>
            </w:r>
          </w:p>
        </w:tc>
        <w:tc>
          <w:tcPr>
            <w:tcW w:w="287" w:type="pct"/>
            <w:tcBorders>
              <w:top w:val="single" w:sz="6" w:space="0" w:color="auto"/>
              <w:bottom w:val="single" w:sz="4" w:space="0" w:color="auto"/>
              <w:right w:val="single" w:sz="12" w:space="0" w:color="auto"/>
            </w:tcBorders>
            <w:shd w:val="clear" w:color="auto" w:fill="1F4E79" w:themeFill="accent1" w:themeFillShade="80"/>
            <w:textDirection w:val="btLr"/>
            <w:vAlign w:val="center"/>
            <w:hideMark/>
          </w:tcPr>
          <w:p w14:paraId="29138843"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25 plus</w:t>
            </w:r>
          </w:p>
        </w:tc>
        <w:tc>
          <w:tcPr>
            <w:tcW w:w="285" w:type="pct"/>
            <w:tcBorders>
              <w:top w:val="single" w:sz="6" w:space="0" w:color="auto"/>
              <w:left w:val="single" w:sz="12" w:space="0" w:color="auto"/>
              <w:bottom w:val="single" w:sz="4" w:space="0" w:color="auto"/>
            </w:tcBorders>
            <w:shd w:val="clear" w:color="auto" w:fill="1F4E79" w:themeFill="accent1" w:themeFillShade="80"/>
            <w:textDirection w:val="btLr"/>
            <w:vAlign w:val="center"/>
            <w:hideMark/>
          </w:tcPr>
          <w:p w14:paraId="6D5F324A"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Less than 20</w:t>
            </w:r>
          </w:p>
        </w:tc>
        <w:tc>
          <w:tcPr>
            <w:tcW w:w="284" w:type="pct"/>
            <w:tcBorders>
              <w:top w:val="single" w:sz="6" w:space="0" w:color="auto"/>
              <w:bottom w:val="single" w:sz="4" w:space="0" w:color="auto"/>
            </w:tcBorders>
            <w:shd w:val="clear" w:color="auto" w:fill="1F4E79" w:themeFill="accent1" w:themeFillShade="80"/>
            <w:textDirection w:val="btLr"/>
            <w:vAlign w:val="center"/>
            <w:hideMark/>
          </w:tcPr>
          <w:p w14:paraId="78192F10"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20-24</w:t>
            </w:r>
          </w:p>
        </w:tc>
        <w:tc>
          <w:tcPr>
            <w:tcW w:w="287" w:type="pct"/>
            <w:tcBorders>
              <w:top w:val="single" w:sz="6" w:space="0" w:color="auto"/>
              <w:bottom w:val="single" w:sz="4" w:space="0" w:color="auto"/>
              <w:right w:val="single" w:sz="12" w:space="0" w:color="auto"/>
            </w:tcBorders>
            <w:shd w:val="clear" w:color="auto" w:fill="1F4E79" w:themeFill="accent1" w:themeFillShade="80"/>
            <w:textDirection w:val="btLr"/>
            <w:vAlign w:val="center"/>
            <w:hideMark/>
          </w:tcPr>
          <w:p w14:paraId="792F69E0"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25 plus</w:t>
            </w:r>
          </w:p>
        </w:tc>
        <w:tc>
          <w:tcPr>
            <w:tcW w:w="283" w:type="pct"/>
            <w:tcBorders>
              <w:top w:val="single" w:sz="6" w:space="0" w:color="auto"/>
              <w:left w:val="single" w:sz="12" w:space="0" w:color="auto"/>
              <w:bottom w:val="single" w:sz="4" w:space="0" w:color="auto"/>
            </w:tcBorders>
            <w:shd w:val="clear" w:color="auto" w:fill="1F4E79" w:themeFill="accent1" w:themeFillShade="80"/>
            <w:textDirection w:val="btLr"/>
            <w:vAlign w:val="center"/>
            <w:hideMark/>
          </w:tcPr>
          <w:p w14:paraId="2AFDBA53"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Less than 20</w:t>
            </w:r>
          </w:p>
        </w:tc>
        <w:tc>
          <w:tcPr>
            <w:tcW w:w="283" w:type="pct"/>
            <w:tcBorders>
              <w:top w:val="single" w:sz="6" w:space="0" w:color="auto"/>
              <w:bottom w:val="single" w:sz="4" w:space="0" w:color="auto"/>
            </w:tcBorders>
            <w:shd w:val="clear" w:color="auto" w:fill="1F4E79" w:themeFill="accent1" w:themeFillShade="80"/>
            <w:textDirection w:val="btLr"/>
            <w:vAlign w:val="center"/>
            <w:hideMark/>
          </w:tcPr>
          <w:p w14:paraId="62E1D70B"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20-24</w:t>
            </w:r>
          </w:p>
        </w:tc>
        <w:tc>
          <w:tcPr>
            <w:tcW w:w="287" w:type="pct"/>
            <w:tcBorders>
              <w:top w:val="single" w:sz="6" w:space="0" w:color="auto"/>
              <w:bottom w:val="single" w:sz="4" w:space="0" w:color="auto"/>
              <w:right w:val="single" w:sz="12" w:space="0" w:color="auto"/>
            </w:tcBorders>
            <w:shd w:val="clear" w:color="auto" w:fill="1F4E79" w:themeFill="accent1" w:themeFillShade="80"/>
            <w:textDirection w:val="btLr"/>
            <w:vAlign w:val="center"/>
            <w:hideMark/>
          </w:tcPr>
          <w:p w14:paraId="0D03B97C"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25 plus</w:t>
            </w:r>
          </w:p>
        </w:tc>
        <w:tc>
          <w:tcPr>
            <w:tcW w:w="283" w:type="pct"/>
            <w:tcBorders>
              <w:left w:val="single" w:sz="12" w:space="0" w:color="auto"/>
              <w:bottom w:val="single" w:sz="4" w:space="0" w:color="auto"/>
            </w:tcBorders>
            <w:shd w:val="clear" w:color="auto" w:fill="1F4E79" w:themeFill="accent1" w:themeFillShade="80"/>
            <w:textDirection w:val="btLr"/>
            <w:vAlign w:val="center"/>
            <w:hideMark/>
          </w:tcPr>
          <w:p w14:paraId="62EF8085"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Less than 20</w:t>
            </w:r>
          </w:p>
        </w:tc>
        <w:tc>
          <w:tcPr>
            <w:tcW w:w="282" w:type="pct"/>
            <w:tcBorders>
              <w:bottom w:val="single" w:sz="4" w:space="0" w:color="auto"/>
            </w:tcBorders>
            <w:shd w:val="clear" w:color="auto" w:fill="1F4E79" w:themeFill="accent1" w:themeFillShade="80"/>
            <w:textDirection w:val="btLr"/>
            <w:vAlign w:val="center"/>
            <w:hideMark/>
          </w:tcPr>
          <w:p w14:paraId="19224A2E"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20-24</w:t>
            </w:r>
          </w:p>
        </w:tc>
        <w:tc>
          <w:tcPr>
            <w:tcW w:w="346" w:type="pct"/>
            <w:tcBorders>
              <w:bottom w:val="single" w:sz="4" w:space="0" w:color="auto"/>
              <w:right w:val="single" w:sz="4" w:space="0" w:color="auto"/>
            </w:tcBorders>
            <w:shd w:val="clear" w:color="auto" w:fill="1F4E79" w:themeFill="accent1" w:themeFillShade="80"/>
            <w:textDirection w:val="btLr"/>
            <w:vAlign w:val="center"/>
            <w:hideMark/>
          </w:tcPr>
          <w:p w14:paraId="538494B6" w14:textId="77777777" w:rsidR="00327301" w:rsidRPr="00855E4A" w:rsidRDefault="00327301" w:rsidP="00855E4A">
            <w:pPr>
              <w:jc w:val="center"/>
              <w:rPr>
                <w:b/>
                <w:color w:val="FFFFFF" w:themeColor="background1"/>
                <w:lang w:eastAsia="en-GB"/>
              </w:rPr>
            </w:pPr>
            <w:r w:rsidRPr="00855E4A">
              <w:rPr>
                <w:b/>
                <w:color w:val="FFFFFF" w:themeColor="background1"/>
                <w:lang w:eastAsia="en-GB"/>
              </w:rPr>
              <w:t>25 plus</w:t>
            </w:r>
          </w:p>
        </w:tc>
      </w:tr>
      <w:tr w:rsidR="00750996" w:rsidRPr="00A52AEE" w14:paraId="03779624"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4E3C59DB" w14:textId="77777777" w:rsidR="00327301" w:rsidRPr="00DB2D18" w:rsidRDefault="00327301" w:rsidP="00A52AEE">
            <w:pPr>
              <w:rPr>
                <w:sz w:val="22"/>
                <w:lang w:eastAsia="en-GB"/>
              </w:rPr>
            </w:pPr>
            <w:r w:rsidRPr="00DB2D18">
              <w:rPr>
                <w:sz w:val="22"/>
                <w:lang w:eastAsia="en-GB"/>
              </w:rPr>
              <w:t>Barking and Dagenham</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0650" w14:textId="77777777" w:rsidR="00327301" w:rsidRPr="00DB2D18" w:rsidRDefault="00327301" w:rsidP="00FE68E8">
            <w:pPr>
              <w:jc w:val="right"/>
              <w:rPr>
                <w:sz w:val="18"/>
                <w:lang w:eastAsia="en-GB"/>
              </w:rPr>
            </w:pPr>
            <w:r w:rsidRPr="00DB2D18">
              <w:rPr>
                <w:sz w:val="18"/>
                <w:lang w:eastAsia="en-GB"/>
              </w:rPr>
              <w:t>54%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F3083"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4D865" w14:textId="77777777" w:rsidR="00327301" w:rsidRPr="00DB2D18" w:rsidRDefault="00327301" w:rsidP="00FE68E8">
            <w:pPr>
              <w:jc w:val="right"/>
              <w:rPr>
                <w:sz w:val="18"/>
                <w:lang w:eastAsia="en-GB"/>
              </w:rPr>
            </w:pPr>
            <w:r w:rsidRPr="00DB2D18">
              <w:rPr>
                <w:sz w:val="18"/>
                <w:lang w:eastAsia="en-GB"/>
              </w:rPr>
              <w:t>34%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8D7B" w14:textId="77777777" w:rsidR="00327301" w:rsidRPr="00DB2D18" w:rsidRDefault="00327301" w:rsidP="00FE68E8">
            <w:pPr>
              <w:jc w:val="right"/>
              <w:rPr>
                <w:sz w:val="18"/>
                <w:lang w:eastAsia="en-GB"/>
              </w:rPr>
            </w:pPr>
            <w:r w:rsidRPr="00DB2D18">
              <w:rPr>
                <w:sz w:val="18"/>
                <w:lang w:eastAsia="en-GB"/>
              </w:rPr>
              <w:t>49%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8C04"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313F" w14:textId="77777777" w:rsidR="00327301" w:rsidRPr="00DB2D18" w:rsidRDefault="00327301" w:rsidP="00FE68E8">
            <w:pPr>
              <w:jc w:val="right"/>
              <w:rPr>
                <w:sz w:val="18"/>
                <w:lang w:eastAsia="en-GB"/>
              </w:rPr>
            </w:pPr>
            <w:r w:rsidRPr="00DB2D18">
              <w:rPr>
                <w:sz w:val="18"/>
                <w:lang w:eastAsia="en-GB"/>
              </w:rPr>
              <w:t>38%</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15C7"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4F9B"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BEC2" w14:textId="77777777" w:rsidR="00327301" w:rsidRPr="00DB2D18" w:rsidRDefault="00327301" w:rsidP="00FE68E8">
            <w:pPr>
              <w:jc w:val="right"/>
              <w:rPr>
                <w:sz w:val="18"/>
                <w:lang w:eastAsia="en-GB"/>
              </w:rPr>
            </w:pPr>
            <w:r w:rsidRPr="00DB2D18">
              <w:rPr>
                <w:sz w:val="18"/>
                <w:lang w:eastAsia="en-GB"/>
              </w:rPr>
              <w:t>38%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DCF6" w14:textId="77777777" w:rsidR="00327301" w:rsidRPr="00DB2D18" w:rsidRDefault="00327301" w:rsidP="00FE68E8">
            <w:pPr>
              <w:jc w:val="right"/>
              <w:rPr>
                <w:sz w:val="18"/>
                <w:lang w:eastAsia="en-GB"/>
              </w:rPr>
            </w:pPr>
            <w:r w:rsidRPr="00DB2D18">
              <w:rPr>
                <w:sz w:val="18"/>
                <w:lang w:eastAsia="en-GB"/>
              </w:rPr>
              <w:t>57%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A3F5"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B8A3" w14:textId="77777777" w:rsidR="00327301" w:rsidRPr="00DB2D18" w:rsidRDefault="00327301" w:rsidP="00FE68E8">
            <w:pPr>
              <w:jc w:val="right"/>
              <w:rPr>
                <w:sz w:val="18"/>
                <w:lang w:eastAsia="en-GB"/>
              </w:rPr>
            </w:pPr>
            <w:r w:rsidRPr="00DB2D18">
              <w:rPr>
                <w:sz w:val="18"/>
                <w:lang w:eastAsia="en-GB"/>
              </w:rPr>
              <w:t>28%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F565" w14:textId="77777777" w:rsidR="00327301" w:rsidRPr="00DB2D18" w:rsidRDefault="00327301" w:rsidP="00FE68E8">
            <w:pPr>
              <w:jc w:val="right"/>
              <w:rPr>
                <w:sz w:val="18"/>
                <w:lang w:eastAsia="en-GB"/>
              </w:rPr>
            </w:pPr>
            <w:r w:rsidRPr="00DB2D18">
              <w:rPr>
                <w:sz w:val="18"/>
                <w:lang w:eastAsia="en-GB"/>
              </w:rPr>
              <w:t>68%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F5AA" w14:textId="77777777" w:rsidR="00327301" w:rsidRPr="00DB2D18" w:rsidRDefault="00327301" w:rsidP="00FE68E8">
            <w:pPr>
              <w:jc w:val="right"/>
              <w:rPr>
                <w:sz w:val="18"/>
                <w:lang w:eastAsia="en-GB"/>
              </w:rPr>
            </w:pPr>
            <w:r w:rsidRPr="00DB2D18">
              <w:rPr>
                <w:sz w:val="18"/>
                <w:lang w:eastAsia="en-GB"/>
              </w:rPr>
              <w:t>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549A9" w14:textId="77777777" w:rsidR="00327301" w:rsidRPr="00DB2D18" w:rsidRDefault="00327301" w:rsidP="00FE68E8">
            <w:pPr>
              <w:jc w:val="right"/>
              <w:rPr>
                <w:sz w:val="18"/>
                <w:lang w:eastAsia="en-GB"/>
              </w:rPr>
            </w:pPr>
            <w:r w:rsidRPr="00DB2D18">
              <w:rPr>
                <w:sz w:val="18"/>
                <w:lang w:eastAsia="en-GB"/>
              </w:rPr>
              <w:t>23%</w:t>
            </w:r>
          </w:p>
        </w:tc>
      </w:tr>
      <w:tr w:rsidR="00750996" w:rsidRPr="00A52AEE" w14:paraId="4ECDD9A4"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1DC789F8" w14:textId="77777777" w:rsidR="00327301" w:rsidRPr="00DB2D18" w:rsidRDefault="00327301" w:rsidP="00A52AEE">
            <w:pPr>
              <w:rPr>
                <w:sz w:val="22"/>
                <w:lang w:eastAsia="en-GB"/>
              </w:rPr>
            </w:pPr>
            <w:r w:rsidRPr="00DB2D18">
              <w:rPr>
                <w:sz w:val="22"/>
                <w:lang w:eastAsia="en-GB"/>
              </w:rPr>
              <w:t>Barnet</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ACFD" w14:textId="77777777" w:rsidR="00327301" w:rsidRPr="00DB2D18" w:rsidRDefault="00327301" w:rsidP="00FE68E8">
            <w:pPr>
              <w:jc w:val="right"/>
              <w:rPr>
                <w:sz w:val="18"/>
                <w:lang w:eastAsia="en-GB"/>
              </w:rPr>
            </w:pPr>
            <w:r w:rsidRPr="00DB2D18">
              <w:rPr>
                <w:sz w:val="18"/>
                <w:lang w:eastAsia="en-GB"/>
              </w:rPr>
              <w:t>51%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1ABC"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7A4E" w14:textId="77777777" w:rsidR="00327301" w:rsidRPr="00DB2D18" w:rsidRDefault="00327301" w:rsidP="00FE68E8">
            <w:pPr>
              <w:jc w:val="right"/>
              <w:rPr>
                <w:sz w:val="18"/>
                <w:lang w:eastAsia="en-GB"/>
              </w:rPr>
            </w:pPr>
            <w:r w:rsidRPr="00DB2D18">
              <w:rPr>
                <w:sz w:val="18"/>
                <w:lang w:eastAsia="en-GB"/>
              </w:rPr>
              <w:t>36%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04A3" w14:textId="77777777" w:rsidR="00327301" w:rsidRPr="00DB2D18" w:rsidRDefault="00327301" w:rsidP="00FE68E8">
            <w:pPr>
              <w:jc w:val="right"/>
              <w:rPr>
                <w:sz w:val="18"/>
                <w:lang w:eastAsia="en-GB"/>
              </w:rPr>
            </w:pPr>
            <w:r w:rsidRPr="00DB2D18">
              <w:rPr>
                <w:sz w:val="18"/>
                <w:lang w:eastAsia="en-GB"/>
              </w:rPr>
              <w:t>52%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B642"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EE209" w14:textId="77777777" w:rsidR="00327301" w:rsidRPr="00DB2D18" w:rsidRDefault="00327301" w:rsidP="00FE68E8">
            <w:pPr>
              <w:jc w:val="right"/>
              <w:rPr>
                <w:sz w:val="18"/>
                <w:lang w:eastAsia="en-GB"/>
              </w:rPr>
            </w:pPr>
            <w:r w:rsidRPr="00DB2D18">
              <w:rPr>
                <w:sz w:val="18"/>
                <w:lang w:eastAsia="en-GB"/>
              </w:rPr>
              <w:t>36%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47DE" w14:textId="77777777" w:rsidR="00327301" w:rsidRPr="00DB2D18" w:rsidRDefault="00327301" w:rsidP="00FE68E8">
            <w:pPr>
              <w:jc w:val="right"/>
              <w:rPr>
                <w:sz w:val="18"/>
                <w:lang w:eastAsia="en-GB"/>
              </w:rPr>
            </w:pPr>
            <w:r w:rsidRPr="00DB2D18">
              <w:rPr>
                <w:sz w:val="18"/>
                <w:lang w:eastAsia="en-GB"/>
              </w:rPr>
              <w:t>54%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C5E6"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3CF83" w14:textId="77777777" w:rsidR="00327301" w:rsidRPr="00DB2D18" w:rsidRDefault="00327301" w:rsidP="00FE68E8">
            <w:pPr>
              <w:jc w:val="right"/>
              <w:rPr>
                <w:sz w:val="18"/>
                <w:lang w:eastAsia="en-GB"/>
              </w:rPr>
            </w:pPr>
            <w:r w:rsidRPr="00DB2D18">
              <w:rPr>
                <w:sz w:val="18"/>
                <w:lang w:eastAsia="en-GB"/>
              </w:rPr>
              <w:t>34%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AEF3" w14:textId="77777777" w:rsidR="00327301" w:rsidRPr="00DB2D18" w:rsidRDefault="00327301" w:rsidP="00FE68E8">
            <w:pPr>
              <w:jc w:val="right"/>
              <w:rPr>
                <w:sz w:val="18"/>
                <w:lang w:eastAsia="en-GB"/>
              </w:rPr>
            </w:pPr>
            <w:r w:rsidRPr="00DB2D18">
              <w:rPr>
                <w:sz w:val="18"/>
                <w:lang w:eastAsia="en-GB"/>
              </w:rPr>
              <w:t>57%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A2BA"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F9C8E" w14:textId="77777777" w:rsidR="00327301" w:rsidRPr="00DB2D18" w:rsidRDefault="00327301" w:rsidP="00FE68E8">
            <w:pPr>
              <w:jc w:val="right"/>
              <w:rPr>
                <w:sz w:val="18"/>
                <w:lang w:eastAsia="en-GB"/>
              </w:rPr>
            </w:pPr>
            <w:r w:rsidRPr="00DB2D18">
              <w:rPr>
                <w:sz w:val="18"/>
                <w:lang w:eastAsia="en-GB"/>
              </w:rPr>
              <w:t>32%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5A51D" w14:textId="77777777" w:rsidR="00327301" w:rsidRPr="00DB2D18" w:rsidRDefault="00327301" w:rsidP="00FE68E8">
            <w:pPr>
              <w:jc w:val="right"/>
              <w:rPr>
                <w:sz w:val="18"/>
                <w:lang w:eastAsia="en-GB"/>
              </w:rPr>
            </w:pPr>
            <w:r w:rsidRPr="00DB2D18">
              <w:rPr>
                <w:sz w:val="18"/>
                <w:lang w:eastAsia="en-GB"/>
              </w:rPr>
              <w:t>62%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25D8"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C747" w14:textId="77777777" w:rsidR="00327301" w:rsidRPr="00DB2D18" w:rsidRDefault="00327301" w:rsidP="00FE68E8">
            <w:pPr>
              <w:jc w:val="right"/>
              <w:rPr>
                <w:sz w:val="18"/>
                <w:lang w:eastAsia="en-GB"/>
              </w:rPr>
            </w:pPr>
            <w:r w:rsidRPr="00DB2D18">
              <w:rPr>
                <w:sz w:val="18"/>
                <w:lang w:eastAsia="en-GB"/>
              </w:rPr>
              <w:t>27%</w:t>
            </w:r>
          </w:p>
        </w:tc>
      </w:tr>
      <w:tr w:rsidR="00750996" w:rsidRPr="00A52AEE" w14:paraId="42F346C2"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4A23432B" w14:textId="77777777" w:rsidR="00327301" w:rsidRPr="00DB2D18" w:rsidRDefault="00327301" w:rsidP="00A52AEE">
            <w:pPr>
              <w:rPr>
                <w:sz w:val="22"/>
                <w:lang w:eastAsia="en-GB"/>
              </w:rPr>
            </w:pPr>
            <w:r w:rsidRPr="00DB2D18">
              <w:rPr>
                <w:sz w:val="22"/>
                <w:lang w:eastAsia="en-GB"/>
              </w:rPr>
              <w:t>Bexley</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9340" w14:textId="77777777" w:rsidR="00327301" w:rsidRPr="00DB2D18" w:rsidRDefault="00327301" w:rsidP="00FE68E8">
            <w:pPr>
              <w:jc w:val="right"/>
              <w:rPr>
                <w:sz w:val="18"/>
                <w:lang w:eastAsia="en-GB"/>
              </w:rPr>
            </w:pPr>
            <w:r w:rsidRPr="00DB2D18">
              <w:rPr>
                <w:sz w:val="18"/>
                <w:lang w:eastAsia="en-GB"/>
              </w:rPr>
              <w:t>37%</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D4CC" w14:textId="77777777" w:rsidR="00327301" w:rsidRPr="00DB2D18" w:rsidRDefault="00327301" w:rsidP="00FE68E8">
            <w:pPr>
              <w:jc w:val="right"/>
              <w:rPr>
                <w:sz w:val="18"/>
                <w:lang w:eastAsia="en-GB"/>
              </w:rPr>
            </w:pPr>
            <w:r w:rsidRPr="00DB2D18">
              <w:rPr>
                <w:sz w:val="18"/>
                <w:lang w:eastAsia="en-GB"/>
              </w:rPr>
              <w:t>15%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41B8" w14:textId="77777777" w:rsidR="00327301" w:rsidRPr="00DB2D18" w:rsidRDefault="00327301" w:rsidP="00FE68E8">
            <w:pPr>
              <w:jc w:val="right"/>
              <w:rPr>
                <w:sz w:val="18"/>
                <w:lang w:eastAsia="en-GB"/>
              </w:rPr>
            </w:pPr>
            <w:r w:rsidRPr="00DB2D18">
              <w:rPr>
                <w:sz w:val="18"/>
                <w:lang w:eastAsia="en-GB"/>
              </w:rPr>
              <w:t>48%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FEBF" w14:textId="77777777" w:rsidR="00327301" w:rsidRPr="00DB2D18" w:rsidRDefault="00327301" w:rsidP="00FE68E8">
            <w:pPr>
              <w:jc w:val="right"/>
              <w:rPr>
                <w:sz w:val="18"/>
                <w:lang w:eastAsia="en-GB"/>
              </w:rPr>
            </w:pPr>
            <w:r w:rsidRPr="00DB2D18">
              <w:rPr>
                <w:sz w:val="18"/>
                <w:lang w:eastAsia="en-GB"/>
              </w:rPr>
              <w:t>29%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FA322"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F63E" w14:textId="77777777" w:rsidR="00327301" w:rsidRPr="00DB2D18" w:rsidRDefault="00327301" w:rsidP="00FE68E8">
            <w:pPr>
              <w:jc w:val="right"/>
              <w:rPr>
                <w:sz w:val="18"/>
                <w:lang w:eastAsia="en-GB"/>
              </w:rPr>
            </w:pPr>
            <w:r w:rsidRPr="00DB2D18">
              <w:rPr>
                <w:sz w:val="18"/>
                <w:lang w:eastAsia="en-GB"/>
              </w:rPr>
              <w:t>59%</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666B" w14:textId="77777777" w:rsidR="00327301" w:rsidRPr="00DB2D18" w:rsidRDefault="00327301" w:rsidP="00FE68E8">
            <w:pPr>
              <w:jc w:val="right"/>
              <w:rPr>
                <w:sz w:val="18"/>
                <w:lang w:eastAsia="en-GB"/>
              </w:rPr>
            </w:pPr>
            <w:r w:rsidRPr="00DB2D18">
              <w:rPr>
                <w:sz w:val="18"/>
                <w:lang w:eastAsia="en-GB"/>
              </w:rPr>
              <w:t>39%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CBB2"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47AD" w14:textId="77777777" w:rsidR="00327301" w:rsidRPr="00DB2D18" w:rsidRDefault="00327301" w:rsidP="00FE68E8">
            <w:pPr>
              <w:jc w:val="right"/>
              <w:rPr>
                <w:sz w:val="18"/>
                <w:lang w:eastAsia="en-GB"/>
              </w:rPr>
            </w:pPr>
            <w:r w:rsidRPr="00DB2D18">
              <w:rPr>
                <w:sz w:val="18"/>
                <w:lang w:eastAsia="en-GB"/>
              </w:rPr>
              <w:t>46%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E93C9" w14:textId="77777777" w:rsidR="00327301" w:rsidRPr="00DB2D18" w:rsidRDefault="00327301" w:rsidP="00FE68E8">
            <w:pPr>
              <w:jc w:val="right"/>
              <w:rPr>
                <w:sz w:val="18"/>
                <w:lang w:eastAsia="en-GB"/>
              </w:rPr>
            </w:pPr>
            <w:r w:rsidRPr="00DB2D18">
              <w:rPr>
                <w:sz w:val="18"/>
                <w:lang w:eastAsia="en-GB"/>
              </w:rPr>
              <w:t>47%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5AFE"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74FF" w14:textId="77777777" w:rsidR="00327301" w:rsidRPr="00DB2D18" w:rsidRDefault="00327301" w:rsidP="00FE68E8">
            <w:pPr>
              <w:jc w:val="right"/>
              <w:rPr>
                <w:sz w:val="18"/>
                <w:lang w:eastAsia="en-GB"/>
              </w:rPr>
            </w:pPr>
            <w:r w:rsidRPr="00DB2D18">
              <w:rPr>
                <w:sz w:val="18"/>
                <w:lang w:eastAsia="en-GB"/>
              </w:rPr>
              <w:t>41%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59B7" w14:textId="77777777" w:rsidR="00327301" w:rsidRPr="00DB2D18" w:rsidRDefault="00327301" w:rsidP="00FE68E8">
            <w:pPr>
              <w:jc w:val="right"/>
              <w:rPr>
                <w:sz w:val="18"/>
                <w:lang w:eastAsia="en-GB"/>
              </w:rPr>
            </w:pPr>
            <w:r w:rsidRPr="00DB2D18">
              <w:rPr>
                <w:sz w:val="18"/>
                <w:lang w:eastAsia="en-GB"/>
              </w:rPr>
              <w:t>52%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9DB8" w14:textId="77777777" w:rsidR="00327301" w:rsidRPr="00DB2D18" w:rsidRDefault="00327301" w:rsidP="00FE68E8">
            <w:pPr>
              <w:jc w:val="right"/>
              <w:rPr>
                <w:sz w:val="18"/>
                <w:lang w:eastAsia="en-GB"/>
              </w:rPr>
            </w:pPr>
            <w:r w:rsidRPr="00DB2D18">
              <w:rPr>
                <w:sz w:val="18"/>
                <w:lang w:eastAsia="en-GB"/>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6653" w14:textId="77777777" w:rsidR="00327301" w:rsidRPr="00DB2D18" w:rsidRDefault="00327301" w:rsidP="00FE68E8">
            <w:pPr>
              <w:jc w:val="right"/>
              <w:rPr>
                <w:sz w:val="18"/>
                <w:lang w:eastAsia="en-GB"/>
              </w:rPr>
            </w:pPr>
            <w:r w:rsidRPr="00DB2D18">
              <w:rPr>
                <w:sz w:val="18"/>
                <w:lang w:eastAsia="en-GB"/>
              </w:rPr>
              <w:t>35%</w:t>
            </w:r>
          </w:p>
        </w:tc>
      </w:tr>
      <w:tr w:rsidR="00750996" w:rsidRPr="00A52AEE" w14:paraId="64648EC4"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09EE5AB2" w14:textId="77777777" w:rsidR="00327301" w:rsidRPr="00DB2D18" w:rsidRDefault="00327301" w:rsidP="00A52AEE">
            <w:pPr>
              <w:rPr>
                <w:sz w:val="22"/>
                <w:lang w:eastAsia="en-GB"/>
              </w:rPr>
            </w:pPr>
            <w:r w:rsidRPr="00DB2D18">
              <w:rPr>
                <w:sz w:val="22"/>
                <w:lang w:eastAsia="en-GB"/>
              </w:rPr>
              <w:t>Brent</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0674" w14:textId="77777777" w:rsidR="00327301" w:rsidRPr="00DB2D18" w:rsidRDefault="00327301" w:rsidP="00FE68E8">
            <w:pPr>
              <w:jc w:val="right"/>
              <w:rPr>
                <w:sz w:val="18"/>
                <w:lang w:eastAsia="en-GB"/>
              </w:rPr>
            </w:pPr>
            <w:r w:rsidRPr="00DB2D18">
              <w:rPr>
                <w:sz w:val="18"/>
                <w:lang w:eastAsia="en-GB"/>
              </w:rPr>
              <w:t>54%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54ED"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D833" w14:textId="77777777" w:rsidR="00327301" w:rsidRPr="00DB2D18" w:rsidRDefault="00327301" w:rsidP="00FE68E8">
            <w:pPr>
              <w:jc w:val="right"/>
              <w:rPr>
                <w:sz w:val="18"/>
                <w:lang w:eastAsia="en-GB"/>
              </w:rPr>
            </w:pPr>
            <w:r w:rsidRPr="00DB2D18">
              <w:rPr>
                <w:sz w:val="18"/>
                <w:lang w:eastAsia="en-GB"/>
              </w:rPr>
              <w:t>34%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D6AC" w14:textId="77777777" w:rsidR="00327301" w:rsidRPr="00DB2D18" w:rsidRDefault="00327301" w:rsidP="00FE68E8">
            <w:pPr>
              <w:jc w:val="right"/>
              <w:rPr>
                <w:sz w:val="18"/>
                <w:lang w:eastAsia="en-GB"/>
              </w:rPr>
            </w:pPr>
            <w:r w:rsidRPr="00DB2D18">
              <w:rPr>
                <w:sz w:val="18"/>
                <w:lang w:eastAsia="en-GB"/>
              </w:rPr>
              <w:t>53%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65C86"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6AEE"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F5D1"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2618"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5863" w14:textId="77777777" w:rsidR="00327301" w:rsidRPr="00DB2D18" w:rsidRDefault="00327301" w:rsidP="00FE68E8">
            <w:pPr>
              <w:jc w:val="right"/>
              <w:rPr>
                <w:sz w:val="18"/>
                <w:lang w:eastAsia="en-GB"/>
              </w:rPr>
            </w:pPr>
            <w:r w:rsidRPr="00DB2D18">
              <w:rPr>
                <w:sz w:val="18"/>
                <w:lang w:eastAsia="en-GB"/>
              </w:rPr>
              <w:t>32%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9693" w14:textId="77777777" w:rsidR="00327301" w:rsidRPr="00DB2D18" w:rsidRDefault="00327301" w:rsidP="00FE68E8">
            <w:pPr>
              <w:jc w:val="right"/>
              <w:rPr>
                <w:sz w:val="18"/>
                <w:lang w:eastAsia="en-GB"/>
              </w:rPr>
            </w:pPr>
            <w:r w:rsidRPr="00DB2D18">
              <w:rPr>
                <w:sz w:val="18"/>
                <w:lang w:eastAsia="en-GB"/>
              </w:rPr>
              <w:t>58%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3941"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40C4"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6F7D" w14:textId="77777777" w:rsidR="00327301" w:rsidRPr="00DB2D18" w:rsidRDefault="00327301" w:rsidP="00FE68E8">
            <w:pPr>
              <w:jc w:val="right"/>
              <w:rPr>
                <w:sz w:val="18"/>
                <w:lang w:eastAsia="en-GB"/>
              </w:rPr>
            </w:pPr>
            <w:r w:rsidRPr="00DB2D18">
              <w:rPr>
                <w:sz w:val="18"/>
                <w:lang w:eastAsia="en-GB"/>
              </w:rPr>
              <w:t>66%</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ED28"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F890" w14:textId="77777777" w:rsidR="00327301" w:rsidRPr="00DB2D18" w:rsidRDefault="00327301" w:rsidP="00FE68E8">
            <w:pPr>
              <w:jc w:val="right"/>
              <w:rPr>
                <w:sz w:val="18"/>
                <w:lang w:eastAsia="en-GB"/>
              </w:rPr>
            </w:pPr>
            <w:r w:rsidRPr="00DB2D18">
              <w:rPr>
                <w:sz w:val="18"/>
                <w:lang w:eastAsia="en-GB"/>
              </w:rPr>
              <w:t>23%</w:t>
            </w:r>
          </w:p>
        </w:tc>
      </w:tr>
      <w:tr w:rsidR="00750996" w:rsidRPr="00A52AEE" w14:paraId="1F995AE3"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00C5E8F9" w14:textId="77777777" w:rsidR="00327301" w:rsidRPr="00DB2D18" w:rsidRDefault="00327301" w:rsidP="00A52AEE">
            <w:pPr>
              <w:rPr>
                <w:sz w:val="22"/>
                <w:lang w:eastAsia="en-GB"/>
              </w:rPr>
            </w:pPr>
            <w:r w:rsidRPr="00DB2D18">
              <w:rPr>
                <w:sz w:val="22"/>
                <w:lang w:eastAsia="en-GB"/>
              </w:rPr>
              <w:t>Bromley</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73DEC" w14:textId="77777777" w:rsidR="00327301" w:rsidRPr="00DB2D18" w:rsidRDefault="00327301" w:rsidP="00FE68E8">
            <w:pPr>
              <w:jc w:val="right"/>
              <w:rPr>
                <w:sz w:val="18"/>
                <w:lang w:eastAsia="en-GB"/>
              </w:rPr>
            </w:pPr>
            <w:r w:rsidRPr="00DB2D18">
              <w:rPr>
                <w:sz w:val="18"/>
                <w:lang w:eastAsia="en-GB"/>
              </w:rPr>
              <w:t>32%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59AF" w14:textId="77777777" w:rsidR="00327301" w:rsidRPr="00DB2D18" w:rsidRDefault="00327301" w:rsidP="00FE68E8">
            <w:pPr>
              <w:jc w:val="right"/>
              <w:rPr>
                <w:sz w:val="18"/>
                <w:lang w:eastAsia="en-GB"/>
              </w:rPr>
            </w:pPr>
            <w:r w:rsidRPr="00DB2D18">
              <w:rPr>
                <w:sz w:val="18"/>
                <w:lang w:eastAsia="en-GB"/>
              </w:rPr>
              <w:t>16%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5071" w14:textId="77777777" w:rsidR="00327301" w:rsidRPr="00DB2D18" w:rsidRDefault="00327301" w:rsidP="00FE68E8">
            <w:pPr>
              <w:jc w:val="right"/>
              <w:rPr>
                <w:sz w:val="18"/>
                <w:lang w:eastAsia="en-GB"/>
              </w:rPr>
            </w:pPr>
            <w:r w:rsidRPr="00DB2D18">
              <w:rPr>
                <w:sz w:val="18"/>
                <w:lang w:eastAsia="en-GB"/>
              </w:rPr>
              <w:t>52%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A590" w14:textId="77777777" w:rsidR="00327301" w:rsidRPr="00DB2D18" w:rsidRDefault="00327301" w:rsidP="00FE68E8">
            <w:pPr>
              <w:jc w:val="right"/>
              <w:rPr>
                <w:sz w:val="18"/>
                <w:lang w:eastAsia="en-GB"/>
              </w:rPr>
            </w:pPr>
            <w:r w:rsidRPr="00DB2D18">
              <w:rPr>
                <w:sz w:val="18"/>
                <w:lang w:eastAsia="en-GB"/>
              </w:rPr>
              <w:t>28%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6D18"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EBCA" w14:textId="77777777" w:rsidR="00327301" w:rsidRPr="00DB2D18" w:rsidRDefault="00327301" w:rsidP="00FE68E8">
            <w:pPr>
              <w:jc w:val="right"/>
              <w:rPr>
                <w:sz w:val="18"/>
                <w:lang w:eastAsia="en-GB"/>
              </w:rPr>
            </w:pPr>
            <w:r w:rsidRPr="00DB2D18">
              <w:rPr>
                <w:sz w:val="18"/>
                <w:lang w:eastAsia="en-GB"/>
              </w:rPr>
              <w:t>57%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7575" w14:textId="77777777" w:rsidR="00327301" w:rsidRPr="00DB2D18" w:rsidRDefault="00327301" w:rsidP="00FE68E8">
            <w:pPr>
              <w:jc w:val="right"/>
              <w:rPr>
                <w:sz w:val="18"/>
                <w:lang w:eastAsia="en-GB"/>
              </w:rPr>
            </w:pPr>
            <w:r w:rsidRPr="00DB2D18">
              <w:rPr>
                <w:sz w:val="18"/>
                <w:lang w:eastAsia="en-GB"/>
              </w:rPr>
              <w:t>28%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D183"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576C" w14:textId="77777777" w:rsidR="00327301" w:rsidRPr="00DB2D18" w:rsidRDefault="00327301" w:rsidP="00FE68E8">
            <w:pPr>
              <w:jc w:val="right"/>
              <w:rPr>
                <w:sz w:val="18"/>
                <w:lang w:eastAsia="en-GB"/>
              </w:rPr>
            </w:pPr>
            <w:r w:rsidRPr="00DB2D18">
              <w:rPr>
                <w:sz w:val="18"/>
                <w:lang w:eastAsia="en-GB"/>
              </w:rPr>
              <w:t>56%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92FE" w14:textId="77777777" w:rsidR="00327301" w:rsidRPr="00DB2D18" w:rsidRDefault="00327301" w:rsidP="00FE68E8">
            <w:pPr>
              <w:jc w:val="right"/>
              <w:rPr>
                <w:sz w:val="18"/>
                <w:lang w:eastAsia="en-GB"/>
              </w:rPr>
            </w:pPr>
            <w:r w:rsidRPr="00DB2D18">
              <w:rPr>
                <w:sz w:val="18"/>
                <w:lang w:eastAsia="en-GB"/>
              </w:rPr>
              <w:t>42%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DC10"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117B9" w14:textId="77777777" w:rsidR="00327301" w:rsidRPr="00DB2D18" w:rsidRDefault="00327301" w:rsidP="00FE68E8">
            <w:pPr>
              <w:jc w:val="right"/>
              <w:rPr>
                <w:sz w:val="18"/>
                <w:lang w:eastAsia="en-GB"/>
              </w:rPr>
            </w:pPr>
            <w:r w:rsidRPr="00DB2D18">
              <w:rPr>
                <w:sz w:val="18"/>
                <w:lang w:eastAsia="en-GB"/>
              </w:rPr>
              <w:t>44%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D9BE" w14:textId="77777777" w:rsidR="00327301" w:rsidRPr="00DB2D18" w:rsidRDefault="00327301" w:rsidP="00FE68E8">
            <w:pPr>
              <w:jc w:val="right"/>
              <w:rPr>
                <w:sz w:val="18"/>
                <w:lang w:eastAsia="en-GB"/>
              </w:rPr>
            </w:pPr>
            <w:r w:rsidRPr="00DB2D18">
              <w:rPr>
                <w:sz w:val="18"/>
                <w:lang w:eastAsia="en-GB"/>
              </w:rPr>
              <w:t>53%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1714" w14:textId="77777777" w:rsidR="00327301" w:rsidRPr="00DB2D18" w:rsidRDefault="00327301" w:rsidP="00FE68E8">
            <w:pPr>
              <w:jc w:val="right"/>
              <w:rPr>
                <w:sz w:val="18"/>
                <w:lang w:eastAsia="en-GB"/>
              </w:rPr>
            </w:pPr>
            <w:r w:rsidRPr="00DB2D18">
              <w:rPr>
                <w:sz w:val="18"/>
                <w:lang w:eastAsia="en-GB"/>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737EC" w14:textId="77777777" w:rsidR="00327301" w:rsidRPr="00DB2D18" w:rsidRDefault="00327301" w:rsidP="00FE68E8">
            <w:pPr>
              <w:jc w:val="right"/>
              <w:rPr>
                <w:sz w:val="18"/>
                <w:lang w:eastAsia="en-GB"/>
              </w:rPr>
            </w:pPr>
            <w:r w:rsidRPr="00DB2D18">
              <w:rPr>
                <w:sz w:val="18"/>
                <w:lang w:eastAsia="en-GB"/>
              </w:rPr>
              <w:t>33%</w:t>
            </w:r>
          </w:p>
        </w:tc>
      </w:tr>
      <w:tr w:rsidR="00750996" w:rsidRPr="00A52AEE" w14:paraId="0FB85746"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59407D92" w14:textId="77777777" w:rsidR="00327301" w:rsidRPr="00DB2D18" w:rsidRDefault="00327301" w:rsidP="00A52AEE">
            <w:pPr>
              <w:rPr>
                <w:sz w:val="22"/>
                <w:lang w:eastAsia="en-GB"/>
              </w:rPr>
            </w:pPr>
            <w:r w:rsidRPr="00DB2D18">
              <w:rPr>
                <w:sz w:val="22"/>
                <w:lang w:eastAsia="en-GB"/>
              </w:rPr>
              <w:t>Camden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3258" w14:textId="77777777" w:rsidR="00327301" w:rsidRPr="00DB2D18" w:rsidRDefault="00327301" w:rsidP="00FE68E8">
            <w:pPr>
              <w:jc w:val="right"/>
              <w:rPr>
                <w:sz w:val="18"/>
                <w:lang w:eastAsia="en-GB"/>
              </w:rPr>
            </w:pPr>
            <w:r w:rsidRPr="00DB2D18">
              <w:rPr>
                <w:sz w:val="18"/>
                <w:lang w:eastAsia="en-GB"/>
              </w:rPr>
              <w:t>39%</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0774"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AA6E" w14:textId="77777777" w:rsidR="00327301" w:rsidRPr="00DB2D18" w:rsidRDefault="00327301" w:rsidP="00FE68E8">
            <w:pPr>
              <w:jc w:val="right"/>
              <w:rPr>
                <w:sz w:val="18"/>
                <w:lang w:eastAsia="en-GB"/>
              </w:rPr>
            </w:pPr>
            <w:r w:rsidRPr="00DB2D18">
              <w:rPr>
                <w:sz w:val="18"/>
                <w:lang w:eastAsia="en-GB"/>
              </w:rPr>
              <w:t>49%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2E20" w14:textId="77777777" w:rsidR="00327301" w:rsidRPr="00DB2D18" w:rsidRDefault="00327301" w:rsidP="00FE68E8">
            <w:pPr>
              <w:jc w:val="right"/>
              <w:rPr>
                <w:sz w:val="18"/>
                <w:lang w:eastAsia="en-GB"/>
              </w:rPr>
            </w:pPr>
            <w:r w:rsidRPr="00DB2D18">
              <w:rPr>
                <w:sz w:val="18"/>
                <w:lang w:eastAsia="en-GB"/>
              </w:rPr>
              <w:t>38%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7E9C"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D940" w14:textId="77777777" w:rsidR="00327301" w:rsidRPr="00DB2D18" w:rsidRDefault="00327301" w:rsidP="00FE68E8">
            <w:pPr>
              <w:jc w:val="right"/>
              <w:rPr>
                <w:sz w:val="18"/>
                <w:lang w:eastAsia="en-GB"/>
              </w:rPr>
            </w:pPr>
            <w:r w:rsidRPr="00DB2D18">
              <w:rPr>
                <w:sz w:val="18"/>
                <w:lang w:eastAsia="en-GB"/>
              </w:rPr>
              <w:t>50%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3707" w14:textId="77777777" w:rsidR="00327301" w:rsidRPr="00DB2D18" w:rsidRDefault="00327301" w:rsidP="00FE68E8">
            <w:pPr>
              <w:jc w:val="right"/>
              <w:rPr>
                <w:sz w:val="18"/>
                <w:lang w:eastAsia="en-GB"/>
              </w:rPr>
            </w:pPr>
            <w:r w:rsidRPr="00DB2D18">
              <w:rPr>
                <w:sz w:val="18"/>
                <w:lang w:eastAsia="en-GB"/>
              </w:rPr>
              <w:t>42%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CEC05"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76BFC" w14:textId="77777777" w:rsidR="00327301" w:rsidRPr="00DB2D18" w:rsidRDefault="00327301" w:rsidP="00FE68E8">
            <w:pPr>
              <w:jc w:val="right"/>
              <w:rPr>
                <w:sz w:val="18"/>
                <w:lang w:eastAsia="en-GB"/>
              </w:rPr>
            </w:pPr>
            <w:r w:rsidRPr="00DB2D18">
              <w:rPr>
                <w:sz w:val="18"/>
                <w:lang w:eastAsia="en-GB"/>
              </w:rPr>
              <w:t>44%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7929" w14:textId="77777777" w:rsidR="00327301" w:rsidRPr="00DB2D18" w:rsidRDefault="00327301" w:rsidP="00FE68E8">
            <w:pPr>
              <w:jc w:val="right"/>
              <w:rPr>
                <w:sz w:val="18"/>
                <w:lang w:eastAsia="en-GB"/>
              </w:rPr>
            </w:pPr>
            <w:r w:rsidRPr="00DB2D18">
              <w:rPr>
                <w:sz w:val="18"/>
                <w:lang w:eastAsia="en-GB"/>
              </w:rPr>
              <w:t>52%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1932"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844E" w14:textId="77777777" w:rsidR="00327301" w:rsidRPr="00DB2D18" w:rsidRDefault="00327301" w:rsidP="00FE68E8">
            <w:pPr>
              <w:jc w:val="right"/>
              <w:rPr>
                <w:sz w:val="18"/>
                <w:lang w:eastAsia="en-GB"/>
              </w:rPr>
            </w:pPr>
            <w:r w:rsidRPr="00DB2D18">
              <w:rPr>
                <w:sz w:val="18"/>
                <w:lang w:eastAsia="en-GB"/>
              </w:rPr>
              <w:t>33%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288D1" w14:textId="77777777" w:rsidR="00327301" w:rsidRPr="00DB2D18" w:rsidRDefault="00327301" w:rsidP="00FE68E8">
            <w:pPr>
              <w:jc w:val="right"/>
              <w:rPr>
                <w:sz w:val="18"/>
                <w:lang w:eastAsia="en-GB"/>
              </w:rPr>
            </w:pPr>
            <w:r w:rsidRPr="00DB2D18">
              <w:rPr>
                <w:sz w:val="18"/>
                <w:lang w:eastAsia="en-GB"/>
              </w:rPr>
              <w:t>62%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83A7"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293AF" w14:textId="77777777" w:rsidR="00327301" w:rsidRPr="00DB2D18" w:rsidRDefault="00327301" w:rsidP="00FE68E8">
            <w:pPr>
              <w:jc w:val="right"/>
              <w:rPr>
                <w:sz w:val="18"/>
                <w:lang w:eastAsia="en-GB"/>
              </w:rPr>
            </w:pPr>
            <w:r w:rsidRPr="00DB2D18">
              <w:rPr>
                <w:sz w:val="18"/>
                <w:lang w:eastAsia="en-GB"/>
              </w:rPr>
              <w:t>27%</w:t>
            </w:r>
          </w:p>
        </w:tc>
      </w:tr>
      <w:tr w:rsidR="00750996" w:rsidRPr="00A52AEE" w14:paraId="4EE2C3E1"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2DF8E2D6" w14:textId="77777777" w:rsidR="00327301" w:rsidRPr="00DB2D18" w:rsidRDefault="00327301" w:rsidP="00A52AEE">
            <w:pPr>
              <w:rPr>
                <w:sz w:val="22"/>
                <w:lang w:eastAsia="en-GB"/>
              </w:rPr>
            </w:pPr>
            <w:r w:rsidRPr="00DB2D18">
              <w:rPr>
                <w:sz w:val="22"/>
                <w:lang w:eastAsia="en-GB"/>
              </w:rPr>
              <w:t>City of London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ED61" w14:textId="77777777" w:rsidR="00327301" w:rsidRPr="00DB2D18" w:rsidRDefault="00327301" w:rsidP="00FE68E8">
            <w:pPr>
              <w:jc w:val="right"/>
              <w:rPr>
                <w:sz w:val="18"/>
                <w:lang w:eastAsia="en-GB"/>
              </w:rPr>
            </w:pPr>
            <w:r w:rsidRPr="00DB2D18">
              <w:rPr>
                <w:sz w:val="18"/>
                <w:lang w:eastAsia="en-GB"/>
              </w:rPr>
              <w:t>40%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8093" w14:textId="77777777" w:rsidR="00327301" w:rsidRPr="00DB2D18" w:rsidRDefault="00327301" w:rsidP="00FE68E8">
            <w:pPr>
              <w:jc w:val="right"/>
              <w:rPr>
                <w:sz w:val="18"/>
                <w:lang w:eastAsia="en-GB"/>
              </w:rPr>
            </w:pPr>
            <w:r w:rsidRPr="00DB2D18">
              <w:rPr>
                <w:sz w:val="18"/>
                <w:lang w:eastAsia="en-GB"/>
              </w:rPr>
              <w:t>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552D"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8E04" w14:textId="77777777" w:rsidR="00327301" w:rsidRPr="00DB2D18" w:rsidRDefault="00327301" w:rsidP="00FE68E8">
            <w:pPr>
              <w:jc w:val="right"/>
              <w:rPr>
                <w:sz w:val="18"/>
                <w:lang w:eastAsia="en-GB"/>
              </w:rPr>
            </w:pPr>
            <w:r w:rsidRPr="00DB2D18">
              <w:rPr>
                <w:sz w:val="18"/>
                <w:lang w:eastAsia="en-GB"/>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143C" w14:textId="77777777" w:rsidR="00327301" w:rsidRPr="00DB2D18" w:rsidRDefault="00327301" w:rsidP="00FE68E8">
            <w:pPr>
              <w:jc w:val="right"/>
              <w:rPr>
                <w:sz w:val="18"/>
                <w:lang w:eastAsia="en-GB"/>
              </w:rPr>
            </w:pPr>
            <w:r w:rsidRPr="00DB2D18">
              <w:rPr>
                <w:sz w:val="18"/>
                <w:lang w:eastAsia="en-GB"/>
              </w:rPr>
              <w:t>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40109" w14:textId="77777777" w:rsidR="00327301" w:rsidRPr="00DB2D18" w:rsidRDefault="00327301" w:rsidP="00FE68E8">
            <w:pPr>
              <w:jc w:val="right"/>
              <w:rPr>
                <w:sz w:val="18"/>
                <w:lang w:eastAsia="en-GB"/>
              </w:rPr>
            </w:pPr>
            <w:r w:rsidRPr="00DB2D18">
              <w:rPr>
                <w:sz w:val="18"/>
                <w:lang w:eastAsia="en-GB"/>
              </w:rPr>
              <w:t>43%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9BCD" w14:textId="77777777" w:rsidR="00327301" w:rsidRPr="00DB2D18" w:rsidRDefault="00327301" w:rsidP="00FE68E8">
            <w:pPr>
              <w:jc w:val="right"/>
              <w:rPr>
                <w:sz w:val="18"/>
                <w:lang w:eastAsia="en-GB"/>
              </w:rPr>
            </w:pPr>
            <w:r w:rsidRPr="00DB2D18">
              <w:rPr>
                <w:sz w:val="18"/>
                <w:lang w:eastAsia="en-GB"/>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BFAB"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E5CE"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2CBC7" w14:textId="77777777" w:rsidR="00327301" w:rsidRPr="00DB2D18" w:rsidRDefault="00327301" w:rsidP="00FE68E8">
            <w:pPr>
              <w:jc w:val="right"/>
              <w:rPr>
                <w:sz w:val="18"/>
                <w:lang w:eastAsia="en-GB"/>
              </w:rPr>
            </w:pPr>
            <w:r w:rsidRPr="00DB2D18">
              <w:rPr>
                <w:sz w:val="18"/>
                <w:lang w:eastAsia="en-GB"/>
              </w:rPr>
              <w:t>56%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771F"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B469" w14:textId="77777777" w:rsidR="00327301" w:rsidRPr="00DB2D18" w:rsidRDefault="00327301" w:rsidP="00FE68E8">
            <w:pPr>
              <w:jc w:val="right"/>
              <w:rPr>
                <w:sz w:val="18"/>
                <w:lang w:eastAsia="en-GB"/>
              </w:rPr>
            </w:pPr>
            <w:r w:rsidRPr="00DB2D18">
              <w:rPr>
                <w:sz w:val="18"/>
                <w:lang w:eastAsia="en-GB"/>
              </w:rPr>
              <w:t>33%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D2F2" w14:textId="77777777" w:rsidR="00327301" w:rsidRPr="00DB2D18" w:rsidRDefault="00327301" w:rsidP="00FE68E8">
            <w:pPr>
              <w:jc w:val="right"/>
              <w:rPr>
                <w:sz w:val="18"/>
                <w:lang w:eastAsia="en-GB"/>
              </w:rPr>
            </w:pPr>
            <w:r w:rsidRPr="00DB2D18">
              <w:rPr>
                <w:sz w:val="18"/>
                <w:lang w:eastAsia="en-GB"/>
              </w:rPr>
              <w:t>45%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6D99" w14:textId="77777777" w:rsidR="00327301" w:rsidRPr="00DB2D18" w:rsidRDefault="00327301" w:rsidP="00FE68E8">
            <w:pPr>
              <w:jc w:val="right"/>
              <w:rPr>
                <w:sz w:val="18"/>
                <w:lang w:eastAsia="en-GB"/>
              </w:rPr>
            </w:pPr>
            <w:r w:rsidRPr="00DB2D18">
              <w:rPr>
                <w:sz w:val="18"/>
                <w:lang w:eastAsia="en-GB"/>
              </w:rPr>
              <w:t>15%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5EB2" w14:textId="77777777" w:rsidR="00327301" w:rsidRPr="00DB2D18" w:rsidRDefault="00327301" w:rsidP="00FE68E8">
            <w:pPr>
              <w:jc w:val="right"/>
              <w:rPr>
                <w:sz w:val="18"/>
                <w:lang w:eastAsia="en-GB"/>
              </w:rPr>
            </w:pPr>
            <w:r w:rsidRPr="00DB2D18">
              <w:rPr>
                <w:sz w:val="18"/>
                <w:lang w:eastAsia="en-GB"/>
              </w:rPr>
              <w:t>40%</w:t>
            </w:r>
          </w:p>
        </w:tc>
      </w:tr>
      <w:tr w:rsidR="00750996" w:rsidRPr="00A52AEE" w14:paraId="39FED3AD"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6C817A42" w14:textId="77777777" w:rsidR="00327301" w:rsidRPr="00DB2D18" w:rsidRDefault="00327301" w:rsidP="00A52AEE">
            <w:pPr>
              <w:rPr>
                <w:sz w:val="22"/>
                <w:lang w:eastAsia="en-GB"/>
              </w:rPr>
            </w:pPr>
            <w:r w:rsidRPr="00DB2D18">
              <w:rPr>
                <w:sz w:val="22"/>
                <w:lang w:eastAsia="en-GB"/>
              </w:rPr>
              <w:t>Croydon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C28EB" w14:textId="77777777" w:rsidR="00327301" w:rsidRPr="00DB2D18" w:rsidRDefault="00327301" w:rsidP="00FE68E8">
            <w:pPr>
              <w:jc w:val="right"/>
              <w:rPr>
                <w:sz w:val="18"/>
                <w:lang w:eastAsia="en-GB"/>
              </w:rPr>
            </w:pPr>
            <w:r w:rsidRPr="00DB2D18">
              <w:rPr>
                <w:sz w:val="18"/>
                <w:lang w:eastAsia="en-GB"/>
              </w:rPr>
              <w:t>52%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A8B6D"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9616" w14:textId="77777777" w:rsidR="00327301" w:rsidRPr="00DB2D18" w:rsidRDefault="00327301" w:rsidP="00FE68E8">
            <w:pPr>
              <w:jc w:val="right"/>
              <w:rPr>
                <w:sz w:val="18"/>
                <w:lang w:eastAsia="en-GB"/>
              </w:rPr>
            </w:pPr>
            <w:r w:rsidRPr="00DB2D18">
              <w:rPr>
                <w:sz w:val="18"/>
                <w:lang w:eastAsia="en-GB"/>
              </w:rPr>
              <w:t>36%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9A63" w14:textId="77777777" w:rsidR="00327301" w:rsidRPr="00DB2D18" w:rsidRDefault="00327301" w:rsidP="00FE68E8">
            <w:pPr>
              <w:jc w:val="right"/>
              <w:rPr>
                <w:sz w:val="18"/>
                <w:lang w:eastAsia="en-GB"/>
              </w:rPr>
            </w:pPr>
            <w:r w:rsidRPr="00DB2D18">
              <w:rPr>
                <w:sz w:val="18"/>
                <w:lang w:eastAsia="en-GB"/>
              </w:rPr>
              <w:t>45%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C458"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51E4" w14:textId="77777777" w:rsidR="00327301" w:rsidRPr="00DB2D18" w:rsidRDefault="00327301" w:rsidP="00FE68E8">
            <w:pPr>
              <w:jc w:val="right"/>
              <w:rPr>
                <w:sz w:val="18"/>
                <w:lang w:eastAsia="en-GB"/>
              </w:rPr>
            </w:pPr>
            <w:r w:rsidRPr="00DB2D18">
              <w:rPr>
                <w:sz w:val="18"/>
                <w:lang w:eastAsia="en-GB"/>
              </w:rPr>
              <w:t>41%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5D36" w14:textId="77777777" w:rsidR="00327301" w:rsidRPr="00DB2D18" w:rsidRDefault="00327301" w:rsidP="00FE68E8">
            <w:pPr>
              <w:jc w:val="right"/>
              <w:rPr>
                <w:sz w:val="18"/>
                <w:lang w:eastAsia="en-GB"/>
              </w:rPr>
            </w:pPr>
            <w:r w:rsidRPr="00DB2D18">
              <w:rPr>
                <w:sz w:val="18"/>
                <w:lang w:eastAsia="en-GB"/>
              </w:rPr>
              <w:t>47%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C21A"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1F10" w14:textId="77777777" w:rsidR="00327301" w:rsidRPr="00DB2D18" w:rsidRDefault="00327301" w:rsidP="00FE68E8">
            <w:pPr>
              <w:jc w:val="right"/>
              <w:rPr>
                <w:sz w:val="18"/>
                <w:lang w:eastAsia="en-GB"/>
              </w:rPr>
            </w:pPr>
            <w:r w:rsidRPr="00DB2D18">
              <w:rPr>
                <w:sz w:val="18"/>
                <w:lang w:eastAsia="en-GB"/>
              </w:rPr>
              <w:t>39%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6474" w14:textId="77777777" w:rsidR="00327301" w:rsidRPr="00DB2D18" w:rsidRDefault="00327301" w:rsidP="00FE68E8">
            <w:pPr>
              <w:jc w:val="right"/>
              <w:rPr>
                <w:sz w:val="18"/>
                <w:lang w:eastAsia="en-GB"/>
              </w:rPr>
            </w:pPr>
            <w:r w:rsidRPr="00DB2D18">
              <w:rPr>
                <w:sz w:val="18"/>
                <w:lang w:eastAsia="en-GB"/>
              </w:rPr>
              <w:t>56%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0A676"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EBB22"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DDF05" w14:textId="77777777" w:rsidR="00327301" w:rsidRPr="00DB2D18" w:rsidRDefault="00327301" w:rsidP="00FE68E8">
            <w:pPr>
              <w:jc w:val="right"/>
              <w:rPr>
                <w:sz w:val="18"/>
                <w:lang w:eastAsia="en-GB"/>
              </w:rPr>
            </w:pPr>
            <w:r w:rsidRPr="00DB2D18">
              <w:rPr>
                <w:sz w:val="18"/>
                <w:lang w:eastAsia="en-GB"/>
              </w:rPr>
              <w:t>59%</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18A3A" w14:textId="77777777" w:rsidR="00327301" w:rsidRPr="00DB2D18" w:rsidRDefault="00327301" w:rsidP="00FE68E8">
            <w:pPr>
              <w:jc w:val="right"/>
              <w:rPr>
                <w:sz w:val="18"/>
                <w:lang w:eastAsia="en-GB"/>
              </w:rPr>
            </w:pPr>
            <w:r w:rsidRPr="00DB2D18">
              <w:rPr>
                <w:sz w:val="18"/>
                <w:lang w:eastAsia="en-GB"/>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8A85" w14:textId="77777777" w:rsidR="00327301" w:rsidRPr="00DB2D18" w:rsidRDefault="00327301" w:rsidP="00FE68E8">
            <w:pPr>
              <w:jc w:val="right"/>
              <w:rPr>
                <w:sz w:val="18"/>
                <w:lang w:eastAsia="en-GB"/>
              </w:rPr>
            </w:pPr>
            <w:r w:rsidRPr="00DB2D18">
              <w:rPr>
                <w:sz w:val="18"/>
                <w:lang w:eastAsia="en-GB"/>
              </w:rPr>
              <w:t>28%</w:t>
            </w:r>
          </w:p>
        </w:tc>
      </w:tr>
      <w:tr w:rsidR="00750996" w:rsidRPr="00A52AEE" w14:paraId="3C66D1C8"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000B7901" w14:textId="77777777" w:rsidR="00327301" w:rsidRPr="00DB2D18" w:rsidRDefault="00327301" w:rsidP="00A52AEE">
            <w:pPr>
              <w:rPr>
                <w:sz w:val="22"/>
                <w:lang w:eastAsia="en-GB"/>
              </w:rPr>
            </w:pPr>
            <w:r w:rsidRPr="00DB2D18">
              <w:rPr>
                <w:sz w:val="22"/>
                <w:lang w:eastAsia="en-GB"/>
              </w:rPr>
              <w:t>Ealing</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D715" w14:textId="77777777" w:rsidR="00327301" w:rsidRPr="00DB2D18" w:rsidRDefault="00327301" w:rsidP="00FE68E8">
            <w:pPr>
              <w:jc w:val="right"/>
              <w:rPr>
                <w:sz w:val="18"/>
                <w:lang w:eastAsia="en-GB"/>
              </w:rPr>
            </w:pPr>
            <w:r w:rsidRPr="00DB2D18">
              <w:rPr>
                <w:sz w:val="18"/>
                <w:lang w:eastAsia="en-GB"/>
              </w:rPr>
              <w:t>63%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118E"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B3C4A" w14:textId="77777777" w:rsidR="00327301" w:rsidRPr="00DB2D18" w:rsidRDefault="00327301" w:rsidP="00FE68E8">
            <w:pPr>
              <w:jc w:val="right"/>
              <w:rPr>
                <w:sz w:val="18"/>
                <w:lang w:eastAsia="en-GB"/>
              </w:rPr>
            </w:pPr>
            <w:r w:rsidRPr="00DB2D18">
              <w:rPr>
                <w:sz w:val="18"/>
                <w:lang w:eastAsia="en-GB"/>
              </w:rPr>
              <w:t>25%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DC91" w14:textId="77777777" w:rsidR="00327301" w:rsidRPr="00DB2D18" w:rsidRDefault="00327301" w:rsidP="00FE68E8">
            <w:pPr>
              <w:jc w:val="right"/>
              <w:rPr>
                <w:sz w:val="18"/>
                <w:lang w:eastAsia="en-GB"/>
              </w:rPr>
            </w:pPr>
            <w:r w:rsidRPr="00DB2D18">
              <w:rPr>
                <w:sz w:val="18"/>
                <w:lang w:eastAsia="en-GB"/>
              </w:rPr>
              <w:t>58%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7FEB"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1AA9" w14:textId="77777777" w:rsidR="00327301" w:rsidRPr="00DB2D18" w:rsidRDefault="00327301" w:rsidP="00FE68E8">
            <w:pPr>
              <w:jc w:val="right"/>
              <w:rPr>
                <w:sz w:val="18"/>
                <w:lang w:eastAsia="en-GB"/>
              </w:rPr>
            </w:pPr>
            <w:r w:rsidRPr="00DB2D18">
              <w:rPr>
                <w:sz w:val="18"/>
                <w:lang w:eastAsia="en-GB"/>
              </w:rPr>
              <w:t>30%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9963" w14:textId="77777777" w:rsidR="00327301" w:rsidRPr="00DB2D18" w:rsidRDefault="00327301" w:rsidP="00FE68E8">
            <w:pPr>
              <w:jc w:val="right"/>
              <w:rPr>
                <w:sz w:val="18"/>
                <w:lang w:eastAsia="en-GB"/>
              </w:rPr>
            </w:pPr>
            <w:r w:rsidRPr="00DB2D18">
              <w:rPr>
                <w:sz w:val="18"/>
                <w:lang w:eastAsia="en-GB"/>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5C8E"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9B83" w14:textId="77777777" w:rsidR="00327301" w:rsidRPr="00DB2D18" w:rsidRDefault="00327301" w:rsidP="00FE68E8">
            <w:pPr>
              <w:jc w:val="right"/>
              <w:rPr>
                <w:sz w:val="18"/>
                <w:lang w:eastAsia="en-GB"/>
              </w:rPr>
            </w:pPr>
            <w:r w:rsidRPr="00DB2D18">
              <w:rPr>
                <w:sz w:val="18"/>
                <w:lang w:eastAsia="en-GB"/>
              </w:rPr>
              <w:t>28%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C7F5" w14:textId="77777777" w:rsidR="00327301" w:rsidRPr="00DB2D18" w:rsidRDefault="00327301" w:rsidP="00FE68E8">
            <w:pPr>
              <w:jc w:val="right"/>
              <w:rPr>
                <w:sz w:val="18"/>
                <w:lang w:eastAsia="en-GB"/>
              </w:rPr>
            </w:pPr>
            <w:r w:rsidRPr="00DB2D18">
              <w:rPr>
                <w:sz w:val="18"/>
                <w:lang w:eastAsia="en-GB"/>
              </w:rPr>
              <w:t>58%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D3E7"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C0CD9"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C910" w14:textId="77777777" w:rsidR="00327301" w:rsidRPr="00DB2D18" w:rsidRDefault="00327301" w:rsidP="00FE68E8">
            <w:pPr>
              <w:jc w:val="right"/>
              <w:rPr>
                <w:sz w:val="18"/>
                <w:lang w:eastAsia="en-GB"/>
              </w:rPr>
            </w:pPr>
            <w:r w:rsidRPr="00DB2D18">
              <w:rPr>
                <w:sz w:val="18"/>
                <w:lang w:eastAsia="en-GB"/>
              </w:rPr>
              <w:t>65%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F1166" w14:textId="77777777" w:rsidR="00327301" w:rsidRPr="00DB2D18" w:rsidRDefault="00327301" w:rsidP="00FE68E8">
            <w:pPr>
              <w:jc w:val="right"/>
              <w:rPr>
                <w:sz w:val="18"/>
                <w:lang w:eastAsia="en-GB"/>
              </w:rPr>
            </w:pPr>
            <w:r w:rsidRPr="00DB2D18">
              <w:rPr>
                <w:sz w:val="18"/>
                <w:lang w:eastAsia="en-GB"/>
              </w:rPr>
              <w:t>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B64CC" w14:textId="77777777" w:rsidR="00327301" w:rsidRPr="00DB2D18" w:rsidRDefault="00327301" w:rsidP="00FE68E8">
            <w:pPr>
              <w:jc w:val="right"/>
              <w:rPr>
                <w:sz w:val="18"/>
                <w:lang w:eastAsia="en-GB"/>
              </w:rPr>
            </w:pPr>
            <w:r w:rsidRPr="00DB2D18">
              <w:rPr>
                <w:sz w:val="18"/>
                <w:lang w:eastAsia="en-GB"/>
              </w:rPr>
              <w:t>24%</w:t>
            </w:r>
          </w:p>
        </w:tc>
      </w:tr>
      <w:tr w:rsidR="00750996" w:rsidRPr="00A52AEE" w14:paraId="692967BA"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4F8AC02B" w14:textId="77777777" w:rsidR="00327301" w:rsidRPr="00DB2D18" w:rsidRDefault="00327301" w:rsidP="00A52AEE">
            <w:pPr>
              <w:rPr>
                <w:sz w:val="22"/>
                <w:lang w:eastAsia="en-GB"/>
              </w:rPr>
            </w:pPr>
            <w:r w:rsidRPr="00DB2D18">
              <w:rPr>
                <w:sz w:val="22"/>
                <w:lang w:eastAsia="en-GB"/>
              </w:rPr>
              <w:t>Enfield</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B1BA6" w14:textId="77777777" w:rsidR="00327301" w:rsidRPr="00DB2D18" w:rsidRDefault="00327301" w:rsidP="00FE68E8">
            <w:pPr>
              <w:jc w:val="right"/>
              <w:rPr>
                <w:sz w:val="18"/>
                <w:lang w:eastAsia="en-GB"/>
              </w:rPr>
            </w:pPr>
            <w:r w:rsidRPr="00DB2D18">
              <w:rPr>
                <w:sz w:val="18"/>
                <w:lang w:eastAsia="en-GB"/>
              </w:rPr>
              <w:t>55%</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639A" w14:textId="77777777" w:rsidR="00327301" w:rsidRPr="00DB2D18" w:rsidRDefault="00327301" w:rsidP="00FE68E8">
            <w:pPr>
              <w:jc w:val="right"/>
              <w:rPr>
                <w:sz w:val="18"/>
                <w:lang w:eastAsia="en-GB"/>
              </w:rPr>
            </w:pPr>
            <w:r w:rsidRPr="00DB2D18">
              <w:rPr>
                <w:sz w:val="18"/>
                <w:lang w:eastAsia="en-GB"/>
              </w:rPr>
              <w:t>15%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02E8" w14:textId="77777777" w:rsidR="00327301" w:rsidRPr="00DB2D18" w:rsidRDefault="00327301" w:rsidP="00FE68E8">
            <w:pPr>
              <w:jc w:val="right"/>
              <w:rPr>
                <w:sz w:val="18"/>
                <w:lang w:eastAsia="en-GB"/>
              </w:rPr>
            </w:pPr>
            <w:r w:rsidRPr="00DB2D18">
              <w:rPr>
                <w:sz w:val="18"/>
                <w:lang w:eastAsia="en-GB"/>
              </w:rPr>
              <w:t>30%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50C7" w14:textId="77777777" w:rsidR="00327301" w:rsidRPr="00DB2D18" w:rsidRDefault="00327301" w:rsidP="00FE68E8">
            <w:pPr>
              <w:jc w:val="right"/>
              <w:rPr>
                <w:sz w:val="18"/>
                <w:lang w:eastAsia="en-GB"/>
              </w:rPr>
            </w:pPr>
            <w:r w:rsidRPr="00DB2D18">
              <w:rPr>
                <w:sz w:val="18"/>
                <w:lang w:eastAsia="en-GB"/>
              </w:rPr>
              <w:t>54%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DBB9B"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16EE" w14:textId="77777777" w:rsidR="00327301" w:rsidRPr="00DB2D18" w:rsidRDefault="00327301" w:rsidP="00FE68E8">
            <w:pPr>
              <w:jc w:val="right"/>
              <w:rPr>
                <w:sz w:val="18"/>
                <w:lang w:eastAsia="en-GB"/>
              </w:rPr>
            </w:pPr>
            <w:r w:rsidRPr="00DB2D18">
              <w:rPr>
                <w:sz w:val="18"/>
                <w:lang w:eastAsia="en-GB"/>
              </w:rPr>
              <w:t>33%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37855" w14:textId="77777777" w:rsidR="00327301" w:rsidRPr="00DB2D18" w:rsidRDefault="00327301" w:rsidP="00FE68E8">
            <w:pPr>
              <w:jc w:val="right"/>
              <w:rPr>
                <w:sz w:val="18"/>
                <w:lang w:eastAsia="en-GB"/>
              </w:rPr>
            </w:pPr>
            <w:r w:rsidRPr="00DB2D18">
              <w:rPr>
                <w:sz w:val="18"/>
                <w:lang w:eastAsia="en-GB"/>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46D8"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B0F3" w14:textId="77777777" w:rsidR="00327301" w:rsidRPr="00DB2D18" w:rsidRDefault="00327301" w:rsidP="00FE68E8">
            <w:pPr>
              <w:jc w:val="right"/>
              <w:rPr>
                <w:sz w:val="18"/>
                <w:lang w:eastAsia="en-GB"/>
              </w:rPr>
            </w:pPr>
            <w:r w:rsidRPr="00DB2D18">
              <w:rPr>
                <w:sz w:val="18"/>
                <w:lang w:eastAsia="en-GB"/>
              </w:rPr>
              <w:t>31%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F2403" w14:textId="77777777" w:rsidR="00327301" w:rsidRPr="00DB2D18" w:rsidRDefault="00327301" w:rsidP="00FE68E8">
            <w:pPr>
              <w:jc w:val="right"/>
              <w:rPr>
                <w:sz w:val="18"/>
                <w:lang w:eastAsia="en-GB"/>
              </w:rPr>
            </w:pPr>
            <w:r w:rsidRPr="00DB2D18">
              <w:rPr>
                <w:sz w:val="18"/>
                <w:lang w:eastAsia="en-GB"/>
              </w:rPr>
              <w:t>60%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3060"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AFEF" w14:textId="77777777" w:rsidR="00327301" w:rsidRPr="00DB2D18" w:rsidRDefault="00327301" w:rsidP="00FE68E8">
            <w:pPr>
              <w:jc w:val="right"/>
              <w:rPr>
                <w:sz w:val="18"/>
                <w:lang w:eastAsia="en-GB"/>
              </w:rPr>
            </w:pPr>
            <w:r w:rsidRPr="00DB2D18">
              <w:rPr>
                <w:sz w:val="18"/>
                <w:lang w:eastAsia="en-GB"/>
              </w:rPr>
              <w:t>26%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5497" w14:textId="77777777" w:rsidR="00327301" w:rsidRPr="00DB2D18" w:rsidRDefault="00327301" w:rsidP="00FE68E8">
            <w:pPr>
              <w:jc w:val="right"/>
              <w:rPr>
                <w:sz w:val="18"/>
                <w:lang w:eastAsia="en-GB"/>
              </w:rPr>
            </w:pPr>
            <w:r w:rsidRPr="00DB2D18">
              <w:rPr>
                <w:sz w:val="18"/>
                <w:lang w:eastAsia="en-GB"/>
              </w:rPr>
              <w:t>67%</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0CEF" w14:textId="77777777" w:rsidR="00327301" w:rsidRPr="00DB2D18" w:rsidRDefault="00327301" w:rsidP="00FE68E8">
            <w:pPr>
              <w:jc w:val="right"/>
              <w:rPr>
                <w:sz w:val="18"/>
                <w:lang w:eastAsia="en-GB"/>
              </w:rPr>
            </w:pPr>
            <w:r w:rsidRPr="00DB2D18">
              <w:rPr>
                <w:sz w:val="18"/>
                <w:lang w:eastAsia="en-GB"/>
              </w:rPr>
              <w:t>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EBD6" w14:textId="77777777" w:rsidR="00327301" w:rsidRPr="00DB2D18" w:rsidRDefault="00327301" w:rsidP="00FE68E8">
            <w:pPr>
              <w:jc w:val="right"/>
              <w:rPr>
                <w:sz w:val="18"/>
                <w:lang w:eastAsia="en-GB"/>
              </w:rPr>
            </w:pPr>
            <w:r w:rsidRPr="00DB2D18">
              <w:rPr>
                <w:sz w:val="18"/>
                <w:lang w:eastAsia="en-GB"/>
              </w:rPr>
              <w:t>23%</w:t>
            </w:r>
          </w:p>
        </w:tc>
      </w:tr>
      <w:tr w:rsidR="00750996" w:rsidRPr="00A52AEE" w14:paraId="09AEF3F9"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747D357D" w14:textId="77777777" w:rsidR="00327301" w:rsidRPr="00DB2D18" w:rsidRDefault="00327301" w:rsidP="00A52AEE">
            <w:pPr>
              <w:rPr>
                <w:sz w:val="22"/>
                <w:lang w:eastAsia="en-GB"/>
              </w:rPr>
            </w:pPr>
            <w:r w:rsidRPr="00DB2D18">
              <w:rPr>
                <w:sz w:val="22"/>
                <w:lang w:eastAsia="en-GB"/>
              </w:rPr>
              <w:t>Greenwich</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0456" w14:textId="77777777" w:rsidR="00327301" w:rsidRPr="00DB2D18" w:rsidRDefault="00327301" w:rsidP="00FE68E8">
            <w:pPr>
              <w:jc w:val="right"/>
              <w:rPr>
                <w:sz w:val="18"/>
                <w:lang w:eastAsia="en-GB"/>
              </w:rPr>
            </w:pPr>
            <w:r w:rsidRPr="00DB2D18">
              <w:rPr>
                <w:sz w:val="18"/>
                <w:lang w:eastAsia="en-GB"/>
              </w:rPr>
              <w:t>42%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F78A" w14:textId="77777777" w:rsidR="00327301" w:rsidRPr="00DB2D18" w:rsidRDefault="00327301" w:rsidP="00FE68E8">
            <w:pPr>
              <w:jc w:val="right"/>
              <w:rPr>
                <w:sz w:val="18"/>
                <w:lang w:eastAsia="en-GB"/>
              </w:rPr>
            </w:pPr>
            <w:r w:rsidRPr="00DB2D18">
              <w:rPr>
                <w:sz w:val="18"/>
                <w:lang w:eastAsia="en-GB"/>
              </w:rPr>
              <w:t>15%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27A0" w14:textId="77777777" w:rsidR="00327301" w:rsidRPr="00DB2D18" w:rsidRDefault="00327301" w:rsidP="00FE68E8">
            <w:pPr>
              <w:jc w:val="right"/>
              <w:rPr>
                <w:sz w:val="18"/>
                <w:lang w:eastAsia="en-GB"/>
              </w:rPr>
            </w:pPr>
            <w:r w:rsidRPr="00DB2D18">
              <w:rPr>
                <w:sz w:val="18"/>
                <w:lang w:eastAsia="en-GB"/>
              </w:rPr>
              <w:t>43%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20255" w14:textId="77777777" w:rsidR="00327301" w:rsidRPr="00DB2D18" w:rsidRDefault="00327301" w:rsidP="00FE68E8">
            <w:pPr>
              <w:jc w:val="right"/>
              <w:rPr>
                <w:sz w:val="18"/>
                <w:lang w:eastAsia="en-GB"/>
              </w:rPr>
            </w:pPr>
            <w:r w:rsidRPr="00DB2D18">
              <w:rPr>
                <w:sz w:val="18"/>
                <w:lang w:eastAsia="en-GB"/>
              </w:rPr>
              <w:t>38%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07596"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B4F6" w14:textId="77777777" w:rsidR="00327301" w:rsidRPr="00DB2D18" w:rsidRDefault="00327301" w:rsidP="00FE68E8">
            <w:pPr>
              <w:jc w:val="right"/>
              <w:rPr>
                <w:sz w:val="18"/>
                <w:lang w:eastAsia="en-GB"/>
              </w:rPr>
            </w:pPr>
            <w:r w:rsidRPr="00DB2D18">
              <w:rPr>
                <w:sz w:val="18"/>
                <w:lang w:eastAsia="en-GB"/>
              </w:rPr>
              <w:t>47%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276B" w14:textId="77777777" w:rsidR="00327301" w:rsidRPr="00DB2D18" w:rsidRDefault="00327301" w:rsidP="00FE68E8">
            <w:pPr>
              <w:jc w:val="right"/>
              <w:rPr>
                <w:sz w:val="18"/>
                <w:lang w:eastAsia="en-GB"/>
              </w:rPr>
            </w:pPr>
            <w:r w:rsidRPr="00DB2D18">
              <w:rPr>
                <w:sz w:val="18"/>
                <w:lang w:eastAsia="en-GB"/>
              </w:rPr>
              <w:t>45%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1CD9"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76BD" w14:textId="77777777" w:rsidR="00327301" w:rsidRPr="00DB2D18" w:rsidRDefault="00327301" w:rsidP="00FE68E8">
            <w:pPr>
              <w:jc w:val="right"/>
              <w:rPr>
                <w:sz w:val="18"/>
                <w:lang w:eastAsia="en-GB"/>
              </w:rPr>
            </w:pPr>
            <w:r w:rsidRPr="00DB2D18">
              <w:rPr>
                <w:sz w:val="18"/>
                <w:lang w:eastAsia="en-GB"/>
              </w:rPr>
              <w:t>42%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1C8E" w14:textId="77777777" w:rsidR="00327301" w:rsidRPr="00DB2D18" w:rsidRDefault="00327301" w:rsidP="00FE68E8">
            <w:pPr>
              <w:jc w:val="right"/>
              <w:rPr>
                <w:sz w:val="18"/>
                <w:lang w:eastAsia="en-GB"/>
              </w:rPr>
            </w:pPr>
            <w:r w:rsidRPr="00DB2D18">
              <w:rPr>
                <w:sz w:val="18"/>
                <w:lang w:eastAsia="en-GB"/>
              </w:rPr>
              <w:t>48%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6302"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FB06" w14:textId="77777777" w:rsidR="00327301" w:rsidRPr="00DB2D18" w:rsidRDefault="00327301" w:rsidP="00FE68E8">
            <w:pPr>
              <w:jc w:val="right"/>
              <w:rPr>
                <w:sz w:val="18"/>
                <w:lang w:eastAsia="en-GB"/>
              </w:rPr>
            </w:pPr>
            <w:r w:rsidRPr="00DB2D18">
              <w:rPr>
                <w:sz w:val="18"/>
                <w:lang w:eastAsia="en-GB"/>
              </w:rPr>
              <w:t>38%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F0F8" w14:textId="77777777" w:rsidR="00327301" w:rsidRPr="00DB2D18" w:rsidRDefault="00327301" w:rsidP="00FE68E8">
            <w:pPr>
              <w:jc w:val="right"/>
              <w:rPr>
                <w:sz w:val="18"/>
                <w:lang w:eastAsia="en-GB"/>
              </w:rPr>
            </w:pPr>
            <w:r w:rsidRPr="00DB2D18">
              <w:rPr>
                <w:sz w:val="18"/>
                <w:lang w:eastAsia="en-GB"/>
              </w:rPr>
              <w:t>49%</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B2120" w14:textId="77777777" w:rsidR="00327301" w:rsidRPr="00DB2D18" w:rsidRDefault="00327301" w:rsidP="00FE68E8">
            <w:pPr>
              <w:jc w:val="right"/>
              <w:rPr>
                <w:sz w:val="18"/>
                <w:lang w:eastAsia="en-GB"/>
              </w:rPr>
            </w:pPr>
            <w:r w:rsidRPr="00DB2D18">
              <w:rPr>
                <w:sz w:val="18"/>
                <w:lang w:eastAsia="en-GB"/>
              </w:rPr>
              <w:t>16%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A9F5" w14:textId="77777777" w:rsidR="00327301" w:rsidRPr="00DB2D18" w:rsidRDefault="00327301" w:rsidP="00FE68E8">
            <w:pPr>
              <w:jc w:val="right"/>
              <w:rPr>
                <w:sz w:val="18"/>
                <w:lang w:eastAsia="en-GB"/>
              </w:rPr>
            </w:pPr>
            <w:r w:rsidRPr="00DB2D18">
              <w:rPr>
                <w:sz w:val="18"/>
                <w:lang w:eastAsia="en-GB"/>
              </w:rPr>
              <w:t>35%</w:t>
            </w:r>
          </w:p>
        </w:tc>
      </w:tr>
      <w:tr w:rsidR="00750996" w:rsidRPr="00A52AEE" w14:paraId="6D6C5AB1"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17D25460" w14:textId="77777777" w:rsidR="00327301" w:rsidRPr="00DB2D18" w:rsidRDefault="00327301" w:rsidP="00A52AEE">
            <w:pPr>
              <w:rPr>
                <w:sz w:val="22"/>
                <w:lang w:eastAsia="en-GB"/>
              </w:rPr>
            </w:pPr>
            <w:r w:rsidRPr="00DB2D18">
              <w:rPr>
                <w:sz w:val="22"/>
                <w:lang w:eastAsia="en-GB"/>
              </w:rPr>
              <w:t>Hackney</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B433" w14:textId="77777777" w:rsidR="00327301" w:rsidRPr="00DB2D18" w:rsidRDefault="00327301" w:rsidP="00FE68E8">
            <w:pPr>
              <w:jc w:val="right"/>
              <w:rPr>
                <w:sz w:val="18"/>
                <w:lang w:eastAsia="en-GB"/>
              </w:rPr>
            </w:pPr>
            <w:r w:rsidRPr="00DB2D18">
              <w:rPr>
                <w:sz w:val="18"/>
                <w:lang w:eastAsia="en-GB"/>
              </w:rPr>
              <w:t>60%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F3C0" w14:textId="77777777" w:rsidR="00327301" w:rsidRPr="00DB2D18" w:rsidRDefault="00327301" w:rsidP="00FE68E8">
            <w:pPr>
              <w:jc w:val="right"/>
              <w:rPr>
                <w:sz w:val="18"/>
                <w:lang w:eastAsia="en-GB"/>
              </w:rPr>
            </w:pPr>
            <w:r w:rsidRPr="00DB2D18">
              <w:rPr>
                <w:sz w:val="18"/>
                <w:lang w:eastAsia="en-GB"/>
              </w:rPr>
              <w:t>10%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E3E5" w14:textId="77777777" w:rsidR="00327301" w:rsidRPr="00DB2D18" w:rsidRDefault="00327301" w:rsidP="00FE68E8">
            <w:pPr>
              <w:jc w:val="right"/>
              <w:rPr>
                <w:sz w:val="18"/>
                <w:lang w:eastAsia="en-GB"/>
              </w:rPr>
            </w:pPr>
            <w:r w:rsidRPr="00DB2D18">
              <w:rPr>
                <w:sz w:val="18"/>
                <w:lang w:eastAsia="en-GB"/>
              </w:rPr>
              <w:t>31%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6852F"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305F"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6D40" w14:textId="77777777" w:rsidR="00327301" w:rsidRPr="00DB2D18" w:rsidRDefault="00327301" w:rsidP="00FE68E8">
            <w:pPr>
              <w:jc w:val="right"/>
              <w:rPr>
                <w:sz w:val="18"/>
                <w:lang w:eastAsia="en-GB"/>
              </w:rPr>
            </w:pPr>
            <w:r w:rsidRPr="00DB2D18">
              <w:rPr>
                <w:sz w:val="18"/>
                <w:lang w:eastAsia="en-GB"/>
              </w:rPr>
              <w:t>33%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07B0" w14:textId="77777777" w:rsidR="00327301" w:rsidRPr="00DB2D18" w:rsidRDefault="00327301" w:rsidP="00FE68E8">
            <w:pPr>
              <w:jc w:val="right"/>
              <w:rPr>
                <w:sz w:val="18"/>
                <w:lang w:eastAsia="en-GB"/>
              </w:rPr>
            </w:pPr>
            <w:r w:rsidRPr="00DB2D18">
              <w:rPr>
                <w:sz w:val="18"/>
                <w:lang w:eastAsia="en-GB"/>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EA2B"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3376E" w14:textId="77777777" w:rsidR="00327301" w:rsidRPr="00DB2D18" w:rsidRDefault="00327301" w:rsidP="00FE68E8">
            <w:pPr>
              <w:jc w:val="right"/>
              <w:rPr>
                <w:sz w:val="18"/>
                <w:lang w:eastAsia="en-GB"/>
              </w:rPr>
            </w:pPr>
            <w:r w:rsidRPr="00DB2D18">
              <w:rPr>
                <w:sz w:val="18"/>
                <w:lang w:eastAsia="en-GB"/>
              </w:rPr>
              <w:t>32%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5F90" w14:textId="77777777" w:rsidR="00327301" w:rsidRPr="00DB2D18" w:rsidRDefault="00327301" w:rsidP="00FE68E8">
            <w:pPr>
              <w:jc w:val="right"/>
              <w:rPr>
                <w:sz w:val="18"/>
                <w:lang w:eastAsia="en-GB"/>
              </w:rPr>
            </w:pPr>
            <w:r w:rsidRPr="00DB2D18">
              <w:rPr>
                <w:sz w:val="18"/>
                <w:lang w:eastAsia="en-GB"/>
              </w:rPr>
              <w:t>61%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8E0AC"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D34B" w14:textId="77777777" w:rsidR="00327301" w:rsidRPr="00DB2D18" w:rsidRDefault="00327301" w:rsidP="00FE68E8">
            <w:pPr>
              <w:jc w:val="right"/>
              <w:rPr>
                <w:sz w:val="18"/>
                <w:lang w:eastAsia="en-GB"/>
              </w:rPr>
            </w:pPr>
            <w:r w:rsidRPr="00DB2D18">
              <w:rPr>
                <w:sz w:val="18"/>
                <w:lang w:eastAsia="en-GB"/>
              </w:rPr>
              <w:t>28%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AF8D" w14:textId="77777777" w:rsidR="00327301" w:rsidRPr="00DB2D18" w:rsidRDefault="00327301" w:rsidP="00FE68E8">
            <w:pPr>
              <w:jc w:val="right"/>
              <w:rPr>
                <w:sz w:val="18"/>
                <w:lang w:eastAsia="en-GB"/>
              </w:rPr>
            </w:pPr>
            <w:r w:rsidRPr="00DB2D18">
              <w:rPr>
                <w:sz w:val="18"/>
                <w:lang w:eastAsia="en-GB"/>
              </w:rPr>
              <w:t>66%</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7CC1" w14:textId="77777777" w:rsidR="00327301" w:rsidRPr="00DB2D18" w:rsidRDefault="00327301" w:rsidP="00FE68E8">
            <w:pPr>
              <w:jc w:val="right"/>
              <w:rPr>
                <w:sz w:val="18"/>
                <w:lang w:eastAsia="en-GB"/>
              </w:rPr>
            </w:pPr>
            <w:r w:rsidRPr="00DB2D18">
              <w:rPr>
                <w:sz w:val="18"/>
                <w:lang w:eastAsia="en-GB"/>
              </w:rPr>
              <w:t>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CB5C" w14:textId="77777777" w:rsidR="00327301" w:rsidRPr="00DB2D18" w:rsidRDefault="00327301" w:rsidP="00FE68E8">
            <w:pPr>
              <w:jc w:val="right"/>
              <w:rPr>
                <w:sz w:val="18"/>
                <w:lang w:eastAsia="en-GB"/>
              </w:rPr>
            </w:pPr>
            <w:r w:rsidRPr="00DB2D18">
              <w:rPr>
                <w:sz w:val="18"/>
                <w:lang w:eastAsia="en-GB"/>
              </w:rPr>
              <w:t>24%</w:t>
            </w:r>
          </w:p>
        </w:tc>
      </w:tr>
      <w:tr w:rsidR="00750996" w:rsidRPr="00A52AEE" w14:paraId="4DD5D4ED"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70E02312" w14:textId="6C8E7F5D" w:rsidR="00327301" w:rsidRPr="00DB2D18" w:rsidRDefault="00327301" w:rsidP="00A52AEE">
            <w:pPr>
              <w:rPr>
                <w:sz w:val="22"/>
                <w:lang w:eastAsia="en-GB"/>
              </w:rPr>
            </w:pPr>
            <w:r w:rsidRPr="00DB2D18">
              <w:rPr>
                <w:sz w:val="22"/>
                <w:lang w:eastAsia="en-GB"/>
              </w:rPr>
              <w:t>Hammer</w:t>
            </w:r>
            <w:r w:rsidR="00750996" w:rsidRPr="00DB2D18">
              <w:rPr>
                <w:sz w:val="22"/>
                <w:lang w:eastAsia="en-GB"/>
              </w:rPr>
              <w:t>-</w:t>
            </w:r>
            <w:r w:rsidRPr="00DB2D18">
              <w:rPr>
                <w:sz w:val="22"/>
                <w:lang w:eastAsia="en-GB"/>
              </w:rPr>
              <w:t>smith and Fulham</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6398" w14:textId="77777777" w:rsidR="00327301" w:rsidRPr="00DB2D18" w:rsidRDefault="00327301" w:rsidP="00FE68E8">
            <w:pPr>
              <w:jc w:val="right"/>
              <w:rPr>
                <w:sz w:val="18"/>
                <w:lang w:eastAsia="en-GB"/>
              </w:rPr>
            </w:pPr>
            <w:r w:rsidRPr="00DB2D18">
              <w:rPr>
                <w:sz w:val="18"/>
                <w:lang w:eastAsia="en-GB"/>
              </w:rPr>
              <w:t>51%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BA5F" w14:textId="77777777" w:rsidR="00327301" w:rsidRPr="00DB2D18" w:rsidRDefault="00327301" w:rsidP="00FE68E8">
            <w:pPr>
              <w:jc w:val="right"/>
              <w:rPr>
                <w:sz w:val="18"/>
                <w:lang w:eastAsia="en-GB"/>
              </w:rPr>
            </w:pPr>
            <w:r w:rsidRPr="00DB2D18">
              <w:rPr>
                <w:sz w:val="18"/>
                <w:lang w:eastAsia="en-GB"/>
              </w:rPr>
              <w:t>17%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CDE5" w14:textId="77777777" w:rsidR="00327301" w:rsidRPr="00DB2D18" w:rsidRDefault="00327301" w:rsidP="00FE68E8">
            <w:pPr>
              <w:jc w:val="right"/>
              <w:rPr>
                <w:sz w:val="18"/>
                <w:lang w:eastAsia="en-GB"/>
              </w:rPr>
            </w:pPr>
            <w:r w:rsidRPr="00DB2D18">
              <w:rPr>
                <w:sz w:val="18"/>
                <w:lang w:eastAsia="en-GB"/>
              </w:rPr>
              <w:t>32%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7592" w14:textId="77777777" w:rsidR="00327301" w:rsidRPr="00DB2D18" w:rsidRDefault="00327301" w:rsidP="00FE68E8">
            <w:pPr>
              <w:jc w:val="right"/>
              <w:rPr>
                <w:sz w:val="18"/>
                <w:lang w:eastAsia="en-GB"/>
              </w:rPr>
            </w:pPr>
            <w:r w:rsidRPr="00DB2D18">
              <w:rPr>
                <w:sz w:val="18"/>
                <w:lang w:eastAsia="en-GB"/>
              </w:rPr>
              <w:t>52%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B68C2"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CB18"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31C9"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AC3C"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46D3" w14:textId="77777777" w:rsidR="00327301" w:rsidRPr="00DB2D18" w:rsidRDefault="00327301" w:rsidP="00FE68E8">
            <w:pPr>
              <w:jc w:val="right"/>
              <w:rPr>
                <w:sz w:val="18"/>
                <w:lang w:eastAsia="en-GB"/>
              </w:rPr>
            </w:pPr>
            <w:r w:rsidRPr="00DB2D18">
              <w:rPr>
                <w:sz w:val="18"/>
                <w:lang w:eastAsia="en-GB"/>
              </w:rPr>
              <w:t>36%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DC00" w14:textId="77777777" w:rsidR="00327301" w:rsidRPr="00DB2D18" w:rsidRDefault="00327301" w:rsidP="00FE68E8">
            <w:pPr>
              <w:jc w:val="right"/>
              <w:rPr>
                <w:sz w:val="18"/>
                <w:lang w:eastAsia="en-GB"/>
              </w:rPr>
            </w:pPr>
            <w:r w:rsidRPr="00DB2D18">
              <w:rPr>
                <w:sz w:val="18"/>
                <w:lang w:eastAsia="en-GB"/>
              </w:rPr>
              <w:t>53%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D38D"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A31C" w14:textId="77777777" w:rsidR="00327301" w:rsidRPr="00DB2D18" w:rsidRDefault="00327301" w:rsidP="00FE68E8">
            <w:pPr>
              <w:jc w:val="right"/>
              <w:rPr>
                <w:sz w:val="18"/>
                <w:lang w:eastAsia="en-GB"/>
              </w:rPr>
            </w:pPr>
            <w:r w:rsidRPr="00DB2D18">
              <w:rPr>
                <w:sz w:val="18"/>
                <w:lang w:eastAsia="en-GB"/>
              </w:rPr>
              <w:t>31%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4FAD" w14:textId="77777777" w:rsidR="00327301" w:rsidRPr="00DB2D18" w:rsidRDefault="00327301" w:rsidP="00FE68E8">
            <w:pPr>
              <w:jc w:val="right"/>
              <w:rPr>
                <w:sz w:val="18"/>
                <w:lang w:eastAsia="en-GB"/>
              </w:rPr>
            </w:pPr>
            <w:r w:rsidRPr="00DB2D18">
              <w:rPr>
                <w:sz w:val="18"/>
                <w:lang w:eastAsia="en-GB"/>
              </w:rPr>
              <w:t>61%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65E7" w14:textId="77777777" w:rsidR="00327301" w:rsidRPr="00DB2D18" w:rsidRDefault="00327301" w:rsidP="00FE68E8">
            <w:pPr>
              <w:jc w:val="right"/>
              <w:rPr>
                <w:sz w:val="18"/>
                <w:lang w:eastAsia="en-GB"/>
              </w:rPr>
            </w:pPr>
            <w:r w:rsidRPr="00DB2D18">
              <w:rPr>
                <w:sz w:val="18"/>
                <w:lang w:eastAsia="en-GB"/>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48C0" w14:textId="77777777" w:rsidR="00327301" w:rsidRPr="00DB2D18" w:rsidRDefault="00327301" w:rsidP="00FE68E8">
            <w:pPr>
              <w:jc w:val="right"/>
              <w:rPr>
                <w:sz w:val="18"/>
                <w:lang w:eastAsia="en-GB"/>
              </w:rPr>
            </w:pPr>
            <w:r w:rsidRPr="00DB2D18">
              <w:rPr>
                <w:sz w:val="18"/>
                <w:lang w:eastAsia="en-GB"/>
              </w:rPr>
              <w:t>26%</w:t>
            </w:r>
          </w:p>
        </w:tc>
      </w:tr>
      <w:tr w:rsidR="00750996" w:rsidRPr="00A52AEE" w14:paraId="3E530F9B"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1F566682" w14:textId="77777777" w:rsidR="00327301" w:rsidRPr="00DB2D18" w:rsidRDefault="00327301" w:rsidP="00A52AEE">
            <w:pPr>
              <w:rPr>
                <w:sz w:val="22"/>
                <w:lang w:eastAsia="en-GB"/>
              </w:rPr>
            </w:pPr>
            <w:r w:rsidRPr="00DB2D18">
              <w:rPr>
                <w:sz w:val="22"/>
                <w:lang w:eastAsia="en-GB"/>
              </w:rPr>
              <w:t>Haringey</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5DF8" w14:textId="77777777" w:rsidR="00327301" w:rsidRPr="00DB2D18" w:rsidRDefault="00327301" w:rsidP="00FE68E8">
            <w:pPr>
              <w:jc w:val="right"/>
              <w:rPr>
                <w:sz w:val="18"/>
                <w:lang w:eastAsia="en-GB"/>
              </w:rPr>
            </w:pPr>
            <w:r w:rsidRPr="00DB2D18">
              <w:rPr>
                <w:sz w:val="18"/>
                <w:lang w:eastAsia="en-GB"/>
              </w:rPr>
              <w:t>53%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CDDA4"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C1A8" w14:textId="77777777" w:rsidR="00327301" w:rsidRPr="00DB2D18" w:rsidRDefault="00327301" w:rsidP="00FE68E8">
            <w:pPr>
              <w:jc w:val="right"/>
              <w:rPr>
                <w:sz w:val="18"/>
                <w:lang w:eastAsia="en-GB"/>
              </w:rPr>
            </w:pPr>
            <w:r w:rsidRPr="00DB2D18">
              <w:rPr>
                <w:sz w:val="18"/>
                <w:lang w:eastAsia="en-GB"/>
              </w:rPr>
              <w:t>34%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2525" w14:textId="77777777" w:rsidR="00327301" w:rsidRPr="00DB2D18" w:rsidRDefault="00327301" w:rsidP="00FE68E8">
            <w:pPr>
              <w:jc w:val="right"/>
              <w:rPr>
                <w:sz w:val="18"/>
                <w:lang w:eastAsia="en-GB"/>
              </w:rPr>
            </w:pPr>
            <w:r w:rsidRPr="00DB2D18">
              <w:rPr>
                <w:sz w:val="18"/>
                <w:lang w:eastAsia="en-GB"/>
              </w:rPr>
              <w:t>52%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D17D"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621A"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7A67" w14:textId="77777777" w:rsidR="00327301" w:rsidRPr="00DB2D18" w:rsidRDefault="00327301" w:rsidP="00FE68E8">
            <w:pPr>
              <w:jc w:val="right"/>
              <w:rPr>
                <w:sz w:val="18"/>
                <w:lang w:eastAsia="en-GB"/>
              </w:rPr>
            </w:pPr>
            <w:r w:rsidRPr="00DB2D18">
              <w:rPr>
                <w:sz w:val="18"/>
                <w:lang w:eastAsia="en-GB"/>
              </w:rPr>
              <w:t>54%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9E07"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5FDC"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47BB9" w14:textId="77777777" w:rsidR="00327301" w:rsidRPr="00DB2D18" w:rsidRDefault="00327301" w:rsidP="00FE68E8">
            <w:pPr>
              <w:jc w:val="right"/>
              <w:rPr>
                <w:sz w:val="18"/>
                <w:lang w:eastAsia="en-GB"/>
              </w:rPr>
            </w:pPr>
            <w:r w:rsidRPr="00DB2D18">
              <w:rPr>
                <w:sz w:val="18"/>
                <w:lang w:eastAsia="en-GB"/>
              </w:rPr>
              <w:t>60%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4B43"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2821"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24D9" w14:textId="77777777" w:rsidR="00327301" w:rsidRPr="00DB2D18" w:rsidRDefault="00327301" w:rsidP="00FE68E8">
            <w:pPr>
              <w:jc w:val="right"/>
              <w:rPr>
                <w:sz w:val="18"/>
                <w:lang w:eastAsia="en-GB"/>
              </w:rPr>
            </w:pPr>
            <w:r w:rsidRPr="00DB2D18">
              <w:rPr>
                <w:sz w:val="18"/>
                <w:lang w:eastAsia="en-GB"/>
              </w:rPr>
              <w:t>66%</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6EC7" w14:textId="77777777" w:rsidR="00327301" w:rsidRPr="00DB2D18" w:rsidRDefault="00327301" w:rsidP="00FE68E8">
            <w:pPr>
              <w:jc w:val="right"/>
              <w:rPr>
                <w:sz w:val="18"/>
                <w:lang w:eastAsia="en-GB"/>
              </w:rPr>
            </w:pPr>
            <w:r w:rsidRPr="00DB2D18">
              <w:rPr>
                <w:sz w:val="18"/>
                <w:lang w:eastAsia="en-GB"/>
              </w:rPr>
              <w:t>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88E1" w14:textId="77777777" w:rsidR="00327301" w:rsidRPr="00DB2D18" w:rsidRDefault="00327301" w:rsidP="00FE68E8">
            <w:pPr>
              <w:jc w:val="right"/>
              <w:rPr>
                <w:sz w:val="18"/>
                <w:lang w:eastAsia="en-GB"/>
              </w:rPr>
            </w:pPr>
            <w:r w:rsidRPr="00DB2D18">
              <w:rPr>
                <w:sz w:val="18"/>
                <w:lang w:eastAsia="en-GB"/>
              </w:rPr>
              <w:t>24%</w:t>
            </w:r>
          </w:p>
        </w:tc>
      </w:tr>
      <w:tr w:rsidR="00750996" w:rsidRPr="00A52AEE" w14:paraId="2C6C2D80"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138A8E7E" w14:textId="77777777" w:rsidR="00327301" w:rsidRPr="00DB2D18" w:rsidRDefault="00327301" w:rsidP="00A52AEE">
            <w:pPr>
              <w:rPr>
                <w:sz w:val="22"/>
                <w:lang w:eastAsia="en-GB"/>
              </w:rPr>
            </w:pPr>
            <w:r w:rsidRPr="00DB2D18">
              <w:rPr>
                <w:sz w:val="22"/>
                <w:lang w:eastAsia="en-GB"/>
              </w:rPr>
              <w:t>Harrow</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41CD" w14:textId="77777777" w:rsidR="00327301" w:rsidRPr="00DB2D18" w:rsidRDefault="00327301" w:rsidP="00FE68E8">
            <w:pPr>
              <w:jc w:val="right"/>
              <w:rPr>
                <w:sz w:val="18"/>
                <w:lang w:eastAsia="en-GB"/>
              </w:rPr>
            </w:pPr>
            <w:r w:rsidRPr="00DB2D18">
              <w:rPr>
                <w:sz w:val="18"/>
                <w:lang w:eastAsia="en-GB"/>
              </w:rPr>
              <w:t>74%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40FF" w14:textId="77777777" w:rsidR="00327301" w:rsidRPr="00DB2D18" w:rsidRDefault="00327301" w:rsidP="00FE68E8">
            <w:pPr>
              <w:jc w:val="right"/>
              <w:rPr>
                <w:sz w:val="18"/>
                <w:lang w:eastAsia="en-GB"/>
              </w:rPr>
            </w:pPr>
            <w:r w:rsidRPr="00DB2D18">
              <w:rPr>
                <w:sz w:val="18"/>
                <w:lang w:eastAsia="en-GB"/>
              </w:rPr>
              <w:t>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4336" w14:textId="77777777" w:rsidR="00327301" w:rsidRPr="00DB2D18" w:rsidRDefault="00327301" w:rsidP="00FE68E8">
            <w:pPr>
              <w:jc w:val="right"/>
              <w:rPr>
                <w:sz w:val="18"/>
                <w:lang w:eastAsia="en-GB"/>
              </w:rPr>
            </w:pPr>
            <w:r w:rsidRPr="00DB2D18">
              <w:rPr>
                <w:sz w:val="18"/>
                <w:lang w:eastAsia="en-GB"/>
              </w:rPr>
              <w:t>19%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60E2" w14:textId="77777777" w:rsidR="00327301" w:rsidRPr="00DB2D18" w:rsidRDefault="00327301" w:rsidP="00FE68E8">
            <w:pPr>
              <w:jc w:val="right"/>
              <w:rPr>
                <w:sz w:val="18"/>
                <w:lang w:eastAsia="en-GB"/>
              </w:rPr>
            </w:pPr>
            <w:r w:rsidRPr="00DB2D18">
              <w:rPr>
                <w:sz w:val="18"/>
                <w:lang w:eastAsia="en-GB"/>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9803" w14:textId="77777777" w:rsidR="00327301" w:rsidRPr="00DB2D18" w:rsidRDefault="00327301" w:rsidP="00FE68E8">
            <w:pPr>
              <w:jc w:val="right"/>
              <w:rPr>
                <w:sz w:val="18"/>
                <w:lang w:eastAsia="en-GB"/>
              </w:rPr>
            </w:pPr>
            <w:r w:rsidRPr="00DB2D18">
              <w:rPr>
                <w:sz w:val="18"/>
                <w:lang w:eastAsia="en-GB"/>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AA18" w14:textId="77777777" w:rsidR="00327301" w:rsidRPr="00DB2D18" w:rsidRDefault="00327301" w:rsidP="00FE68E8">
            <w:pPr>
              <w:jc w:val="right"/>
              <w:rPr>
                <w:sz w:val="18"/>
                <w:lang w:eastAsia="en-GB"/>
              </w:rPr>
            </w:pPr>
            <w:r w:rsidRPr="00DB2D18">
              <w:rPr>
                <w:sz w:val="18"/>
                <w:lang w:eastAsia="en-GB"/>
              </w:rPr>
              <w:t>26%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2FFD" w14:textId="77777777" w:rsidR="00327301" w:rsidRPr="00DB2D18" w:rsidRDefault="00327301" w:rsidP="00FE68E8">
            <w:pPr>
              <w:jc w:val="right"/>
              <w:rPr>
                <w:sz w:val="18"/>
                <w:lang w:eastAsia="en-GB"/>
              </w:rPr>
            </w:pPr>
            <w:r w:rsidRPr="00DB2D18">
              <w:rPr>
                <w:sz w:val="18"/>
                <w:lang w:eastAsia="en-GB"/>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CB84" w14:textId="77777777" w:rsidR="00327301" w:rsidRPr="00DB2D18" w:rsidRDefault="00327301" w:rsidP="00FE68E8">
            <w:pPr>
              <w:jc w:val="right"/>
              <w:rPr>
                <w:sz w:val="18"/>
                <w:lang w:eastAsia="en-GB"/>
              </w:rPr>
            </w:pPr>
            <w:r w:rsidRPr="00DB2D18">
              <w:rPr>
                <w:sz w:val="18"/>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28D2"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DE06" w14:textId="77777777" w:rsidR="00327301" w:rsidRPr="00DB2D18" w:rsidRDefault="00327301" w:rsidP="00FE68E8">
            <w:pPr>
              <w:jc w:val="right"/>
              <w:rPr>
                <w:sz w:val="18"/>
                <w:lang w:eastAsia="en-GB"/>
              </w:rPr>
            </w:pPr>
            <w:r w:rsidRPr="00DB2D18">
              <w:rPr>
                <w:sz w:val="18"/>
                <w:lang w:eastAsia="en-GB"/>
              </w:rPr>
              <w:t>66%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6EF0" w14:textId="77777777" w:rsidR="00327301" w:rsidRPr="00DB2D18" w:rsidRDefault="00327301" w:rsidP="00FE68E8">
            <w:pPr>
              <w:jc w:val="right"/>
              <w:rPr>
                <w:sz w:val="18"/>
                <w:lang w:eastAsia="en-GB"/>
              </w:rPr>
            </w:pPr>
            <w:r w:rsidRPr="00DB2D18">
              <w:rPr>
                <w:sz w:val="18"/>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B019" w14:textId="77777777" w:rsidR="00327301" w:rsidRPr="00DB2D18" w:rsidRDefault="00327301" w:rsidP="00FE68E8">
            <w:pPr>
              <w:jc w:val="right"/>
              <w:rPr>
                <w:sz w:val="18"/>
                <w:lang w:eastAsia="en-GB"/>
              </w:rPr>
            </w:pPr>
            <w:r w:rsidRPr="00DB2D18">
              <w:rPr>
                <w:sz w:val="18"/>
                <w:lang w:eastAsia="en-GB"/>
              </w:rPr>
              <w:t>25%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90CA" w14:textId="77777777" w:rsidR="00327301" w:rsidRPr="00DB2D18" w:rsidRDefault="00327301" w:rsidP="00FE68E8">
            <w:pPr>
              <w:jc w:val="right"/>
              <w:rPr>
                <w:sz w:val="18"/>
                <w:lang w:eastAsia="en-GB"/>
              </w:rPr>
            </w:pPr>
            <w:r w:rsidRPr="00DB2D18">
              <w:rPr>
                <w:sz w:val="18"/>
                <w:lang w:eastAsia="en-GB"/>
              </w:rPr>
              <w:t>71%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69D3" w14:textId="77777777" w:rsidR="00327301" w:rsidRPr="00DB2D18" w:rsidRDefault="00327301" w:rsidP="00FE68E8">
            <w:pPr>
              <w:jc w:val="right"/>
              <w:rPr>
                <w:sz w:val="18"/>
                <w:lang w:eastAsia="en-GB"/>
              </w:rPr>
            </w:pPr>
            <w:r w:rsidRPr="00DB2D18">
              <w:rPr>
                <w:sz w:val="18"/>
                <w:lang w:eastAsia="en-GB"/>
              </w:rPr>
              <w:t>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B8B1" w14:textId="77777777" w:rsidR="00327301" w:rsidRPr="00DB2D18" w:rsidRDefault="00327301" w:rsidP="00FE68E8">
            <w:pPr>
              <w:jc w:val="right"/>
              <w:rPr>
                <w:sz w:val="18"/>
                <w:lang w:eastAsia="en-GB"/>
              </w:rPr>
            </w:pPr>
            <w:r w:rsidRPr="00DB2D18">
              <w:rPr>
                <w:sz w:val="18"/>
                <w:lang w:eastAsia="en-GB"/>
              </w:rPr>
              <w:t>19%</w:t>
            </w:r>
          </w:p>
        </w:tc>
      </w:tr>
      <w:tr w:rsidR="00750996" w:rsidRPr="00A52AEE" w14:paraId="36C4D9AB"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4D1A611D" w14:textId="77777777" w:rsidR="00327301" w:rsidRPr="00DB2D18" w:rsidRDefault="00327301" w:rsidP="00A52AEE">
            <w:pPr>
              <w:rPr>
                <w:sz w:val="22"/>
                <w:lang w:eastAsia="en-GB"/>
              </w:rPr>
            </w:pPr>
            <w:r w:rsidRPr="00DB2D18">
              <w:rPr>
                <w:sz w:val="22"/>
                <w:lang w:eastAsia="en-GB"/>
              </w:rPr>
              <w:t>Havering</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78AB" w14:textId="77777777" w:rsidR="00327301" w:rsidRPr="00DB2D18" w:rsidRDefault="00327301" w:rsidP="00FE68E8">
            <w:pPr>
              <w:jc w:val="right"/>
              <w:rPr>
                <w:sz w:val="18"/>
                <w:lang w:eastAsia="en-GB"/>
              </w:rPr>
            </w:pPr>
            <w:r w:rsidRPr="00DB2D18">
              <w:rPr>
                <w:sz w:val="18"/>
                <w:lang w:eastAsia="en-GB"/>
              </w:rPr>
              <w:t>70%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F782" w14:textId="77777777" w:rsidR="00327301" w:rsidRPr="00DB2D18" w:rsidRDefault="00327301" w:rsidP="00FE68E8">
            <w:pPr>
              <w:jc w:val="right"/>
              <w:rPr>
                <w:sz w:val="18"/>
                <w:lang w:eastAsia="en-GB"/>
              </w:rPr>
            </w:pPr>
            <w:r w:rsidRPr="00DB2D18">
              <w:rPr>
                <w:sz w:val="18"/>
                <w:lang w:eastAsia="en-GB"/>
              </w:rPr>
              <w:t>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29B1" w14:textId="77777777" w:rsidR="00327301" w:rsidRPr="00DB2D18" w:rsidRDefault="00327301" w:rsidP="00FE68E8">
            <w:pPr>
              <w:jc w:val="right"/>
              <w:rPr>
                <w:sz w:val="18"/>
                <w:lang w:eastAsia="en-GB"/>
              </w:rPr>
            </w:pPr>
            <w:r w:rsidRPr="00DB2D18">
              <w:rPr>
                <w:sz w:val="18"/>
                <w:lang w:eastAsia="en-GB"/>
              </w:rPr>
              <w:t>23%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5419F" w14:textId="77777777" w:rsidR="00327301" w:rsidRPr="00DB2D18" w:rsidRDefault="00327301" w:rsidP="00FE68E8">
            <w:pPr>
              <w:jc w:val="right"/>
              <w:rPr>
                <w:sz w:val="18"/>
                <w:lang w:eastAsia="en-GB"/>
              </w:rPr>
            </w:pPr>
            <w:r w:rsidRPr="00DB2D18">
              <w:rPr>
                <w:sz w:val="18"/>
                <w:lang w:eastAsia="en-GB"/>
              </w:rPr>
              <w:t>66%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2DD5" w14:textId="77777777" w:rsidR="00327301" w:rsidRPr="00DB2D18" w:rsidRDefault="00327301" w:rsidP="00FE68E8">
            <w:pPr>
              <w:jc w:val="right"/>
              <w:rPr>
                <w:sz w:val="18"/>
                <w:lang w:eastAsia="en-GB"/>
              </w:rPr>
            </w:pPr>
            <w:r w:rsidRPr="00DB2D18">
              <w:rPr>
                <w:sz w:val="18"/>
                <w:lang w:eastAsia="en-GB"/>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F948" w14:textId="77777777" w:rsidR="00327301" w:rsidRPr="00DB2D18" w:rsidRDefault="00327301" w:rsidP="00FE68E8">
            <w:pPr>
              <w:jc w:val="right"/>
              <w:rPr>
                <w:sz w:val="18"/>
                <w:lang w:eastAsia="en-GB"/>
              </w:rPr>
            </w:pPr>
            <w:r w:rsidRPr="00DB2D18">
              <w:rPr>
                <w:sz w:val="18"/>
                <w:lang w:eastAsia="en-GB"/>
              </w:rPr>
              <w:t>26%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FBC7" w14:textId="77777777" w:rsidR="00327301" w:rsidRPr="00DB2D18" w:rsidRDefault="00327301" w:rsidP="00FE68E8">
            <w:pPr>
              <w:jc w:val="right"/>
              <w:rPr>
                <w:sz w:val="18"/>
                <w:lang w:eastAsia="en-GB"/>
              </w:rPr>
            </w:pPr>
            <w:r w:rsidRPr="00DB2D18">
              <w:rPr>
                <w:sz w:val="18"/>
                <w:lang w:eastAsia="en-GB"/>
              </w:rPr>
              <w:t>68%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BB2BF" w14:textId="77777777" w:rsidR="00327301" w:rsidRPr="00DB2D18" w:rsidRDefault="00327301" w:rsidP="00FE68E8">
            <w:pPr>
              <w:jc w:val="right"/>
              <w:rPr>
                <w:sz w:val="18"/>
                <w:lang w:eastAsia="en-GB"/>
              </w:rPr>
            </w:pPr>
            <w:r w:rsidRPr="00DB2D18">
              <w:rPr>
                <w:sz w:val="18"/>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1EBB" w14:textId="77777777" w:rsidR="00327301" w:rsidRPr="00DB2D18" w:rsidRDefault="00327301" w:rsidP="00FE68E8">
            <w:pPr>
              <w:jc w:val="right"/>
              <w:rPr>
                <w:sz w:val="18"/>
                <w:lang w:eastAsia="en-GB"/>
              </w:rPr>
            </w:pPr>
            <w:r w:rsidRPr="00DB2D18">
              <w:rPr>
                <w:sz w:val="18"/>
                <w:lang w:eastAsia="en-GB"/>
              </w:rPr>
              <w:t>23%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8C181" w14:textId="77777777" w:rsidR="00327301" w:rsidRPr="00DB2D18" w:rsidRDefault="00327301" w:rsidP="00FE68E8">
            <w:pPr>
              <w:jc w:val="right"/>
              <w:rPr>
                <w:sz w:val="18"/>
                <w:lang w:eastAsia="en-GB"/>
              </w:rPr>
            </w:pPr>
            <w:r w:rsidRPr="00DB2D18">
              <w:rPr>
                <w:sz w:val="18"/>
                <w:lang w:eastAsia="en-GB"/>
              </w:rPr>
              <w:t>72%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35F9" w14:textId="77777777" w:rsidR="00327301" w:rsidRPr="00DB2D18" w:rsidRDefault="00327301" w:rsidP="00FE68E8">
            <w:pPr>
              <w:jc w:val="right"/>
              <w:rPr>
                <w:sz w:val="18"/>
                <w:lang w:eastAsia="en-GB"/>
              </w:rPr>
            </w:pPr>
            <w:r w:rsidRPr="00DB2D18">
              <w:rPr>
                <w:sz w:val="18"/>
                <w:lang w:eastAsia="en-GB"/>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6F90" w14:textId="77777777" w:rsidR="00327301" w:rsidRPr="00DB2D18" w:rsidRDefault="00327301" w:rsidP="00FE68E8">
            <w:pPr>
              <w:jc w:val="right"/>
              <w:rPr>
                <w:sz w:val="18"/>
                <w:lang w:eastAsia="en-GB"/>
              </w:rPr>
            </w:pPr>
            <w:r w:rsidRPr="00DB2D18">
              <w:rPr>
                <w:sz w:val="18"/>
                <w:lang w:eastAsia="en-GB"/>
              </w:rPr>
              <w:t>21%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FECEA" w14:textId="77777777" w:rsidR="00327301" w:rsidRPr="00DB2D18" w:rsidRDefault="00327301" w:rsidP="00FE68E8">
            <w:pPr>
              <w:jc w:val="right"/>
              <w:rPr>
                <w:sz w:val="18"/>
                <w:lang w:eastAsia="en-GB"/>
              </w:rPr>
            </w:pPr>
            <w:r w:rsidRPr="00DB2D18">
              <w:rPr>
                <w:sz w:val="18"/>
                <w:lang w:eastAsia="en-GB"/>
              </w:rPr>
              <w:t>80%</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7B63" w14:textId="77777777" w:rsidR="00327301" w:rsidRPr="00DB2D18" w:rsidRDefault="00327301" w:rsidP="00FE68E8">
            <w:pPr>
              <w:jc w:val="right"/>
              <w:rPr>
                <w:sz w:val="18"/>
                <w:lang w:eastAsia="en-GB"/>
              </w:rPr>
            </w:pPr>
            <w:r w:rsidRPr="00DB2D18">
              <w:rPr>
                <w:sz w:val="18"/>
                <w:lang w:eastAsia="en-GB"/>
              </w:rPr>
              <w:t>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6F83" w14:textId="77777777" w:rsidR="00327301" w:rsidRPr="00DB2D18" w:rsidRDefault="00327301" w:rsidP="00FE68E8">
            <w:pPr>
              <w:jc w:val="right"/>
              <w:rPr>
                <w:sz w:val="18"/>
                <w:lang w:eastAsia="en-GB"/>
              </w:rPr>
            </w:pPr>
            <w:r w:rsidRPr="00DB2D18">
              <w:rPr>
                <w:sz w:val="18"/>
                <w:lang w:eastAsia="en-GB"/>
              </w:rPr>
              <w:t>13%</w:t>
            </w:r>
          </w:p>
        </w:tc>
      </w:tr>
      <w:tr w:rsidR="00750996" w:rsidRPr="00A52AEE" w14:paraId="1AE51728"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38DF503C" w14:textId="77777777" w:rsidR="00327301" w:rsidRPr="00DB2D18" w:rsidRDefault="00327301" w:rsidP="00A52AEE">
            <w:pPr>
              <w:rPr>
                <w:sz w:val="22"/>
                <w:lang w:eastAsia="en-GB"/>
              </w:rPr>
            </w:pPr>
            <w:r w:rsidRPr="00DB2D18">
              <w:rPr>
                <w:sz w:val="22"/>
                <w:lang w:eastAsia="en-GB"/>
              </w:rPr>
              <w:t>Hillingdon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5E2D7" w14:textId="77777777" w:rsidR="00327301" w:rsidRPr="00DB2D18" w:rsidRDefault="00327301" w:rsidP="00FE68E8">
            <w:pPr>
              <w:jc w:val="right"/>
              <w:rPr>
                <w:sz w:val="18"/>
                <w:lang w:eastAsia="en-GB"/>
              </w:rPr>
            </w:pPr>
            <w:r w:rsidRPr="00DB2D18">
              <w:rPr>
                <w:sz w:val="18"/>
                <w:lang w:eastAsia="en-GB"/>
              </w:rPr>
              <w:t>54%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3229" w14:textId="77777777" w:rsidR="00327301" w:rsidRPr="00DB2D18" w:rsidRDefault="00327301" w:rsidP="00FE68E8">
            <w:pPr>
              <w:jc w:val="right"/>
              <w:rPr>
                <w:sz w:val="18"/>
                <w:lang w:eastAsia="en-GB"/>
              </w:rPr>
            </w:pPr>
            <w:r w:rsidRPr="00DB2D18">
              <w:rPr>
                <w:sz w:val="18"/>
                <w:lang w:eastAsia="en-GB"/>
              </w:rPr>
              <w:t>14%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49DA" w14:textId="77777777" w:rsidR="00327301" w:rsidRPr="00DB2D18" w:rsidRDefault="00327301" w:rsidP="00FE68E8">
            <w:pPr>
              <w:jc w:val="right"/>
              <w:rPr>
                <w:sz w:val="18"/>
                <w:lang w:eastAsia="en-GB"/>
              </w:rPr>
            </w:pPr>
            <w:r w:rsidRPr="00DB2D18">
              <w:rPr>
                <w:sz w:val="18"/>
                <w:lang w:eastAsia="en-GB"/>
              </w:rPr>
              <w:t>32%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70CCF" w14:textId="77777777" w:rsidR="00327301" w:rsidRPr="00DB2D18" w:rsidRDefault="00327301" w:rsidP="00FE68E8">
            <w:pPr>
              <w:jc w:val="right"/>
              <w:rPr>
                <w:sz w:val="18"/>
                <w:lang w:eastAsia="en-GB"/>
              </w:rPr>
            </w:pPr>
            <w:r w:rsidRPr="00DB2D18">
              <w:rPr>
                <w:sz w:val="18"/>
                <w:lang w:eastAsia="en-GB"/>
              </w:rPr>
              <w:t>49%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2827"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60E5" w14:textId="77777777" w:rsidR="00327301" w:rsidRPr="00DB2D18" w:rsidRDefault="00327301" w:rsidP="00FE68E8">
            <w:pPr>
              <w:jc w:val="right"/>
              <w:rPr>
                <w:sz w:val="18"/>
                <w:lang w:eastAsia="en-GB"/>
              </w:rPr>
            </w:pPr>
            <w:r w:rsidRPr="00DB2D18">
              <w:rPr>
                <w:sz w:val="18"/>
                <w:lang w:eastAsia="en-GB"/>
              </w:rPr>
              <w:t>36%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0D6E"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1FF70"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5AA8" w14:textId="77777777" w:rsidR="00327301" w:rsidRPr="00DB2D18" w:rsidRDefault="00327301" w:rsidP="00FE68E8">
            <w:pPr>
              <w:jc w:val="right"/>
              <w:rPr>
                <w:sz w:val="18"/>
                <w:lang w:eastAsia="en-GB"/>
              </w:rPr>
            </w:pPr>
            <w:r w:rsidRPr="00DB2D18">
              <w:rPr>
                <w:sz w:val="18"/>
                <w:lang w:eastAsia="en-GB"/>
              </w:rPr>
              <w:t>34%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B953" w14:textId="77777777" w:rsidR="00327301" w:rsidRPr="00DB2D18" w:rsidRDefault="00327301" w:rsidP="00FE68E8">
            <w:pPr>
              <w:jc w:val="right"/>
              <w:rPr>
                <w:sz w:val="18"/>
                <w:lang w:eastAsia="en-GB"/>
              </w:rPr>
            </w:pPr>
            <w:r w:rsidRPr="00DB2D18">
              <w:rPr>
                <w:sz w:val="18"/>
                <w:lang w:eastAsia="en-GB"/>
              </w:rPr>
              <w:t>58%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53E8"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0D24E" w14:textId="77777777" w:rsidR="00327301" w:rsidRPr="00DB2D18" w:rsidRDefault="00327301" w:rsidP="00FE68E8">
            <w:pPr>
              <w:jc w:val="right"/>
              <w:rPr>
                <w:sz w:val="18"/>
                <w:lang w:eastAsia="en-GB"/>
              </w:rPr>
            </w:pPr>
            <w:r w:rsidRPr="00DB2D18">
              <w:rPr>
                <w:sz w:val="18"/>
                <w:lang w:eastAsia="en-GB"/>
              </w:rPr>
              <w:t>27%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F140" w14:textId="77777777" w:rsidR="00327301" w:rsidRPr="00DB2D18" w:rsidRDefault="00327301" w:rsidP="00FE68E8">
            <w:pPr>
              <w:jc w:val="right"/>
              <w:rPr>
                <w:sz w:val="18"/>
                <w:lang w:eastAsia="en-GB"/>
              </w:rPr>
            </w:pPr>
            <w:r w:rsidRPr="00DB2D18">
              <w:rPr>
                <w:sz w:val="18"/>
                <w:lang w:eastAsia="en-GB"/>
              </w:rPr>
              <w:t>67%</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E1D8" w14:textId="77777777" w:rsidR="00327301" w:rsidRPr="00DB2D18" w:rsidRDefault="00327301" w:rsidP="00FE68E8">
            <w:pPr>
              <w:jc w:val="right"/>
              <w:rPr>
                <w:sz w:val="18"/>
                <w:lang w:eastAsia="en-GB"/>
              </w:rPr>
            </w:pPr>
            <w:r w:rsidRPr="00DB2D18">
              <w:rPr>
                <w:sz w:val="18"/>
                <w:lang w:eastAsia="en-GB"/>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DAC8" w14:textId="77777777" w:rsidR="00327301" w:rsidRPr="00DB2D18" w:rsidRDefault="00327301" w:rsidP="00FE68E8">
            <w:pPr>
              <w:jc w:val="right"/>
              <w:rPr>
                <w:sz w:val="18"/>
                <w:lang w:eastAsia="en-GB"/>
              </w:rPr>
            </w:pPr>
            <w:r w:rsidRPr="00DB2D18">
              <w:rPr>
                <w:sz w:val="18"/>
                <w:lang w:eastAsia="en-GB"/>
              </w:rPr>
              <w:t>20%</w:t>
            </w:r>
          </w:p>
        </w:tc>
      </w:tr>
      <w:tr w:rsidR="00750996" w:rsidRPr="00A52AEE" w14:paraId="1B3D8D28"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61B60D9B" w14:textId="77777777" w:rsidR="00327301" w:rsidRPr="00DB2D18" w:rsidRDefault="00327301" w:rsidP="00A52AEE">
            <w:pPr>
              <w:rPr>
                <w:sz w:val="22"/>
                <w:lang w:eastAsia="en-GB"/>
              </w:rPr>
            </w:pPr>
            <w:r w:rsidRPr="00DB2D18">
              <w:rPr>
                <w:sz w:val="22"/>
                <w:lang w:eastAsia="en-GB"/>
              </w:rPr>
              <w:t>Hounslow</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D65E" w14:textId="77777777" w:rsidR="00327301" w:rsidRPr="00DB2D18" w:rsidRDefault="00327301" w:rsidP="00FE68E8">
            <w:pPr>
              <w:jc w:val="right"/>
              <w:rPr>
                <w:sz w:val="18"/>
                <w:lang w:eastAsia="en-GB"/>
              </w:rPr>
            </w:pPr>
            <w:r w:rsidRPr="00DB2D18">
              <w:rPr>
                <w:sz w:val="18"/>
                <w:lang w:eastAsia="en-GB"/>
              </w:rPr>
              <w:t>56%</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8C92"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8E42" w14:textId="77777777" w:rsidR="00327301" w:rsidRPr="00DB2D18" w:rsidRDefault="00327301" w:rsidP="00FE68E8">
            <w:pPr>
              <w:jc w:val="right"/>
              <w:rPr>
                <w:sz w:val="18"/>
                <w:lang w:eastAsia="en-GB"/>
              </w:rPr>
            </w:pPr>
            <w:r w:rsidRPr="00DB2D18">
              <w:rPr>
                <w:sz w:val="18"/>
                <w:lang w:eastAsia="en-GB"/>
              </w:rPr>
              <w:t>33%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7649"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8F1C"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EEAD" w14:textId="77777777" w:rsidR="00327301" w:rsidRPr="00DB2D18" w:rsidRDefault="00327301" w:rsidP="00FE68E8">
            <w:pPr>
              <w:jc w:val="right"/>
              <w:rPr>
                <w:sz w:val="18"/>
                <w:lang w:eastAsia="en-GB"/>
              </w:rPr>
            </w:pPr>
            <w:r w:rsidRPr="00DB2D18">
              <w:rPr>
                <w:sz w:val="18"/>
                <w:lang w:eastAsia="en-GB"/>
              </w:rPr>
              <w:t>38%</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43F5"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BD112"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4274"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4EB6" w14:textId="77777777" w:rsidR="00327301" w:rsidRPr="00DB2D18" w:rsidRDefault="00327301" w:rsidP="00FE68E8">
            <w:pPr>
              <w:jc w:val="right"/>
              <w:rPr>
                <w:sz w:val="18"/>
                <w:lang w:eastAsia="en-GB"/>
              </w:rPr>
            </w:pPr>
            <w:r w:rsidRPr="00DB2D18">
              <w:rPr>
                <w:sz w:val="18"/>
                <w:lang w:eastAsia="en-GB"/>
              </w:rPr>
              <w:t>59%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5C2D"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362A" w14:textId="77777777" w:rsidR="00327301" w:rsidRPr="00DB2D18" w:rsidRDefault="00327301" w:rsidP="00FE68E8">
            <w:pPr>
              <w:jc w:val="right"/>
              <w:rPr>
                <w:sz w:val="18"/>
                <w:lang w:eastAsia="en-GB"/>
              </w:rPr>
            </w:pPr>
            <w:r w:rsidRPr="00DB2D18">
              <w:rPr>
                <w:sz w:val="18"/>
                <w:lang w:eastAsia="en-GB"/>
              </w:rPr>
              <w:t>26%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C0FF" w14:textId="77777777" w:rsidR="00327301" w:rsidRPr="00DB2D18" w:rsidRDefault="00327301" w:rsidP="00FE68E8">
            <w:pPr>
              <w:jc w:val="right"/>
              <w:rPr>
                <w:sz w:val="18"/>
                <w:lang w:eastAsia="en-GB"/>
              </w:rPr>
            </w:pPr>
            <w:r w:rsidRPr="00DB2D18">
              <w:rPr>
                <w:sz w:val="18"/>
                <w:lang w:eastAsia="en-GB"/>
              </w:rPr>
              <w:t>64%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9EB61" w14:textId="77777777" w:rsidR="00327301" w:rsidRPr="00DB2D18" w:rsidRDefault="00327301" w:rsidP="00FE68E8">
            <w:pPr>
              <w:jc w:val="right"/>
              <w:rPr>
                <w:sz w:val="18"/>
                <w:lang w:eastAsia="en-GB"/>
              </w:rPr>
            </w:pPr>
            <w:r w:rsidRPr="00DB2D18">
              <w:rPr>
                <w:sz w:val="18"/>
                <w:lang w:eastAsia="en-GB"/>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79BB6" w14:textId="77777777" w:rsidR="00327301" w:rsidRPr="00DB2D18" w:rsidRDefault="00327301" w:rsidP="00FE68E8">
            <w:pPr>
              <w:jc w:val="right"/>
              <w:rPr>
                <w:sz w:val="18"/>
                <w:lang w:eastAsia="en-GB"/>
              </w:rPr>
            </w:pPr>
            <w:r w:rsidRPr="00DB2D18">
              <w:rPr>
                <w:sz w:val="18"/>
                <w:lang w:eastAsia="en-GB"/>
              </w:rPr>
              <w:t>22%</w:t>
            </w:r>
          </w:p>
        </w:tc>
      </w:tr>
      <w:tr w:rsidR="00750996" w:rsidRPr="00A52AEE" w14:paraId="47615F3C"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235CEA8F" w14:textId="77777777" w:rsidR="00327301" w:rsidRPr="00DB2D18" w:rsidRDefault="00327301" w:rsidP="00A52AEE">
            <w:pPr>
              <w:rPr>
                <w:sz w:val="22"/>
                <w:lang w:eastAsia="en-GB"/>
              </w:rPr>
            </w:pPr>
            <w:r w:rsidRPr="00DB2D18">
              <w:rPr>
                <w:sz w:val="22"/>
                <w:lang w:eastAsia="en-GB"/>
              </w:rPr>
              <w:t>Islington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3E2D" w14:textId="77777777" w:rsidR="00327301" w:rsidRPr="00DB2D18" w:rsidRDefault="00327301" w:rsidP="00FE68E8">
            <w:pPr>
              <w:jc w:val="right"/>
              <w:rPr>
                <w:sz w:val="18"/>
                <w:lang w:eastAsia="en-GB"/>
              </w:rPr>
            </w:pPr>
            <w:r w:rsidRPr="00DB2D18">
              <w:rPr>
                <w:sz w:val="18"/>
                <w:lang w:eastAsia="en-GB"/>
              </w:rPr>
              <w:t>48%</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1019"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816C" w14:textId="77777777" w:rsidR="00327301" w:rsidRPr="00DB2D18" w:rsidRDefault="00327301" w:rsidP="00FE68E8">
            <w:pPr>
              <w:jc w:val="right"/>
              <w:rPr>
                <w:sz w:val="18"/>
                <w:lang w:eastAsia="en-GB"/>
              </w:rPr>
            </w:pPr>
            <w:r w:rsidRPr="00DB2D18">
              <w:rPr>
                <w:sz w:val="18"/>
                <w:lang w:eastAsia="en-GB"/>
              </w:rPr>
              <w:t>41%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ED44" w14:textId="77777777" w:rsidR="00327301" w:rsidRPr="00DB2D18" w:rsidRDefault="00327301" w:rsidP="00FE68E8">
            <w:pPr>
              <w:jc w:val="right"/>
              <w:rPr>
                <w:sz w:val="18"/>
                <w:lang w:eastAsia="en-GB"/>
              </w:rPr>
            </w:pPr>
            <w:r w:rsidRPr="00DB2D18">
              <w:rPr>
                <w:sz w:val="18"/>
                <w:lang w:eastAsia="en-GB"/>
              </w:rPr>
              <w:t>51%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2C28"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EE4C"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A571" w14:textId="77777777" w:rsidR="00327301" w:rsidRPr="00DB2D18" w:rsidRDefault="00327301" w:rsidP="00FE68E8">
            <w:pPr>
              <w:jc w:val="right"/>
              <w:rPr>
                <w:sz w:val="18"/>
                <w:lang w:eastAsia="en-GB"/>
              </w:rPr>
            </w:pPr>
            <w:r w:rsidRPr="00DB2D18">
              <w:rPr>
                <w:sz w:val="18"/>
                <w:lang w:eastAsia="en-GB"/>
              </w:rPr>
              <w:t>49%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A8CA1"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FF9D" w14:textId="77777777" w:rsidR="00327301" w:rsidRPr="00DB2D18" w:rsidRDefault="00327301" w:rsidP="00FE68E8">
            <w:pPr>
              <w:jc w:val="right"/>
              <w:rPr>
                <w:sz w:val="18"/>
                <w:lang w:eastAsia="en-GB"/>
              </w:rPr>
            </w:pPr>
            <w:r w:rsidRPr="00DB2D18">
              <w:rPr>
                <w:sz w:val="18"/>
                <w:lang w:eastAsia="en-GB"/>
              </w:rPr>
              <w:t>40%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FF15" w14:textId="77777777" w:rsidR="00327301" w:rsidRPr="00DB2D18" w:rsidRDefault="00327301" w:rsidP="00FE68E8">
            <w:pPr>
              <w:jc w:val="right"/>
              <w:rPr>
                <w:sz w:val="18"/>
                <w:lang w:eastAsia="en-GB"/>
              </w:rPr>
            </w:pPr>
            <w:r w:rsidRPr="00DB2D18">
              <w:rPr>
                <w:sz w:val="18"/>
                <w:lang w:eastAsia="en-GB"/>
              </w:rPr>
              <w:t>56%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8253"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7EC0" w14:textId="77777777" w:rsidR="00327301" w:rsidRPr="00DB2D18" w:rsidRDefault="00327301" w:rsidP="00FE68E8">
            <w:pPr>
              <w:jc w:val="right"/>
              <w:rPr>
                <w:sz w:val="18"/>
                <w:lang w:eastAsia="en-GB"/>
              </w:rPr>
            </w:pPr>
            <w:r w:rsidRPr="00DB2D18">
              <w:rPr>
                <w:sz w:val="18"/>
                <w:lang w:eastAsia="en-GB"/>
              </w:rPr>
              <w:t>32%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41FF" w14:textId="77777777" w:rsidR="00327301" w:rsidRPr="00DB2D18" w:rsidRDefault="00327301" w:rsidP="00FE68E8">
            <w:pPr>
              <w:jc w:val="right"/>
              <w:rPr>
                <w:sz w:val="18"/>
                <w:lang w:eastAsia="en-GB"/>
              </w:rPr>
            </w:pPr>
            <w:r w:rsidRPr="00DB2D18">
              <w:rPr>
                <w:sz w:val="18"/>
                <w:lang w:eastAsia="en-GB"/>
              </w:rPr>
              <w:t>61%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C0F5"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F515D" w14:textId="77777777" w:rsidR="00327301" w:rsidRPr="00DB2D18" w:rsidRDefault="00327301" w:rsidP="00FE68E8">
            <w:pPr>
              <w:jc w:val="right"/>
              <w:rPr>
                <w:sz w:val="18"/>
                <w:lang w:eastAsia="en-GB"/>
              </w:rPr>
            </w:pPr>
            <w:r w:rsidRPr="00DB2D18">
              <w:rPr>
                <w:sz w:val="18"/>
                <w:lang w:eastAsia="en-GB"/>
              </w:rPr>
              <w:t>28%</w:t>
            </w:r>
          </w:p>
        </w:tc>
      </w:tr>
      <w:tr w:rsidR="00750996" w:rsidRPr="00A52AEE" w14:paraId="47238622"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7D8F63C6" w14:textId="77777777" w:rsidR="00327301" w:rsidRPr="00DB2D18" w:rsidRDefault="00327301" w:rsidP="00A52AEE">
            <w:pPr>
              <w:rPr>
                <w:sz w:val="22"/>
                <w:lang w:eastAsia="en-GB"/>
              </w:rPr>
            </w:pPr>
            <w:r w:rsidRPr="00DB2D18">
              <w:rPr>
                <w:sz w:val="22"/>
                <w:lang w:eastAsia="en-GB"/>
              </w:rPr>
              <w:t>Kensington and Chelsea</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A11D" w14:textId="77777777" w:rsidR="00327301" w:rsidRPr="00DB2D18" w:rsidRDefault="00327301" w:rsidP="00FE68E8">
            <w:pPr>
              <w:jc w:val="right"/>
              <w:rPr>
                <w:sz w:val="18"/>
                <w:lang w:eastAsia="en-GB"/>
              </w:rPr>
            </w:pPr>
            <w:r w:rsidRPr="00DB2D18">
              <w:rPr>
                <w:sz w:val="18"/>
                <w:lang w:eastAsia="en-GB"/>
              </w:rPr>
              <w:t>43%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8485" w14:textId="77777777" w:rsidR="00327301" w:rsidRPr="00DB2D18" w:rsidRDefault="00327301" w:rsidP="00FE68E8">
            <w:pPr>
              <w:jc w:val="right"/>
              <w:rPr>
                <w:sz w:val="18"/>
                <w:lang w:eastAsia="en-GB"/>
              </w:rPr>
            </w:pPr>
            <w:r w:rsidRPr="00DB2D18">
              <w:rPr>
                <w:sz w:val="18"/>
                <w:lang w:eastAsia="en-GB"/>
              </w:rPr>
              <w:t>14%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09186" w14:textId="77777777" w:rsidR="00327301" w:rsidRPr="00DB2D18" w:rsidRDefault="00327301" w:rsidP="00FE68E8">
            <w:pPr>
              <w:jc w:val="right"/>
              <w:rPr>
                <w:sz w:val="18"/>
                <w:lang w:eastAsia="en-GB"/>
              </w:rPr>
            </w:pPr>
            <w:r w:rsidRPr="00DB2D18">
              <w:rPr>
                <w:sz w:val="18"/>
                <w:lang w:eastAsia="en-GB"/>
              </w:rPr>
              <w:t>43%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914A" w14:textId="77777777" w:rsidR="00327301" w:rsidRPr="00DB2D18" w:rsidRDefault="00327301" w:rsidP="00FE68E8">
            <w:pPr>
              <w:jc w:val="right"/>
              <w:rPr>
                <w:sz w:val="18"/>
                <w:lang w:eastAsia="en-GB"/>
              </w:rPr>
            </w:pPr>
            <w:r w:rsidRPr="00DB2D18">
              <w:rPr>
                <w:sz w:val="18"/>
                <w:lang w:eastAsia="en-GB"/>
              </w:rPr>
              <w:t>42%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B0A4"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6330" w14:textId="77777777" w:rsidR="00327301" w:rsidRPr="00DB2D18" w:rsidRDefault="00327301" w:rsidP="00FE68E8">
            <w:pPr>
              <w:jc w:val="right"/>
              <w:rPr>
                <w:sz w:val="18"/>
                <w:lang w:eastAsia="en-GB"/>
              </w:rPr>
            </w:pPr>
            <w:r w:rsidRPr="00DB2D18">
              <w:rPr>
                <w:sz w:val="18"/>
                <w:lang w:eastAsia="en-GB"/>
              </w:rPr>
              <w:t>44%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F996"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BE77"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9C64F" w14:textId="77777777" w:rsidR="00327301" w:rsidRPr="00DB2D18" w:rsidRDefault="00327301" w:rsidP="00FE68E8">
            <w:pPr>
              <w:jc w:val="right"/>
              <w:rPr>
                <w:sz w:val="18"/>
                <w:lang w:eastAsia="en-GB"/>
              </w:rPr>
            </w:pPr>
            <w:r w:rsidRPr="00DB2D18">
              <w:rPr>
                <w:sz w:val="18"/>
                <w:lang w:eastAsia="en-GB"/>
              </w:rPr>
              <w:t>38%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678B" w14:textId="77777777" w:rsidR="00327301" w:rsidRPr="00DB2D18" w:rsidRDefault="00327301" w:rsidP="00FE68E8">
            <w:pPr>
              <w:jc w:val="right"/>
              <w:rPr>
                <w:sz w:val="18"/>
                <w:lang w:eastAsia="en-GB"/>
              </w:rPr>
            </w:pPr>
            <w:r w:rsidRPr="00DB2D18">
              <w:rPr>
                <w:sz w:val="18"/>
                <w:lang w:eastAsia="en-GB"/>
              </w:rPr>
              <w:t>47%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04BB"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4D7A" w14:textId="77777777" w:rsidR="00327301" w:rsidRPr="00DB2D18" w:rsidRDefault="00327301" w:rsidP="00FE68E8">
            <w:pPr>
              <w:jc w:val="right"/>
              <w:rPr>
                <w:sz w:val="18"/>
                <w:lang w:eastAsia="en-GB"/>
              </w:rPr>
            </w:pPr>
            <w:r w:rsidRPr="00DB2D18">
              <w:rPr>
                <w:sz w:val="18"/>
                <w:lang w:eastAsia="en-GB"/>
              </w:rPr>
              <w:t>38%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2F77" w14:textId="77777777" w:rsidR="00327301" w:rsidRPr="00DB2D18" w:rsidRDefault="00327301" w:rsidP="00FE68E8">
            <w:pPr>
              <w:jc w:val="right"/>
              <w:rPr>
                <w:sz w:val="18"/>
                <w:lang w:eastAsia="en-GB"/>
              </w:rPr>
            </w:pPr>
            <w:r w:rsidRPr="00DB2D18">
              <w:rPr>
                <w:sz w:val="18"/>
                <w:lang w:eastAsia="en-GB"/>
              </w:rPr>
              <w:t>63%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EC2AB"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FD2D" w14:textId="77777777" w:rsidR="00327301" w:rsidRPr="00DB2D18" w:rsidRDefault="00327301" w:rsidP="00FE68E8">
            <w:pPr>
              <w:jc w:val="right"/>
              <w:rPr>
                <w:sz w:val="18"/>
                <w:lang w:eastAsia="en-GB"/>
              </w:rPr>
            </w:pPr>
            <w:r w:rsidRPr="00DB2D18">
              <w:rPr>
                <w:sz w:val="18"/>
                <w:lang w:eastAsia="en-GB"/>
              </w:rPr>
              <w:t>26%</w:t>
            </w:r>
          </w:p>
        </w:tc>
      </w:tr>
      <w:tr w:rsidR="00750996" w:rsidRPr="00A52AEE" w14:paraId="22DA7350"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38DD9793" w14:textId="77777777" w:rsidR="00327301" w:rsidRPr="00DB2D18" w:rsidRDefault="00327301" w:rsidP="00A52AEE">
            <w:pPr>
              <w:rPr>
                <w:sz w:val="22"/>
                <w:lang w:eastAsia="en-GB"/>
              </w:rPr>
            </w:pPr>
            <w:r w:rsidRPr="00DB2D18">
              <w:rPr>
                <w:sz w:val="22"/>
                <w:lang w:eastAsia="en-GB"/>
              </w:rPr>
              <w:t>Kingston upon Thames</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B859" w14:textId="77777777" w:rsidR="00327301" w:rsidRPr="00DB2D18" w:rsidRDefault="00327301" w:rsidP="00FE68E8">
            <w:pPr>
              <w:jc w:val="right"/>
              <w:rPr>
                <w:sz w:val="18"/>
                <w:lang w:eastAsia="en-GB"/>
              </w:rPr>
            </w:pPr>
            <w:r w:rsidRPr="00DB2D18">
              <w:rPr>
                <w:sz w:val="18"/>
                <w:lang w:eastAsia="en-GB"/>
              </w:rPr>
              <w:t>32%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EEEC"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29D3D"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0E44" w14:textId="77777777" w:rsidR="00327301" w:rsidRPr="00DB2D18" w:rsidRDefault="00327301" w:rsidP="00FE68E8">
            <w:pPr>
              <w:jc w:val="right"/>
              <w:rPr>
                <w:sz w:val="18"/>
                <w:lang w:eastAsia="en-GB"/>
              </w:rPr>
            </w:pPr>
            <w:r w:rsidRPr="00DB2D18">
              <w:rPr>
                <w:sz w:val="18"/>
                <w:lang w:eastAsia="en-GB"/>
              </w:rPr>
              <w:t>40%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3021"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22B58" w14:textId="77777777" w:rsidR="00327301" w:rsidRPr="00DB2D18" w:rsidRDefault="00327301" w:rsidP="00FE68E8">
            <w:pPr>
              <w:jc w:val="right"/>
              <w:rPr>
                <w:sz w:val="18"/>
                <w:lang w:eastAsia="en-GB"/>
              </w:rPr>
            </w:pPr>
            <w:r w:rsidRPr="00DB2D18">
              <w:rPr>
                <w:sz w:val="18"/>
                <w:lang w:eastAsia="en-GB"/>
              </w:rPr>
              <w:t>45%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5A224" w14:textId="77777777" w:rsidR="00327301" w:rsidRPr="00DB2D18" w:rsidRDefault="00327301" w:rsidP="00FE68E8">
            <w:pPr>
              <w:jc w:val="right"/>
              <w:rPr>
                <w:sz w:val="18"/>
                <w:lang w:eastAsia="en-GB"/>
              </w:rPr>
            </w:pPr>
            <w:r w:rsidRPr="00DB2D18">
              <w:rPr>
                <w:sz w:val="18"/>
                <w:lang w:eastAsia="en-GB"/>
              </w:rPr>
              <w:t>46%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0A61"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1A21" w14:textId="77777777" w:rsidR="00327301" w:rsidRPr="00DB2D18" w:rsidRDefault="00327301" w:rsidP="00FE68E8">
            <w:pPr>
              <w:jc w:val="right"/>
              <w:rPr>
                <w:sz w:val="18"/>
                <w:lang w:eastAsia="en-GB"/>
              </w:rPr>
            </w:pPr>
            <w:r w:rsidRPr="00DB2D18">
              <w:rPr>
                <w:sz w:val="18"/>
                <w:lang w:eastAsia="en-GB"/>
              </w:rPr>
              <w:t>42%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05D99" w14:textId="77777777" w:rsidR="00327301" w:rsidRPr="00DB2D18" w:rsidRDefault="00327301" w:rsidP="00FE68E8">
            <w:pPr>
              <w:jc w:val="right"/>
              <w:rPr>
                <w:sz w:val="18"/>
                <w:lang w:eastAsia="en-GB"/>
              </w:rPr>
            </w:pPr>
            <w:r w:rsidRPr="00DB2D18">
              <w:rPr>
                <w:sz w:val="18"/>
                <w:lang w:eastAsia="en-GB"/>
              </w:rPr>
              <w:t>48%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88DA"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FDF8" w14:textId="77777777" w:rsidR="00327301" w:rsidRPr="00DB2D18" w:rsidRDefault="00327301" w:rsidP="00FE68E8">
            <w:pPr>
              <w:jc w:val="right"/>
              <w:rPr>
                <w:sz w:val="18"/>
                <w:lang w:eastAsia="en-GB"/>
              </w:rPr>
            </w:pPr>
            <w:r w:rsidRPr="00DB2D18">
              <w:rPr>
                <w:sz w:val="18"/>
                <w:lang w:eastAsia="en-GB"/>
              </w:rPr>
              <w:t>39%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CE6B6" w14:textId="77777777" w:rsidR="00327301" w:rsidRPr="00DB2D18" w:rsidRDefault="00327301" w:rsidP="00FE68E8">
            <w:pPr>
              <w:jc w:val="right"/>
              <w:rPr>
                <w:sz w:val="18"/>
                <w:lang w:eastAsia="en-GB"/>
              </w:rPr>
            </w:pPr>
            <w:r w:rsidRPr="00DB2D18">
              <w:rPr>
                <w:sz w:val="18"/>
                <w:lang w:eastAsia="en-GB"/>
              </w:rPr>
              <w:t>55%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C93B" w14:textId="77777777" w:rsidR="00327301" w:rsidRPr="00DB2D18" w:rsidRDefault="00327301" w:rsidP="00FE68E8">
            <w:pPr>
              <w:jc w:val="right"/>
              <w:rPr>
                <w:sz w:val="18"/>
                <w:lang w:eastAsia="en-GB"/>
              </w:rPr>
            </w:pPr>
            <w:r w:rsidRPr="00DB2D18">
              <w:rPr>
                <w:sz w:val="18"/>
                <w:lang w:eastAsia="en-GB"/>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B2AD" w14:textId="77777777" w:rsidR="00327301" w:rsidRPr="00DB2D18" w:rsidRDefault="00327301" w:rsidP="00FE68E8">
            <w:pPr>
              <w:jc w:val="right"/>
              <w:rPr>
                <w:sz w:val="18"/>
                <w:lang w:eastAsia="en-GB"/>
              </w:rPr>
            </w:pPr>
            <w:r w:rsidRPr="00DB2D18">
              <w:rPr>
                <w:sz w:val="18"/>
                <w:lang w:eastAsia="en-GB"/>
              </w:rPr>
              <w:t>32%</w:t>
            </w:r>
          </w:p>
        </w:tc>
      </w:tr>
      <w:tr w:rsidR="00750996" w:rsidRPr="00A52AEE" w14:paraId="27922761"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31867D16" w14:textId="77777777" w:rsidR="00327301" w:rsidRPr="00DB2D18" w:rsidRDefault="00327301" w:rsidP="00A52AEE">
            <w:pPr>
              <w:rPr>
                <w:sz w:val="22"/>
                <w:lang w:eastAsia="en-GB"/>
              </w:rPr>
            </w:pPr>
            <w:r w:rsidRPr="00DB2D18">
              <w:rPr>
                <w:sz w:val="22"/>
                <w:lang w:eastAsia="en-GB"/>
              </w:rPr>
              <w:t>Lambeth</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713D" w14:textId="77777777" w:rsidR="00327301" w:rsidRPr="00DB2D18" w:rsidRDefault="00327301" w:rsidP="00FE68E8">
            <w:pPr>
              <w:jc w:val="right"/>
              <w:rPr>
                <w:sz w:val="18"/>
                <w:lang w:eastAsia="en-GB"/>
              </w:rPr>
            </w:pPr>
            <w:r w:rsidRPr="00DB2D18">
              <w:rPr>
                <w:sz w:val="18"/>
                <w:lang w:eastAsia="en-GB"/>
              </w:rPr>
              <w:t>49%</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E622"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E904D" w14:textId="77777777" w:rsidR="00327301" w:rsidRPr="00DB2D18" w:rsidRDefault="00327301" w:rsidP="00FE68E8">
            <w:pPr>
              <w:jc w:val="right"/>
              <w:rPr>
                <w:sz w:val="18"/>
                <w:lang w:eastAsia="en-GB"/>
              </w:rPr>
            </w:pPr>
            <w:r w:rsidRPr="00DB2D18">
              <w:rPr>
                <w:sz w:val="18"/>
                <w:lang w:eastAsia="en-GB"/>
              </w:rPr>
              <w:t>38%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ADAB" w14:textId="77777777" w:rsidR="00327301" w:rsidRPr="00DB2D18" w:rsidRDefault="00327301" w:rsidP="00FE68E8">
            <w:pPr>
              <w:jc w:val="right"/>
              <w:rPr>
                <w:sz w:val="18"/>
                <w:lang w:eastAsia="en-GB"/>
              </w:rPr>
            </w:pPr>
            <w:r w:rsidRPr="00DB2D18">
              <w:rPr>
                <w:sz w:val="18"/>
                <w:lang w:eastAsia="en-GB"/>
              </w:rPr>
              <w:t>47%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4ED7"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66026" w14:textId="77777777" w:rsidR="00327301" w:rsidRPr="00DB2D18" w:rsidRDefault="00327301" w:rsidP="00FE68E8">
            <w:pPr>
              <w:jc w:val="right"/>
              <w:rPr>
                <w:sz w:val="18"/>
                <w:lang w:eastAsia="en-GB"/>
              </w:rPr>
            </w:pPr>
            <w:r w:rsidRPr="00DB2D18">
              <w:rPr>
                <w:sz w:val="18"/>
                <w:lang w:eastAsia="en-GB"/>
              </w:rPr>
              <w:t>41%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8E08" w14:textId="77777777" w:rsidR="00327301" w:rsidRPr="00DB2D18" w:rsidRDefault="00327301" w:rsidP="00FE68E8">
            <w:pPr>
              <w:jc w:val="right"/>
              <w:rPr>
                <w:sz w:val="18"/>
                <w:lang w:eastAsia="en-GB"/>
              </w:rPr>
            </w:pPr>
            <w:r w:rsidRPr="00DB2D18">
              <w:rPr>
                <w:sz w:val="18"/>
                <w:lang w:eastAsia="en-GB"/>
              </w:rPr>
              <w:t>49%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CF40"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BE51" w14:textId="77777777" w:rsidR="00327301" w:rsidRPr="00DB2D18" w:rsidRDefault="00327301" w:rsidP="00FE68E8">
            <w:pPr>
              <w:jc w:val="right"/>
              <w:rPr>
                <w:sz w:val="18"/>
                <w:lang w:eastAsia="en-GB"/>
              </w:rPr>
            </w:pPr>
            <w:r w:rsidRPr="00DB2D18">
              <w:rPr>
                <w:sz w:val="18"/>
                <w:lang w:eastAsia="en-GB"/>
              </w:rPr>
              <w:t>40%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EAC3" w14:textId="77777777" w:rsidR="00327301" w:rsidRPr="00DB2D18" w:rsidRDefault="00327301" w:rsidP="00FE68E8">
            <w:pPr>
              <w:jc w:val="right"/>
              <w:rPr>
                <w:sz w:val="18"/>
                <w:lang w:eastAsia="en-GB"/>
              </w:rPr>
            </w:pPr>
            <w:r w:rsidRPr="00DB2D18">
              <w:rPr>
                <w:sz w:val="18"/>
                <w:lang w:eastAsia="en-GB"/>
              </w:rPr>
              <w:t>54%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23AB"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0F05" w14:textId="77777777" w:rsidR="00327301" w:rsidRPr="00DB2D18" w:rsidRDefault="00327301" w:rsidP="00FE68E8">
            <w:pPr>
              <w:jc w:val="right"/>
              <w:rPr>
                <w:sz w:val="18"/>
                <w:lang w:eastAsia="en-GB"/>
              </w:rPr>
            </w:pPr>
            <w:r w:rsidRPr="00DB2D18">
              <w:rPr>
                <w:sz w:val="18"/>
                <w:lang w:eastAsia="en-GB"/>
              </w:rPr>
              <w:t>36%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F9A1" w14:textId="77777777" w:rsidR="00327301" w:rsidRPr="00DB2D18" w:rsidRDefault="00327301" w:rsidP="00FE68E8">
            <w:pPr>
              <w:jc w:val="right"/>
              <w:rPr>
                <w:sz w:val="18"/>
                <w:lang w:eastAsia="en-GB"/>
              </w:rPr>
            </w:pPr>
            <w:r w:rsidRPr="00DB2D18">
              <w:rPr>
                <w:sz w:val="18"/>
                <w:lang w:eastAsia="en-GB"/>
              </w:rPr>
              <w:t>57%</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3B8E"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748D" w14:textId="77777777" w:rsidR="00327301" w:rsidRPr="00DB2D18" w:rsidRDefault="00327301" w:rsidP="00FE68E8">
            <w:pPr>
              <w:jc w:val="right"/>
              <w:rPr>
                <w:sz w:val="18"/>
                <w:lang w:eastAsia="en-GB"/>
              </w:rPr>
            </w:pPr>
            <w:r w:rsidRPr="00DB2D18">
              <w:rPr>
                <w:sz w:val="18"/>
                <w:lang w:eastAsia="en-GB"/>
              </w:rPr>
              <w:t>32%</w:t>
            </w:r>
          </w:p>
        </w:tc>
      </w:tr>
      <w:tr w:rsidR="00750996" w:rsidRPr="00A52AEE" w14:paraId="3DA82DFA"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2CFD8C21" w14:textId="77777777" w:rsidR="00327301" w:rsidRPr="00DB2D18" w:rsidRDefault="00327301" w:rsidP="00A52AEE">
            <w:pPr>
              <w:rPr>
                <w:sz w:val="22"/>
                <w:lang w:eastAsia="en-GB"/>
              </w:rPr>
            </w:pPr>
            <w:r w:rsidRPr="00DB2D18">
              <w:rPr>
                <w:sz w:val="22"/>
                <w:lang w:eastAsia="en-GB"/>
              </w:rPr>
              <w:t>Lewisham</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5AA4E" w14:textId="77777777" w:rsidR="00327301" w:rsidRPr="00DB2D18" w:rsidRDefault="00327301" w:rsidP="00FE68E8">
            <w:pPr>
              <w:jc w:val="right"/>
              <w:rPr>
                <w:sz w:val="18"/>
                <w:lang w:eastAsia="en-GB"/>
              </w:rPr>
            </w:pPr>
            <w:r w:rsidRPr="00DB2D18">
              <w:rPr>
                <w:sz w:val="18"/>
                <w:lang w:eastAsia="en-GB"/>
              </w:rPr>
              <w:t>50%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1D6C"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7CB9" w14:textId="77777777" w:rsidR="00327301" w:rsidRPr="00DB2D18" w:rsidRDefault="00327301" w:rsidP="00FE68E8">
            <w:pPr>
              <w:jc w:val="right"/>
              <w:rPr>
                <w:sz w:val="18"/>
                <w:lang w:eastAsia="en-GB"/>
              </w:rPr>
            </w:pPr>
            <w:r w:rsidRPr="00DB2D18">
              <w:rPr>
                <w:sz w:val="18"/>
                <w:lang w:eastAsia="en-GB"/>
              </w:rPr>
              <w:t>39%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796E" w14:textId="77777777" w:rsidR="00327301" w:rsidRPr="00DB2D18" w:rsidRDefault="00327301" w:rsidP="00FE68E8">
            <w:pPr>
              <w:jc w:val="right"/>
              <w:rPr>
                <w:sz w:val="18"/>
                <w:lang w:eastAsia="en-GB"/>
              </w:rPr>
            </w:pPr>
            <w:r w:rsidRPr="00DB2D18">
              <w:rPr>
                <w:sz w:val="18"/>
                <w:lang w:eastAsia="en-GB"/>
              </w:rPr>
              <w:t>45%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61F6"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BB2F" w14:textId="77777777" w:rsidR="00327301" w:rsidRPr="00DB2D18" w:rsidRDefault="00327301" w:rsidP="00FE68E8">
            <w:pPr>
              <w:jc w:val="right"/>
              <w:rPr>
                <w:sz w:val="18"/>
                <w:lang w:eastAsia="en-GB"/>
              </w:rPr>
            </w:pPr>
            <w:r w:rsidRPr="00DB2D18">
              <w:rPr>
                <w:sz w:val="18"/>
                <w:lang w:eastAsia="en-GB"/>
              </w:rPr>
              <w:t>42%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E957" w14:textId="77777777" w:rsidR="00327301" w:rsidRPr="00DB2D18" w:rsidRDefault="00327301" w:rsidP="00FE68E8">
            <w:pPr>
              <w:jc w:val="right"/>
              <w:rPr>
                <w:sz w:val="18"/>
                <w:lang w:eastAsia="en-GB"/>
              </w:rPr>
            </w:pPr>
            <w:r w:rsidRPr="00DB2D18">
              <w:rPr>
                <w:sz w:val="18"/>
                <w:lang w:eastAsia="en-GB"/>
              </w:rPr>
              <w:t>48%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A4B1"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FE55" w14:textId="77777777" w:rsidR="00327301" w:rsidRPr="00DB2D18" w:rsidRDefault="00327301" w:rsidP="00FE68E8">
            <w:pPr>
              <w:jc w:val="right"/>
              <w:rPr>
                <w:sz w:val="18"/>
                <w:lang w:eastAsia="en-GB"/>
              </w:rPr>
            </w:pPr>
            <w:r w:rsidRPr="00DB2D18">
              <w:rPr>
                <w:sz w:val="18"/>
                <w:lang w:eastAsia="en-GB"/>
              </w:rPr>
              <w:t>40%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C92A" w14:textId="77777777" w:rsidR="00327301" w:rsidRPr="00DB2D18" w:rsidRDefault="00327301" w:rsidP="00FE68E8">
            <w:pPr>
              <w:jc w:val="right"/>
              <w:rPr>
                <w:sz w:val="18"/>
                <w:lang w:eastAsia="en-GB"/>
              </w:rPr>
            </w:pPr>
            <w:r w:rsidRPr="00DB2D18">
              <w:rPr>
                <w:sz w:val="18"/>
                <w:lang w:eastAsia="en-GB"/>
              </w:rPr>
              <w:t>59%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1246" w14:textId="77777777" w:rsidR="00327301" w:rsidRPr="00DB2D18" w:rsidRDefault="00327301" w:rsidP="00FE68E8">
            <w:pPr>
              <w:jc w:val="right"/>
              <w:rPr>
                <w:sz w:val="18"/>
                <w:lang w:eastAsia="en-GB"/>
              </w:rPr>
            </w:pPr>
            <w:r w:rsidRPr="00DB2D18">
              <w:rPr>
                <w:sz w:val="18"/>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BBE1" w14:textId="77777777" w:rsidR="00327301" w:rsidRPr="00DB2D18" w:rsidRDefault="00327301" w:rsidP="00FE68E8">
            <w:pPr>
              <w:jc w:val="right"/>
              <w:rPr>
                <w:sz w:val="18"/>
                <w:lang w:eastAsia="en-GB"/>
              </w:rPr>
            </w:pPr>
            <w:r w:rsidRPr="00DB2D18">
              <w:rPr>
                <w:sz w:val="18"/>
                <w:lang w:eastAsia="en-GB"/>
              </w:rPr>
              <w:t>32%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8646" w14:textId="77777777" w:rsidR="00327301" w:rsidRPr="00DB2D18" w:rsidRDefault="00327301" w:rsidP="00FE68E8">
            <w:pPr>
              <w:jc w:val="right"/>
              <w:rPr>
                <w:sz w:val="18"/>
                <w:lang w:eastAsia="en-GB"/>
              </w:rPr>
            </w:pPr>
            <w:r w:rsidRPr="00DB2D18">
              <w:rPr>
                <w:sz w:val="18"/>
                <w:lang w:eastAsia="en-GB"/>
              </w:rPr>
              <w:t>60%</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4F59B" w14:textId="77777777" w:rsidR="00327301" w:rsidRPr="00DB2D18" w:rsidRDefault="00327301" w:rsidP="00FE68E8">
            <w:pPr>
              <w:jc w:val="right"/>
              <w:rPr>
                <w:sz w:val="18"/>
                <w:lang w:eastAsia="en-GB"/>
              </w:rPr>
            </w:pPr>
            <w:r w:rsidRPr="00DB2D18">
              <w:rPr>
                <w:sz w:val="18"/>
                <w:lang w:eastAsia="en-GB"/>
              </w:rPr>
              <w:t>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34C5" w14:textId="77777777" w:rsidR="00327301" w:rsidRPr="00DB2D18" w:rsidRDefault="00327301" w:rsidP="00FE68E8">
            <w:pPr>
              <w:jc w:val="right"/>
              <w:rPr>
                <w:sz w:val="18"/>
                <w:lang w:eastAsia="en-GB"/>
              </w:rPr>
            </w:pPr>
            <w:r w:rsidRPr="00DB2D18">
              <w:rPr>
                <w:sz w:val="18"/>
                <w:lang w:eastAsia="en-GB"/>
              </w:rPr>
              <w:t>31%</w:t>
            </w:r>
          </w:p>
        </w:tc>
      </w:tr>
      <w:tr w:rsidR="00750996" w:rsidRPr="00A52AEE" w14:paraId="076DEC32"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77F8A370" w14:textId="77777777" w:rsidR="00327301" w:rsidRPr="00DB2D18" w:rsidRDefault="00327301" w:rsidP="00A52AEE">
            <w:pPr>
              <w:rPr>
                <w:sz w:val="22"/>
                <w:lang w:eastAsia="en-GB"/>
              </w:rPr>
            </w:pPr>
            <w:r w:rsidRPr="00DB2D18">
              <w:rPr>
                <w:sz w:val="22"/>
                <w:lang w:eastAsia="en-GB"/>
              </w:rPr>
              <w:t>Merton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2F4CE" w14:textId="77777777" w:rsidR="00327301" w:rsidRPr="00DB2D18" w:rsidRDefault="00327301" w:rsidP="00FE68E8">
            <w:pPr>
              <w:jc w:val="right"/>
              <w:rPr>
                <w:sz w:val="18"/>
                <w:lang w:eastAsia="en-GB"/>
              </w:rPr>
            </w:pPr>
            <w:r w:rsidRPr="00DB2D18">
              <w:rPr>
                <w:sz w:val="18"/>
                <w:lang w:eastAsia="en-GB"/>
              </w:rPr>
              <w:t>54%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32B7" w14:textId="77777777" w:rsidR="00327301" w:rsidRPr="00DB2D18" w:rsidRDefault="00327301" w:rsidP="00FE68E8">
            <w:pPr>
              <w:jc w:val="right"/>
              <w:rPr>
                <w:sz w:val="18"/>
                <w:lang w:eastAsia="en-GB"/>
              </w:rPr>
            </w:pPr>
            <w:r w:rsidRPr="00DB2D18">
              <w:rPr>
                <w:sz w:val="18"/>
                <w:lang w:eastAsia="en-GB"/>
              </w:rPr>
              <w:t>10%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472F2" w14:textId="77777777" w:rsidR="00327301" w:rsidRPr="00DB2D18" w:rsidRDefault="00327301" w:rsidP="00FE68E8">
            <w:pPr>
              <w:jc w:val="right"/>
              <w:rPr>
                <w:sz w:val="18"/>
                <w:lang w:eastAsia="en-GB"/>
              </w:rPr>
            </w:pPr>
            <w:r w:rsidRPr="00DB2D18">
              <w:rPr>
                <w:sz w:val="18"/>
                <w:lang w:eastAsia="en-GB"/>
              </w:rPr>
              <w:t>36%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66EF" w14:textId="77777777" w:rsidR="00327301" w:rsidRPr="00DB2D18" w:rsidRDefault="00327301" w:rsidP="00FE68E8">
            <w:pPr>
              <w:jc w:val="right"/>
              <w:rPr>
                <w:sz w:val="18"/>
                <w:lang w:eastAsia="en-GB"/>
              </w:rPr>
            </w:pPr>
            <w:r w:rsidRPr="00DB2D18">
              <w:rPr>
                <w:sz w:val="18"/>
                <w:lang w:eastAsia="en-GB"/>
              </w:rPr>
              <w:t>53%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C16E"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44C" w14:textId="77777777" w:rsidR="00327301" w:rsidRPr="00DB2D18" w:rsidRDefault="00327301" w:rsidP="00FE68E8">
            <w:pPr>
              <w:jc w:val="right"/>
              <w:rPr>
                <w:sz w:val="18"/>
                <w:lang w:eastAsia="en-GB"/>
              </w:rPr>
            </w:pPr>
            <w:r w:rsidRPr="00DB2D18">
              <w:rPr>
                <w:sz w:val="18"/>
                <w:lang w:eastAsia="en-GB"/>
              </w:rPr>
              <w:t>34%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718F" w14:textId="77777777" w:rsidR="00327301" w:rsidRPr="00DB2D18" w:rsidRDefault="00327301" w:rsidP="00FE68E8">
            <w:pPr>
              <w:jc w:val="right"/>
              <w:rPr>
                <w:sz w:val="18"/>
                <w:lang w:eastAsia="en-GB"/>
              </w:rPr>
            </w:pPr>
            <w:r w:rsidRPr="00DB2D18">
              <w:rPr>
                <w:sz w:val="18"/>
                <w:lang w:eastAsia="en-GB"/>
              </w:rPr>
              <w:t>51%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4EA5"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E5A9" w14:textId="77777777" w:rsidR="00327301" w:rsidRPr="00DB2D18" w:rsidRDefault="00327301" w:rsidP="00FE68E8">
            <w:pPr>
              <w:jc w:val="right"/>
              <w:rPr>
                <w:sz w:val="18"/>
                <w:lang w:eastAsia="en-GB"/>
              </w:rPr>
            </w:pPr>
            <w:r w:rsidRPr="00DB2D18">
              <w:rPr>
                <w:sz w:val="18"/>
                <w:lang w:eastAsia="en-GB"/>
              </w:rPr>
              <w:t>38%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5672" w14:textId="77777777" w:rsidR="00327301" w:rsidRPr="00DB2D18" w:rsidRDefault="00327301" w:rsidP="00FE68E8">
            <w:pPr>
              <w:jc w:val="right"/>
              <w:rPr>
                <w:sz w:val="18"/>
                <w:lang w:eastAsia="en-GB"/>
              </w:rPr>
            </w:pPr>
            <w:r w:rsidRPr="00DB2D18">
              <w:rPr>
                <w:sz w:val="18"/>
                <w:lang w:eastAsia="en-GB"/>
              </w:rPr>
              <w:t>58%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002EC"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D15B"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85DB0" w14:textId="77777777" w:rsidR="00327301" w:rsidRPr="00DB2D18" w:rsidRDefault="00327301" w:rsidP="00FE68E8">
            <w:pPr>
              <w:jc w:val="right"/>
              <w:rPr>
                <w:sz w:val="18"/>
                <w:lang w:eastAsia="en-GB"/>
              </w:rPr>
            </w:pPr>
            <w:r w:rsidRPr="00DB2D18">
              <w:rPr>
                <w:sz w:val="18"/>
                <w:lang w:eastAsia="en-GB"/>
              </w:rPr>
              <w:t>63%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E34E" w14:textId="77777777" w:rsidR="00327301" w:rsidRPr="00DB2D18" w:rsidRDefault="00327301" w:rsidP="00FE68E8">
            <w:pPr>
              <w:jc w:val="right"/>
              <w:rPr>
                <w:sz w:val="18"/>
                <w:lang w:eastAsia="en-GB"/>
              </w:rPr>
            </w:pPr>
            <w:r w:rsidRPr="00DB2D18">
              <w:rPr>
                <w:sz w:val="18"/>
                <w:lang w:eastAsia="en-GB"/>
              </w:rPr>
              <w:t>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1448" w14:textId="77777777" w:rsidR="00327301" w:rsidRPr="00DB2D18" w:rsidRDefault="00327301" w:rsidP="00FE68E8">
            <w:pPr>
              <w:jc w:val="right"/>
              <w:rPr>
                <w:sz w:val="18"/>
                <w:lang w:eastAsia="en-GB"/>
              </w:rPr>
            </w:pPr>
            <w:r w:rsidRPr="00DB2D18">
              <w:rPr>
                <w:sz w:val="18"/>
                <w:lang w:eastAsia="en-GB"/>
              </w:rPr>
              <w:t>25%</w:t>
            </w:r>
          </w:p>
        </w:tc>
      </w:tr>
      <w:tr w:rsidR="00750996" w:rsidRPr="00A52AEE" w14:paraId="5BDCC373"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1F0AEC25" w14:textId="77777777" w:rsidR="00327301" w:rsidRPr="00DB2D18" w:rsidRDefault="00327301" w:rsidP="00A52AEE">
            <w:pPr>
              <w:rPr>
                <w:sz w:val="22"/>
                <w:lang w:eastAsia="en-GB"/>
              </w:rPr>
            </w:pPr>
            <w:r w:rsidRPr="00DB2D18">
              <w:rPr>
                <w:sz w:val="22"/>
                <w:lang w:eastAsia="en-GB"/>
              </w:rPr>
              <w:t>Newham</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200D7" w14:textId="77777777" w:rsidR="00327301" w:rsidRPr="00DB2D18" w:rsidRDefault="00327301" w:rsidP="00FE68E8">
            <w:pPr>
              <w:jc w:val="right"/>
              <w:rPr>
                <w:sz w:val="18"/>
                <w:lang w:eastAsia="en-GB"/>
              </w:rPr>
            </w:pPr>
            <w:r w:rsidRPr="00DB2D18">
              <w:rPr>
                <w:sz w:val="18"/>
                <w:lang w:eastAsia="en-GB"/>
              </w:rPr>
              <w:t>73%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F0D4" w14:textId="77777777" w:rsidR="00327301" w:rsidRPr="00DB2D18" w:rsidRDefault="00327301" w:rsidP="00FE68E8">
            <w:pPr>
              <w:jc w:val="right"/>
              <w:rPr>
                <w:sz w:val="18"/>
                <w:lang w:eastAsia="en-GB"/>
              </w:rPr>
            </w:pPr>
            <w:r w:rsidRPr="00DB2D18">
              <w:rPr>
                <w:sz w:val="18"/>
                <w:lang w:eastAsia="en-GB"/>
              </w:rPr>
              <w:t>9%</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BBC0" w14:textId="77777777" w:rsidR="00327301" w:rsidRPr="00DB2D18" w:rsidRDefault="00327301" w:rsidP="00FE68E8">
            <w:pPr>
              <w:jc w:val="right"/>
              <w:rPr>
                <w:sz w:val="18"/>
                <w:lang w:eastAsia="en-GB"/>
              </w:rPr>
            </w:pPr>
            <w:r w:rsidRPr="00DB2D18">
              <w:rPr>
                <w:sz w:val="18"/>
                <w:lang w:eastAsia="en-GB"/>
              </w:rPr>
              <w:t>19%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C85B6" w14:textId="77777777" w:rsidR="00327301" w:rsidRPr="00DB2D18" w:rsidRDefault="00327301" w:rsidP="00FE68E8">
            <w:pPr>
              <w:jc w:val="right"/>
              <w:rPr>
                <w:sz w:val="18"/>
                <w:lang w:eastAsia="en-GB"/>
              </w:rPr>
            </w:pPr>
            <w:r w:rsidRPr="00DB2D18">
              <w:rPr>
                <w:sz w:val="18"/>
                <w:lang w:eastAsia="en-GB"/>
              </w:rPr>
              <w:t>64%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267E4"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6853" w14:textId="77777777" w:rsidR="00327301" w:rsidRPr="00DB2D18" w:rsidRDefault="00327301" w:rsidP="00FE68E8">
            <w:pPr>
              <w:jc w:val="right"/>
              <w:rPr>
                <w:sz w:val="18"/>
                <w:lang w:eastAsia="en-GB"/>
              </w:rPr>
            </w:pPr>
            <w:r w:rsidRPr="00DB2D18">
              <w:rPr>
                <w:sz w:val="18"/>
                <w:lang w:eastAsia="en-GB"/>
              </w:rPr>
              <w:t>26%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1177" w14:textId="77777777" w:rsidR="00327301" w:rsidRPr="00DB2D18" w:rsidRDefault="00327301" w:rsidP="00FE68E8">
            <w:pPr>
              <w:jc w:val="right"/>
              <w:rPr>
                <w:sz w:val="18"/>
                <w:lang w:eastAsia="en-GB"/>
              </w:rPr>
            </w:pPr>
            <w:r w:rsidRPr="00DB2D18">
              <w:rPr>
                <w:sz w:val="18"/>
                <w:lang w:eastAsia="en-GB"/>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5EFD9"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4E24" w14:textId="77777777" w:rsidR="00327301" w:rsidRPr="00DB2D18" w:rsidRDefault="00327301" w:rsidP="00FE68E8">
            <w:pPr>
              <w:jc w:val="right"/>
              <w:rPr>
                <w:sz w:val="18"/>
                <w:lang w:eastAsia="en-GB"/>
              </w:rPr>
            </w:pPr>
            <w:r w:rsidRPr="00DB2D18">
              <w:rPr>
                <w:sz w:val="18"/>
                <w:lang w:eastAsia="en-GB"/>
              </w:rPr>
              <w:t>22%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B417" w14:textId="77777777" w:rsidR="00327301" w:rsidRPr="00DB2D18" w:rsidRDefault="00327301" w:rsidP="00FE68E8">
            <w:pPr>
              <w:jc w:val="right"/>
              <w:rPr>
                <w:sz w:val="18"/>
                <w:lang w:eastAsia="en-GB"/>
              </w:rPr>
            </w:pPr>
            <w:r w:rsidRPr="00DB2D18">
              <w:rPr>
                <w:sz w:val="18"/>
                <w:lang w:eastAsia="en-GB"/>
              </w:rPr>
              <w:t>74%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A973E" w14:textId="77777777" w:rsidR="00327301" w:rsidRPr="00DB2D18" w:rsidRDefault="00327301" w:rsidP="00FE68E8">
            <w:pPr>
              <w:jc w:val="right"/>
              <w:rPr>
                <w:sz w:val="18"/>
                <w:lang w:eastAsia="en-GB"/>
              </w:rPr>
            </w:pPr>
            <w:r w:rsidRPr="00DB2D18">
              <w:rPr>
                <w:sz w:val="18"/>
                <w:lang w:eastAsia="en-GB"/>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0AE8" w14:textId="77777777" w:rsidR="00327301" w:rsidRPr="00DB2D18" w:rsidRDefault="00327301" w:rsidP="00FE68E8">
            <w:pPr>
              <w:jc w:val="right"/>
              <w:rPr>
                <w:sz w:val="18"/>
                <w:lang w:eastAsia="en-GB"/>
              </w:rPr>
            </w:pPr>
            <w:r w:rsidRPr="00DB2D18">
              <w:rPr>
                <w:sz w:val="18"/>
                <w:lang w:eastAsia="en-GB"/>
              </w:rPr>
              <w:t>17%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4108B" w14:textId="77777777" w:rsidR="00327301" w:rsidRPr="00DB2D18" w:rsidRDefault="00327301" w:rsidP="00FE68E8">
            <w:pPr>
              <w:jc w:val="right"/>
              <w:rPr>
                <w:sz w:val="18"/>
                <w:lang w:eastAsia="en-GB"/>
              </w:rPr>
            </w:pPr>
            <w:r w:rsidRPr="00DB2D18">
              <w:rPr>
                <w:sz w:val="18"/>
                <w:lang w:eastAsia="en-GB"/>
              </w:rPr>
              <w:t>78%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690E" w14:textId="77777777" w:rsidR="00327301" w:rsidRPr="00DB2D18" w:rsidRDefault="00327301" w:rsidP="00FE68E8">
            <w:pPr>
              <w:jc w:val="right"/>
              <w:rPr>
                <w:sz w:val="18"/>
                <w:lang w:eastAsia="en-GB"/>
              </w:rPr>
            </w:pPr>
            <w:r w:rsidRPr="00DB2D18">
              <w:rPr>
                <w:sz w:val="18"/>
                <w:lang w:eastAsia="en-GB"/>
              </w:rPr>
              <w:t>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1FA5" w14:textId="77777777" w:rsidR="00327301" w:rsidRPr="00DB2D18" w:rsidRDefault="00327301" w:rsidP="00FE68E8">
            <w:pPr>
              <w:jc w:val="right"/>
              <w:rPr>
                <w:sz w:val="18"/>
                <w:lang w:eastAsia="en-GB"/>
              </w:rPr>
            </w:pPr>
            <w:r w:rsidRPr="00DB2D18">
              <w:rPr>
                <w:sz w:val="18"/>
                <w:lang w:eastAsia="en-GB"/>
              </w:rPr>
              <w:t>14%</w:t>
            </w:r>
          </w:p>
        </w:tc>
      </w:tr>
      <w:tr w:rsidR="00750996" w:rsidRPr="00A52AEE" w14:paraId="216FD100"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3F42E9B2" w14:textId="77777777" w:rsidR="00327301" w:rsidRPr="00DB2D18" w:rsidRDefault="00327301" w:rsidP="00A52AEE">
            <w:pPr>
              <w:rPr>
                <w:sz w:val="22"/>
                <w:lang w:eastAsia="en-GB"/>
              </w:rPr>
            </w:pPr>
            <w:r w:rsidRPr="00DB2D18">
              <w:rPr>
                <w:sz w:val="22"/>
                <w:lang w:eastAsia="en-GB"/>
              </w:rPr>
              <w:t>Redbridge</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C201E" w14:textId="77777777" w:rsidR="00327301" w:rsidRPr="00DB2D18" w:rsidRDefault="00327301" w:rsidP="00FE68E8">
            <w:pPr>
              <w:jc w:val="right"/>
              <w:rPr>
                <w:sz w:val="18"/>
                <w:lang w:eastAsia="en-GB"/>
              </w:rPr>
            </w:pPr>
            <w:r w:rsidRPr="00DB2D18">
              <w:rPr>
                <w:sz w:val="18"/>
                <w:lang w:eastAsia="en-GB"/>
              </w:rPr>
              <w:t>52%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D931" w14:textId="77777777" w:rsidR="00327301" w:rsidRPr="00DB2D18" w:rsidRDefault="00327301" w:rsidP="00FE68E8">
            <w:pPr>
              <w:jc w:val="right"/>
              <w:rPr>
                <w:sz w:val="18"/>
                <w:lang w:eastAsia="en-GB"/>
              </w:rPr>
            </w:pPr>
            <w:r w:rsidRPr="00DB2D18">
              <w:rPr>
                <w:sz w:val="18"/>
                <w:lang w:eastAsia="en-GB"/>
              </w:rPr>
              <w:t>14%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12C7" w14:textId="77777777" w:rsidR="00327301" w:rsidRPr="00DB2D18" w:rsidRDefault="00327301" w:rsidP="00FE68E8">
            <w:pPr>
              <w:jc w:val="right"/>
              <w:rPr>
                <w:sz w:val="18"/>
                <w:lang w:eastAsia="en-GB"/>
              </w:rPr>
            </w:pPr>
            <w:r w:rsidRPr="00DB2D18">
              <w:rPr>
                <w:sz w:val="18"/>
                <w:lang w:eastAsia="en-GB"/>
              </w:rPr>
              <w:t>34%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3E4C" w14:textId="77777777" w:rsidR="00327301" w:rsidRPr="00DB2D18" w:rsidRDefault="00327301" w:rsidP="00FE68E8">
            <w:pPr>
              <w:jc w:val="right"/>
              <w:rPr>
                <w:sz w:val="18"/>
                <w:lang w:eastAsia="en-GB"/>
              </w:rPr>
            </w:pPr>
            <w:r w:rsidRPr="00DB2D18">
              <w:rPr>
                <w:sz w:val="18"/>
                <w:lang w:eastAsia="en-GB"/>
              </w:rPr>
              <w:t>51%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D9EC"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3DA7"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0084" w14:textId="77777777" w:rsidR="00327301" w:rsidRPr="00DB2D18" w:rsidRDefault="00327301" w:rsidP="00FE68E8">
            <w:pPr>
              <w:jc w:val="right"/>
              <w:rPr>
                <w:sz w:val="18"/>
                <w:lang w:eastAsia="en-GB"/>
              </w:rPr>
            </w:pPr>
            <w:r w:rsidRPr="00DB2D18">
              <w:rPr>
                <w:sz w:val="18"/>
                <w:lang w:eastAsia="en-GB"/>
              </w:rPr>
              <w:t>51%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A16B"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5B12" w14:textId="77777777" w:rsidR="00327301" w:rsidRPr="00DB2D18" w:rsidRDefault="00327301" w:rsidP="00FE68E8">
            <w:pPr>
              <w:jc w:val="right"/>
              <w:rPr>
                <w:sz w:val="18"/>
                <w:lang w:eastAsia="en-GB"/>
              </w:rPr>
            </w:pPr>
            <w:r w:rsidRPr="00DB2D18">
              <w:rPr>
                <w:sz w:val="18"/>
                <w:lang w:eastAsia="en-GB"/>
              </w:rPr>
              <w:t>35%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62CE" w14:textId="77777777" w:rsidR="00327301" w:rsidRPr="00DB2D18" w:rsidRDefault="00327301" w:rsidP="00FE68E8">
            <w:pPr>
              <w:jc w:val="right"/>
              <w:rPr>
                <w:sz w:val="18"/>
                <w:lang w:eastAsia="en-GB"/>
              </w:rPr>
            </w:pPr>
            <w:r w:rsidRPr="00DB2D18">
              <w:rPr>
                <w:sz w:val="18"/>
                <w:lang w:eastAsia="en-GB"/>
              </w:rPr>
              <w:t>63%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96B8D" w14:textId="77777777" w:rsidR="00327301" w:rsidRPr="00DB2D18" w:rsidRDefault="00327301" w:rsidP="00FE68E8">
            <w:pPr>
              <w:jc w:val="right"/>
              <w:rPr>
                <w:sz w:val="18"/>
                <w:lang w:eastAsia="en-GB"/>
              </w:rPr>
            </w:pPr>
            <w:r w:rsidRPr="00DB2D18">
              <w:rPr>
                <w:sz w:val="18"/>
                <w:lang w:eastAsia="en-GB"/>
              </w:rPr>
              <w:t>14%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D95" w14:textId="77777777" w:rsidR="00327301" w:rsidRPr="00DB2D18" w:rsidRDefault="00327301" w:rsidP="00FE68E8">
            <w:pPr>
              <w:jc w:val="right"/>
              <w:rPr>
                <w:sz w:val="18"/>
                <w:lang w:eastAsia="en-GB"/>
              </w:rPr>
            </w:pPr>
            <w:r w:rsidRPr="00DB2D18">
              <w:rPr>
                <w:sz w:val="18"/>
                <w:lang w:eastAsia="en-GB"/>
              </w:rPr>
              <w:t>24%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48369" w14:textId="77777777" w:rsidR="00327301" w:rsidRPr="00DB2D18" w:rsidRDefault="00327301" w:rsidP="00FE68E8">
            <w:pPr>
              <w:jc w:val="right"/>
              <w:rPr>
                <w:sz w:val="18"/>
                <w:lang w:eastAsia="en-GB"/>
              </w:rPr>
            </w:pPr>
            <w:r w:rsidRPr="00DB2D18">
              <w:rPr>
                <w:sz w:val="18"/>
                <w:lang w:eastAsia="en-GB"/>
              </w:rPr>
              <w:t>69%</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0460" w14:textId="77777777" w:rsidR="00327301" w:rsidRPr="00DB2D18" w:rsidRDefault="00327301" w:rsidP="00FE68E8">
            <w:pPr>
              <w:jc w:val="right"/>
              <w:rPr>
                <w:sz w:val="18"/>
                <w:lang w:eastAsia="en-GB"/>
              </w:rPr>
            </w:pPr>
            <w:r w:rsidRPr="00DB2D18">
              <w:rPr>
                <w:sz w:val="18"/>
                <w:lang w:eastAsia="en-GB"/>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E9752" w14:textId="77777777" w:rsidR="00327301" w:rsidRPr="00DB2D18" w:rsidRDefault="00327301" w:rsidP="00FE68E8">
            <w:pPr>
              <w:jc w:val="right"/>
              <w:rPr>
                <w:sz w:val="18"/>
                <w:lang w:eastAsia="en-GB"/>
              </w:rPr>
            </w:pPr>
            <w:r w:rsidRPr="00DB2D18">
              <w:rPr>
                <w:sz w:val="18"/>
                <w:lang w:eastAsia="en-GB"/>
              </w:rPr>
              <w:t>18%</w:t>
            </w:r>
          </w:p>
        </w:tc>
      </w:tr>
      <w:tr w:rsidR="00750996" w:rsidRPr="00A52AEE" w14:paraId="70DC75D5"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59B1A6EB" w14:textId="77777777" w:rsidR="00327301" w:rsidRPr="00DB2D18" w:rsidRDefault="00327301" w:rsidP="00A52AEE">
            <w:pPr>
              <w:rPr>
                <w:sz w:val="22"/>
                <w:lang w:eastAsia="en-GB"/>
              </w:rPr>
            </w:pPr>
            <w:r w:rsidRPr="00DB2D18">
              <w:rPr>
                <w:sz w:val="22"/>
                <w:lang w:eastAsia="en-GB"/>
              </w:rPr>
              <w:t>Richmond upon Thames</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6EE0" w14:textId="77777777" w:rsidR="00327301" w:rsidRPr="00DB2D18" w:rsidRDefault="00327301" w:rsidP="00FE68E8">
            <w:pPr>
              <w:jc w:val="right"/>
              <w:rPr>
                <w:sz w:val="18"/>
                <w:lang w:eastAsia="en-GB"/>
              </w:rPr>
            </w:pPr>
            <w:r w:rsidRPr="00DB2D18">
              <w:rPr>
                <w:sz w:val="18"/>
                <w:lang w:eastAsia="en-GB"/>
              </w:rPr>
              <w:t>44%</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3143" w14:textId="77777777" w:rsidR="00327301" w:rsidRPr="00DB2D18" w:rsidRDefault="00327301" w:rsidP="00FE68E8">
            <w:pPr>
              <w:jc w:val="right"/>
              <w:rPr>
                <w:sz w:val="18"/>
                <w:lang w:eastAsia="en-GB"/>
              </w:rPr>
            </w:pPr>
            <w:r w:rsidRPr="00DB2D18">
              <w:rPr>
                <w:sz w:val="18"/>
                <w:lang w:eastAsia="en-GB"/>
              </w:rPr>
              <w:t>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9F6B" w14:textId="77777777" w:rsidR="00327301" w:rsidRPr="00DB2D18" w:rsidRDefault="00327301" w:rsidP="00FE68E8">
            <w:pPr>
              <w:jc w:val="right"/>
              <w:rPr>
                <w:sz w:val="18"/>
                <w:lang w:eastAsia="en-GB"/>
              </w:rPr>
            </w:pPr>
            <w:r w:rsidRPr="00DB2D18">
              <w:rPr>
                <w:sz w:val="18"/>
                <w:lang w:eastAsia="en-GB"/>
              </w:rPr>
              <w:t>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1C208" w14:textId="77777777" w:rsidR="00327301" w:rsidRPr="00DB2D18" w:rsidRDefault="00327301" w:rsidP="00FE68E8">
            <w:pPr>
              <w:jc w:val="right"/>
              <w:rPr>
                <w:sz w:val="18"/>
                <w:lang w:eastAsia="en-GB"/>
              </w:rPr>
            </w:pPr>
            <w:r w:rsidRPr="00DB2D18">
              <w:rPr>
                <w:sz w:val="18"/>
                <w:lang w:eastAsia="en-GB"/>
              </w:rPr>
              <w:t>51%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97FB" w14:textId="77777777" w:rsidR="00327301" w:rsidRPr="00DB2D18" w:rsidRDefault="00327301" w:rsidP="00FE68E8">
            <w:pPr>
              <w:jc w:val="right"/>
              <w:rPr>
                <w:sz w:val="18"/>
                <w:lang w:eastAsia="en-GB"/>
              </w:rPr>
            </w:pPr>
            <w:r w:rsidRPr="00DB2D18">
              <w:rPr>
                <w:sz w:val="18"/>
                <w:lang w:eastAsia="en-GB"/>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4151" w14:textId="77777777" w:rsidR="00327301" w:rsidRPr="00DB2D18" w:rsidRDefault="00327301" w:rsidP="00FE68E8">
            <w:pPr>
              <w:jc w:val="right"/>
              <w:rPr>
                <w:sz w:val="18"/>
                <w:lang w:eastAsia="en-GB"/>
              </w:rPr>
            </w:pPr>
            <w:r w:rsidRPr="00DB2D18">
              <w:rPr>
                <w:sz w:val="18"/>
                <w:lang w:eastAsia="en-GB"/>
              </w:rPr>
              <w:t>43%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7EB0" w14:textId="77777777" w:rsidR="00327301" w:rsidRPr="00DB2D18" w:rsidRDefault="00327301" w:rsidP="00FE68E8">
            <w:pPr>
              <w:jc w:val="right"/>
              <w:rPr>
                <w:sz w:val="18"/>
                <w:lang w:eastAsia="en-GB"/>
              </w:rPr>
            </w:pPr>
            <w:r w:rsidRPr="00DB2D18">
              <w:rPr>
                <w:sz w:val="18"/>
                <w:lang w:eastAsia="en-GB"/>
              </w:rPr>
              <w:t>58%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23F7" w14:textId="77777777" w:rsidR="00327301" w:rsidRPr="00DB2D18" w:rsidRDefault="00327301" w:rsidP="00FE68E8">
            <w:pPr>
              <w:jc w:val="right"/>
              <w:rPr>
                <w:sz w:val="18"/>
                <w:lang w:eastAsia="en-GB"/>
              </w:rPr>
            </w:pPr>
            <w:r w:rsidRPr="00DB2D18">
              <w:rPr>
                <w:sz w:val="18"/>
                <w:lang w:eastAsia="en-GB"/>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A8A6" w14:textId="77777777" w:rsidR="00327301" w:rsidRPr="00DB2D18" w:rsidRDefault="00327301" w:rsidP="00FE68E8">
            <w:pPr>
              <w:jc w:val="right"/>
              <w:rPr>
                <w:sz w:val="18"/>
                <w:lang w:eastAsia="en-GB"/>
              </w:rPr>
            </w:pPr>
            <w:r w:rsidRPr="00DB2D18">
              <w:rPr>
                <w:sz w:val="18"/>
                <w:lang w:eastAsia="en-GB"/>
              </w:rPr>
              <w:t>35%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D421" w14:textId="77777777" w:rsidR="00327301" w:rsidRPr="00DB2D18" w:rsidRDefault="00327301" w:rsidP="00FE68E8">
            <w:pPr>
              <w:jc w:val="right"/>
              <w:rPr>
                <w:sz w:val="18"/>
                <w:lang w:eastAsia="en-GB"/>
              </w:rPr>
            </w:pPr>
            <w:r w:rsidRPr="00DB2D18">
              <w:rPr>
                <w:sz w:val="18"/>
                <w:lang w:eastAsia="en-GB"/>
              </w:rPr>
              <w:t>64%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B826" w14:textId="77777777" w:rsidR="00327301" w:rsidRPr="00DB2D18" w:rsidRDefault="00327301" w:rsidP="00FE68E8">
            <w:pPr>
              <w:jc w:val="right"/>
              <w:rPr>
                <w:sz w:val="18"/>
                <w:lang w:eastAsia="en-GB"/>
              </w:rPr>
            </w:pPr>
            <w:r w:rsidRPr="00DB2D18">
              <w:rPr>
                <w:sz w:val="18"/>
                <w:lang w:eastAsia="en-GB"/>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728F"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88E0" w14:textId="77777777" w:rsidR="00327301" w:rsidRPr="00DB2D18" w:rsidRDefault="00327301" w:rsidP="00FE68E8">
            <w:pPr>
              <w:jc w:val="right"/>
              <w:rPr>
                <w:sz w:val="18"/>
                <w:lang w:eastAsia="en-GB"/>
              </w:rPr>
            </w:pPr>
            <w:r w:rsidRPr="00DB2D18">
              <w:rPr>
                <w:sz w:val="18"/>
                <w:lang w:eastAsia="en-GB"/>
              </w:rPr>
              <w:t>64%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EAAB" w14:textId="77777777" w:rsidR="00327301" w:rsidRPr="00DB2D18" w:rsidRDefault="00327301" w:rsidP="00FE68E8">
            <w:pPr>
              <w:jc w:val="right"/>
              <w:rPr>
                <w:sz w:val="18"/>
                <w:lang w:eastAsia="en-GB"/>
              </w:rPr>
            </w:pPr>
            <w:r w:rsidRPr="00DB2D18">
              <w:rPr>
                <w:sz w:val="18"/>
                <w:lang w:eastAsia="en-GB"/>
              </w:rPr>
              <w:t>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6E2C" w14:textId="77777777" w:rsidR="00327301" w:rsidRPr="00DB2D18" w:rsidRDefault="00327301" w:rsidP="00FE68E8">
            <w:pPr>
              <w:jc w:val="right"/>
              <w:rPr>
                <w:sz w:val="18"/>
                <w:lang w:eastAsia="en-GB"/>
              </w:rPr>
            </w:pPr>
            <w:r w:rsidRPr="00DB2D18">
              <w:rPr>
                <w:sz w:val="18"/>
                <w:lang w:eastAsia="en-GB"/>
              </w:rPr>
              <w:t>29%</w:t>
            </w:r>
          </w:p>
        </w:tc>
      </w:tr>
      <w:tr w:rsidR="00750996" w:rsidRPr="00A52AEE" w14:paraId="7597C7A3"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54A16324" w14:textId="77777777" w:rsidR="00327301" w:rsidRPr="00DB2D18" w:rsidRDefault="00327301" w:rsidP="00A52AEE">
            <w:pPr>
              <w:rPr>
                <w:sz w:val="22"/>
                <w:lang w:eastAsia="en-GB"/>
              </w:rPr>
            </w:pPr>
            <w:r w:rsidRPr="00DB2D18">
              <w:rPr>
                <w:sz w:val="22"/>
                <w:lang w:eastAsia="en-GB"/>
              </w:rPr>
              <w:t>Southwark</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322C" w14:textId="77777777" w:rsidR="00327301" w:rsidRPr="00DB2D18" w:rsidRDefault="00327301" w:rsidP="00FE68E8">
            <w:pPr>
              <w:jc w:val="right"/>
              <w:rPr>
                <w:sz w:val="18"/>
                <w:lang w:eastAsia="en-GB"/>
              </w:rPr>
            </w:pPr>
            <w:r w:rsidRPr="00DB2D18">
              <w:rPr>
                <w:sz w:val="18"/>
                <w:lang w:eastAsia="en-GB"/>
              </w:rPr>
              <w:t>59%</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9083" w14:textId="77777777" w:rsidR="00327301" w:rsidRPr="00DB2D18" w:rsidRDefault="00327301" w:rsidP="00FE68E8">
            <w:pPr>
              <w:jc w:val="right"/>
              <w:rPr>
                <w:sz w:val="18"/>
                <w:lang w:eastAsia="en-GB"/>
              </w:rPr>
            </w:pPr>
            <w:r w:rsidRPr="00DB2D18">
              <w:rPr>
                <w:sz w:val="18"/>
                <w:lang w:eastAsia="en-GB"/>
              </w:rPr>
              <w:t>10%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EB2DA" w14:textId="77777777" w:rsidR="00327301" w:rsidRPr="00DB2D18" w:rsidRDefault="00327301" w:rsidP="00FE68E8">
            <w:pPr>
              <w:jc w:val="right"/>
              <w:rPr>
                <w:sz w:val="18"/>
                <w:lang w:eastAsia="en-GB"/>
              </w:rPr>
            </w:pPr>
            <w:r w:rsidRPr="00DB2D18">
              <w:rPr>
                <w:sz w:val="18"/>
                <w:lang w:eastAsia="en-GB"/>
              </w:rPr>
              <w:t>31%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370D" w14:textId="77777777" w:rsidR="00327301" w:rsidRPr="00DB2D18" w:rsidRDefault="00327301" w:rsidP="00FE68E8">
            <w:pPr>
              <w:jc w:val="right"/>
              <w:rPr>
                <w:sz w:val="18"/>
                <w:lang w:eastAsia="en-GB"/>
              </w:rPr>
            </w:pPr>
            <w:r w:rsidRPr="00DB2D18">
              <w:rPr>
                <w:sz w:val="18"/>
                <w:lang w:eastAsia="en-GB"/>
              </w:rPr>
              <w:t>54%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D01A"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623D"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B479" w14:textId="77777777" w:rsidR="00327301" w:rsidRPr="00DB2D18" w:rsidRDefault="00327301" w:rsidP="00FE68E8">
            <w:pPr>
              <w:jc w:val="right"/>
              <w:rPr>
                <w:sz w:val="18"/>
                <w:lang w:eastAsia="en-GB"/>
              </w:rPr>
            </w:pPr>
            <w:r w:rsidRPr="00DB2D18">
              <w:rPr>
                <w:sz w:val="18"/>
                <w:lang w:eastAsia="en-GB"/>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589A"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F333" w14:textId="77777777" w:rsidR="00327301" w:rsidRPr="00DB2D18" w:rsidRDefault="00327301" w:rsidP="00FE68E8">
            <w:pPr>
              <w:jc w:val="right"/>
              <w:rPr>
                <w:sz w:val="18"/>
                <w:lang w:eastAsia="en-GB"/>
              </w:rPr>
            </w:pPr>
            <w:r w:rsidRPr="00DB2D18">
              <w:rPr>
                <w:sz w:val="18"/>
                <w:lang w:eastAsia="en-GB"/>
              </w:rPr>
              <w:t>34%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AAB2" w14:textId="77777777" w:rsidR="00327301" w:rsidRPr="00DB2D18" w:rsidRDefault="00327301" w:rsidP="00FE68E8">
            <w:pPr>
              <w:jc w:val="right"/>
              <w:rPr>
                <w:sz w:val="18"/>
                <w:lang w:eastAsia="en-GB"/>
              </w:rPr>
            </w:pPr>
            <w:r w:rsidRPr="00DB2D18">
              <w:rPr>
                <w:sz w:val="18"/>
                <w:lang w:eastAsia="en-GB"/>
              </w:rPr>
              <w:t>60%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26DC"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AA89A" w14:textId="77777777" w:rsidR="00327301" w:rsidRPr="00DB2D18" w:rsidRDefault="00327301" w:rsidP="00FE68E8">
            <w:pPr>
              <w:jc w:val="right"/>
              <w:rPr>
                <w:sz w:val="18"/>
                <w:lang w:eastAsia="en-GB"/>
              </w:rPr>
            </w:pPr>
            <w:r w:rsidRPr="00DB2D18">
              <w:rPr>
                <w:sz w:val="18"/>
                <w:lang w:eastAsia="en-GB"/>
              </w:rPr>
              <w:t>30%</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FE54" w14:textId="77777777" w:rsidR="00327301" w:rsidRPr="00DB2D18" w:rsidRDefault="00327301" w:rsidP="00FE68E8">
            <w:pPr>
              <w:jc w:val="right"/>
              <w:rPr>
                <w:sz w:val="18"/>
                <w:lang w:eastAsia="en-GB"/>
              </w:rPr>
            </w:pPr>
            <w:r w:rsidRPr="00DB2D18">
              <w:rPr>
                <w:sz w:val="18"/>
                <w:lang w:eastAsia="en-GB"/>
              </w:rPr>
              <w:t>62%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3A2F3" w14:textId="77777777" w:rsidR="00327301" w:rsidRPr="00DB2D18" w:rsidRDefault="00327301" w:rsidP="00FE68E8">
            <w:pPr>
              <w:jc w:val="right"/>
              <w:rPr>
                <w:sz w:val="18"/>
                <w:lang w:eastAsia="en-GB"/>
              </w:rPr>
            </w:pPr>
            <w:r w:rsidRPr="00DB2D18">
              <w:rPr>
                <w:sz w:val="18"/>
                <w:lang w:eastAsia="en-GB"/>
              </w:rPr>
              <w:t>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F143A" w14:textId="77777777" w:rsidR="00327301" w:rsidRPr="00DB2D18" w:rsidRDefault="00327301" w:rsidP="00FE68E8">
            <w:pPr>
              <w:jc w:val="right"/>
              <w:rPr>
                <w:sz w:val="18"/>
                <w:lang w:eastAsia="en-GB"/>
              </w:rPr>
            </w:pPr>
            <w:r w:rsidRPr="00DB2D18">
              <w:rPr>
                <w:sz w:val="18"/>
                <w:lang w:eastAsia="en-GB"/>
              </w:rPr>
              <w:t>27%</w:t>
            </w:r>
          </w:p>
        </w:tc>
      </w:tr>
      <w:tr w:rsidR="00750996" w:rsidRPr="00A52AEE" w14:paraId="57C85B0B"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5AD2BEDC" w14:textId="77777777" w:rsidR="00327301" w:rsidRPr="00DB2D18" w:rsidRDefault="00327301" w:rsidP="00A52AEE">
            <w:pPr>
              <w:rPr>
                <w:sz w:val="22"/>
                <w:lang w:eastAsia="en-GB"/>
              </w:rPr>
            </w:pPr>
            <w:r w:rsidRPr="00DB2D18">
              <w:rPr>
                <w:sz w:val="22"/>
                <w:lang w:eastAsia="en-GB"/>
              </w:rPr>
              <w:t>Sutton</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E77E" w14:textId="77777777" w:rsidR="00327301" w:rsidRPr="00DB2D18" w:rsidRDefault="00327301" w:rsidP="00FE68E8">
            <w:pPr>
              <w:jc w:val="right"/>
              <w:rPr>
                <w:sz w:val="18"/>
                <w:lang w:eastAsia="en-GB"/>
              </w:rPr>
            </w:pPr>
            <w:r w:rsidRPr="00DB2D18">
              <w:rPr>
                <w:sz w:val="18"/>
                <w:lang w:eastAsia="en-GB"/>
              </w:rPr>
              <w:t>32%</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CA5A"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C905" w14:textId="77777777" w:rsidR="00327301" w:rsidRPr="00DB2D18" w:rsidRDefault="00327301" w:rsidP="00FE68E8">
            <w:pPr>
              <w:jc w:val="right"/>
              <w:rPr>
                <w:sz w:val="18"/>
                <w:lang w:eastAsia="en-GB"/>
              </w:rPr>
            </w:pPr>
            <w:r w:rsidRPr="00DB2D18">
              <w:rPr>
                <w:sz w:val="18"/>
                <w:lang w:eastAsia="en-GB"/>
              </w:rPr>
              <w:t>56%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9511" w14:textId="77777777" w:rsidR="00327301" w:rsidRPr="00DB2D18" w:rsidRDefault="00327301" w:rsidP="00FE68E8">
            <w:pPr>
              <w:jc w:val="right"/>
              <w:rPr>
                <w:sz w:val="18"/>
                <w:lang w:eastAsia="en-GB"/>
              </w:rPr>
            </w:pPr>
            <w:r w:rsidRPr="00DB2D18">
              <w:rPr>
                <w:sz w:val="18"/>
                <w:lang w:eastAsia="en-GB"/>
              </w:rPr>
              <w:t>31%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7543"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34C6" w14:textId="77777777" w:rsidR="00327301" w:rsidRPr="00DB2D18" w:rsidRDefault="00327301" w:rsidP="00FE68E8">
            <w:pPr>
              <w:jc w:val="right"/>
              <w:rPr>
                <w:sz w:val="18"/>
                <w:lang w:eastAsia="en-GB"/>
              </w:rPr>
            </w:pPr>
            <w:r w:rsidRPr="00DB2D18">
              <w:rPr>
                <w:sz w:val="18"/>
                <w:lang w:eastAsia="en-GB"/>
              </w:rPr>
              <w:t>54%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7AED" w14:textId="77777777" w:rsidR="00327301" w:rsidRPr="00DB2D18" w:rsidRDefault="00327301" w:rsidP="00FE68E8">
            <w:pPr>
              <w:jc w:val="right"/>
              <w:rPr>
                <w:sz w:val="18"/>
                <w:lang w:eastAsia="en-GB"/>
              </w:rPr>
            </w:pPr>
            <w:r w:rsidRPr="00DB2D18">
              <w:rPr>
                <w:sz w:val="18"/>
                <w:lang w:eastAsia="en-GB"/>
              </w:rPr>
              <w:t>33%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BE9F"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C284" w14:textId="77777777" w:rsidR="00327301" w:rsidRPr="00DB2D18" w:rsidRDefault="00327301" w:rsidP="00FE68E8">
            <w:pPr>
              <w:jc w:val="right"/>
              <w:rPr>
                <w:sz w:val="18"/>
                <w:lang w:eastAsia="en-GB"/>
              </w:rPr>
            </w:pPr>
            <w:r w:rsidRPr="00DB2D18">
              <w:rPr>
                <w:sz w:val="18"/>
                <w:lang w:eastAsia="en-GB"/>
              </w:rPr>
              <w:t>52%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6F307" w14:textId="77777777" w:rsidR="00327301" w:rsidRPr="00DB2D18" w:rsidRDefault="00327301" w:rsidP="00FE68E8">
            <w:pPr>
              <w:jc w:val="right"/>
              <w:rPr>
                <w:sz w:val="18"/>
                <w:lang w:eastAsia="en-GB"/>
              </w:rPr>
            </w:pPr>
            <w:r w:rsidRPr="00DB2D18">
              <w:rPr>
                <w:sz w:val="18"/>
                <w:lang w:eastAsia="en-GB"/>
              </w:rPr>
              <w:t>47%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52C6"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39BD" w14:textId="77777777" w:rsidR="00327301" w:rsidRPr="00DB2D18" w:rsidRDefault="00327301" w:rsidP="00FE68E8">
            <w:pPr>
              <w:jc w:val="right"/>
              <w:rPr>
                <w:sz w:val="18"/>
                <w:lang w:eastAsia="en-GB"/>
              </w:rPr>
            </w:pPr>
            <w:r w:rsidRPr="00DB2D18">
              <w:rPr>
                <w:sz w:val="18"/>
                <w:lang w:eastAsia="en-GB"/>
              </w:rPr>
              <w:t>41%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F042" w14:textId="77777777" w:rsidR="00327301" w:rsidRPr="00DB2D18" w:rsidRDefault="00327301" w:rsidP="00FE68E8">
            <w:pPr>
              <w:jc w:val="right"/>
              <w:rPr>
                <w:sz w:val="18"/>
                <w:lang w:eastAsia="en-GB"/>
              </w:rPr>
            </w:pPr>
            <w:r w:rsidRPr="00DB2D18">
              <w:rPr>
                <w:sz w:val="18"/>
                <w:lang w:eastAsia="en-GB"/>
              </w:rPr>
              <w:t>53%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03B3" w14:textId="77777777" w:rsidR="00327301" w:rsidRPr="00DB2D18" w:rsidRDefault="00327301" w:rsidP="00FE68E8">
            <w:pPr>
              <w:jc w:val="right"/>
              <w:rPr>
                <w:sz w:val="18"/>
                <w:lang w:eastAsia="en-GB"/>
              </w:rPr>
            </w:pPr>
            <w:r w:rsidRPr="00DB2D18">
              <w:rPr>
                <w:sz w:val="18"/>
                <w:lang w:eastAsia="en-GB"/>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96D5" w14:textId="77777777" w:rsidR="00327301" w:rsidRPr="00DB2D18" w:rsidRDefault="00327301" w:rsidP="00FE68E8">
            <w:pPr>
              <w:jc w:val="right"/>
              <w:rPr>
                <w:sz w:val="18"/>
                <w:lang w:eastAsia="en-GB"/>
              </w:rPr>
            </w:pPr>
            <w:r w:rsidRPr="00DB2D18">
              <w:rPr>
                <w:sz w:val="18"/>
                <w:lang w:eastAsia="en-GB"/>
              </w:rPr>
              <w:t>33%</w:t>
            </w:r>
          </w:p>
        </w:tc>
      </w:tr>
      <w:tr w:rsidR="00750996" w:rsidRPr="00A52AEE" w14:paraId="03ED6F58"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3C59A3F7" w14:textId="77777777" w:rsidR="00327301" w:rsidRPr="00DB2D18" w:rsidRDefault="00327301" w:rsidP="00A52AEE">
            <w:pPr>
              <w:rPr>
                <w:sz w:val="22"/>
                <w:lang w:eastAsia="en-GB"/>
              </w:rPr>
            </w:pPr>
            <w:r w:rsidRPr="00DB2D18">
              <w:rPr>
                <w:sz w:val="22"/>
                <w:lang w:eastAsia="en-GB"/>
              </w:rPr>
              <w:t>Tower Hamlets</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14F1" w14:textId="77777777" w:rsidR="00327301" w:rsidRPr="00DB2D18" w:rsidRDefault="00327301" w:rsidP="00FE68E8">
            <w:pPr>
              <w:jc w:val="right"/>
              <w:rPr>
                <w:sz w:val="18"/>
                <w:lang w:eastAsia="en-GB"/>
              </w:rPr>
            </w:pPr>
            <w:r w:rsidRPr="00DB2D18">
              <w:rPr>
                <w:sz w:val="18"/>
                <w:lang w:eastAsia="en-GB"/>
              </w:rPr>
              <w:t>61%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5611"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8EF5" w14:textId="77777777" w:rsidR="00327301" w:rsidRPr="00DB2D18" w:rsidRDefault="00327301" w:rsidP="00FE68E8">
            <w:pPr>
              <w:jc w:val="right"/>
              <w:rPr>
                <w:sz w:val="18"/>
                <w:lang w:eastAsia="en-GB"/>
              </w:rPr>
            </w:pPr>
            <w:r w:rsidRPr="00DB2D18">
              <w:rPr>
                <w:sz w:val="18"/>
                <w:lang w:eastAsia="en-GB"/>
              </w:rPr>
              <w:t>27%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4378" w14:textId="77777777" w:rsidR="00327301" w:rsidRPr="00DB2D18" w:rsidRDefault="00327301" w:rsidP="00FE68E8">
            <w:pPr>
              <w:jc w:val="right"/>
              <w:rPr>
                <w:sz w:val="18"/>
                <w:lang w:eastAsia="en-GB"/>
              </w:rPr>
            </w:pPr>
            <w:r w:rsidRPr="00DB2D18">
              <w:rPr>
                <w:sz w:val="18"/>
                <w:lang w:eastAsia="en-GB"/>
              </w:rPr>
              <w:t>58%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0CBD"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86B4" w14:textId="77777777" w:rsidR="00327301" w:rsidRPr="00DB2D18" w:rsidRDefault="00327301" w:rsidP="00FE68E8">
            <w:pPr>
              <w:jc w:val="right"/>
              <w:rPr>
                <w:sz w:val="18"/>
                <w:lang w:eastAsia="en-GB"/>
              </w:rPr>
            </w:pPr>
            <w:r w:rsidRPr="00DB2D18">
              <w:rPr>
                <w:sz w:val="18"/>
                <w:lang w:eastAsia="en-GB"/>
              </w:rPr>
              <w:t>31%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6B46" w14:textId="77777777" w:rsidR="00327301" w:rsidRPr="00DB2D18" w:rsidRDefault="00327301" w:rsidP="00FE68E8">
            <w:pPr>
              <w:jc w:val="right"/>
              <w:rPr>
                <w:sz w:val="18"/>
                <w:lang w:eastAsia="en-GB"/>
              </w:rPr>
            </w:pPr>
            <w:r w:rsidRPr="00DB2D18">
              <w:rPr>
                <w:sz w:val="18"/>
                <w:lang w:eastAsia="en-GB"/>
              </w:rPr>
              <w:t>56%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4BFF"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9613C" w14:textId="77777777" w:rsidR="00327301" w:rsidRPr="00DB2D18" w:rsidRDefault="00327301" w:rsidP="00FE68E8">
            <w:pPr>
              <w:jc w:val="right"/>
              <w:rPr>
                <w:sz w:val="18"/>
                <w:lang w:eastAsia="en-GB"/>
              </w:rPr>
            </w:pPr>
            <w:r w:rsidRPr="00DB2D18">
              <w:rPr>
                <w:sz w:val="18"/>
                <w:lang w:eastAsia="en-GB"/>
              </w:rPr>
              <w:t>31%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0E58" w14:textId="77777777" w:rsidR="00327301" w:rsidRPr="00DB2D18" w:rsidRDefault="00327301" w:rsidP="00FE68E8">
            <w:pPr>
              <w:jc w:val="right"/>
              <w:rPr>
                <w:sz w:val="18"/>
                <w:lang w:eastAsia="en-GB"/>
              </w:rPr>
            </w:pPr>
            <w:r w:rsidRPr="00DB2D18">
              <w:rPr>
                <w:sz w:val="18"/>
                <w:lang w:eastAsia="en-GB"/>
              </w:rPr>
              <w:t>57%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0DC1"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7590B" w14:textId="77777777" w:rsidR="00327301" w:rsidRPr="00DB2D18" w:rsidRDefault="00327301" w:rsidP="00FE68E8">
            <w:pPr>
              <w:jc w:val="right"/>
              <w:rPr>
                <w:sz w:val="18"/>
                <w:lang w:eastAsia="en-GB"/>
              </w:rPr>
            </w:pPr>
            <w:r w:rsidRPr="00DB2D18">
              <w:rPr>
                <w:sz w:val="18"/>
                <w:lang w:eastAsia="en-GB"/>
              </w:rPr>
              <w:t>31%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A9C1" w14:textId="77777777" w:rsidR="00327301" w:rsidRPr="00DB2D18" w:rsidRDefault="00327301" w:rsidP="00FE68E8">
            <w:pPr>
              <w:jc w:val="right"/>
              <w:rPr>
                <w:sz w:val="18"/>
                <w:lang w:eastAsia="en-GB"/>
              </w:rPr>
            </w:pPr>
            <w:r w:rsidRPr="00DB2D18">
              <w:rPr>
                <w:sz w:val="18"/>
                <w:lang w:eastAsia="en-GB"/>
              </w:rPr>
              <w:t>66%</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11C6" w14:textId="77777777" w:rsidR="00327301" w:rsidRPr="00DB2D18" w:rsidRDefault="00327301" w:rsidP="00FE68E8">
            <w:pPr>
              <w:jc w:val="right"/>
              <w:rPr>
                <w:sz w:val="18"/>
                <w:lang w:eastAsia="en-GB"/>
              </w:rPr>
            </w:pPr>
            <w:r w:rsidRPr="00DB2D18">
              <w:rPr>
                <w:sz w:val="18"/>
                <w:lang w:eastAsia="en-GB"/>
              </w:rPr>
              <w:t>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6CFC5" w14:textId="77777777" w:rsidR="00327301" w:rsidRPr="00DB2D18" w:rsidRDefault="00327301" w:rsidP="00FE68E8">
            <w:pPr>
              <w:jc w:val="right"/>
              <w:rPr>
                <w:sz w:val="18"/>
                <w:lang w:eastAsia="en-GB"/>
              </w:rPr>
            </w:pPr>
            <w:r w:rsidRPr="00DB2D18">
              <w:rPr>
                <w:sz w:val="18"/>
                <w:lang w:eastAsia="en-GB"/>
              </w:rPr>
              <w:t>24%</w:t>
            </w:r>
          </w:p>
        </w:tc>
      </w:tr>
      <w:tr w:rsidR="00750996" w:rsidRPr="00A52AEE" w14:paraId="4912C371"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46D52DFA" w14:textId="77777777" w:rsidR="00327301" w:rsidRPr="00DB2D18" w:rsidRDefault="00327301" w:rsidP="00A52AEE">
            <w:pPr>
              <w:rPr>
                <w:sz w:val="22"/>
                <w:lang w:eastAsia="en-GB"/>
              </w:rPr>
            </w:pPr>
            <w:r w:rsidRPr="00DB2D18">
              <w:rPr>
                <w:sz w:val="22"/>
                <w:lang w:eastAsia="en-GB"/>
              </w:rPr>
              <w:t>Waltham Forest</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B3B2" w14:textId="77777777" w:rsidR="00327301" w:rsidRPr="00DB2D18" w:rsidRDefault="00327301" w:rsidP="00FE68E8">
            <w:pPr>
              <w:jc w:val="right"/>
              <w:rPr>
                <w:sz w:val="18"/>
                <w:lang w:eastAsia="en-GB"/>
              </w:rPr>
            </w:pPr>
            <w:r w:rsidRPr="00DB2D18">
              <w:rPr>
                <w:sz w:val="18"/>
                <w:lang w:eastAsia="en-GB"/>
              </w:rPr>
              <w:t>63%</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B8BE"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6F4EB" w14:textId="77777777" w:rsidR="00327301" w:rsidRPr="00DB2D18" w:rsidRDefault="00327301" w:rsidP="00FE68E8">
            <w:pPr>
              <w:jc w:val="right"/>
              <w:rPr>
                <w:sz w:val="18"/>
                <w:lang w:eastAsia="en-GB"/>
              </w:rPr>
            </w:pPr>
            <w:r w:rsidRPr="00DB2D18">
              <w:rPr>
                <w:sz w:val="18"/>
                <w:lang w:eastAsia="en-GB"/>
              </w:rPr>
              <w:t>27%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8F13" w14:textId="77777777" w:rsidR="00327301" w:rsidRPr="00DB2D18" w:rsidRDefault="00327301" w:rsidP="00FE68E8">
            <w:pPr>
              <w:jc w:val="right"/>
              <w:rPr>
                <w:sz w:val="18"/>
                <w:lang w:eastAsia="en-GB"/>
              </w:rPr>
            </w:pPr>
            <w:r w:rsidRPr="00DB2D18">
              <w:rPr>
                <w:sz w:val="18"/>
                <w:lang w:eastAsia="en-GB"/>
              </w:rPr>
              <w:t>63%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8C1F" w14:textId="77777777" w:rsidR="00327301" w:rsidRPr="00DB2D18" w:rsidRDefault="00327301" w:rsidP="00FE68E8">
            <w:pPr>
              <w:jc w:val="right"/>
              <w:rPr>
                <w:sz w:val="18"/>
                <w:lang w:eastAsia="en-GB"/>
              </w:rPr>
            </w:pPr>
            <w:r w:rsidRPr="00DB2D18">
              <w:rPr>
                <w:sz w:val="18"/>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27ED" w14:textId="77777777" w:rsidR="00327301" w:rsidRPr="00DB2D18" w:rsidRDefault="00327301" w:rsidP="00FE68E8">
            <w:pPr>
              <w:jc w:val="right"/>
              <w:rPr>
                <w:sz w:val="18"/>
                <w:lang w:eastAsia="en-GB"/>
              </w:rPr>
            </w:pPr>
            <w:r w:rsidRPr="00DB2D18">
              <w:rPr>
                <w:sz w:val="18"/>
                <w:lang w:eastAsia="en-GB"/>
              </w:rPr>
              <w:t>28%</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7E73" w14:textId="77777777" w:rsidR="00327301" w:rsidRPr="00DB2D18" w:rsidRDefault="00327301" w:rsidP="00FE68E8">
            <w:pPr>
              <w:jc w:val="right"/>
              <w:rPr>
                <w:sz w:val="18"/>
                <w:lang w:eastAsia="en-GB"/>
              </w:rPr>
            </w:pPr>
            <w:r w:rsidRPr="00DB2D18">
              <w:rPr>
                <w:sz w:val="18"/>
                <w:lang w:eastAsia="en-GB"/>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D9F7"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D0EB" w14:textId="77777777" w:rsidR="00327301" w:rsidRPr="00DB2D18" w:rsidRDefault="00327301" w:rsidP="00FE68E8">
            <w:pPr>
              <w:jc w:val="right"/>
              <w:rPr>
                <w:sz w:val="18"/>
                <w:lang w:eastAsia="en-GB"/>
              </w:rPr>
            </w:pPr>
            <w:r w:rsidRPr="00DB2D18">
              <w:rPr>
                <w:sz w:val="18"/>
                <w:lang w:eastAsia="en-GB"/>
              </w:rPr>
              <w:t>23%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8856" w14:textId="77777777" w:rsidR="00327301" w:rsidRPr="00DB2D18" w:rsidRDefault="00327301" w:rsidP="00FE68E8">
            <w:pPr>
              <w:jc w:val="right"/>
              <w:rPr>
                <w:sz w:val="18"/>
                <w:lang w:eastAsia="en-GB"/>
              </w:rPr>
            </w:pPr>
            <w:r w:rsidRPr="00DB2D18">
              <w:rPr>
                <w:sz w:val="18"/>
                <w:lang w:eastAsia="en-GB"/>
              </w:rPr>
              <w:t>69%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1139" w14:textId="77777777" w:rsidR="00327301" w:rsidRPr="00DB2D18" w:rsidRDefault="00327301" w:rsidP="00FE68E8">
            <w:pPr>
              <w:jc w:val="right"/>
              <w:rPr>
                <w:sz w:val="18"/>
                <w:lang w:eastAsia="en-GB"/>
              </w:rPr>
            </w:pPr>
            <w:r w:rsidRPr="00DB2D18">
              <w:rPr>
                <w:sz w:val="18"/>
                <w:lang w:eastAsia="en-GB"/>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3AA93" w14:textId="77777777" w:rsidR="00327301" w:rsidRPr="00DB2D18" w:rsidRDefault="00327301" w:rsidP="00FE68E8">
            <w:pPr>
              <w:jc w:val="right"/>
              <w:rPr>
                <w:sz w:val="18"/>
                <w:lang w:eastAsia="en-GB"/>
              </w:rPr>
            </w:pPr>
            <w:r w:rsidRPr="00DB2D18">
              <w:rPr>
                <w:sz w:val="18"/>
                <w:lang w:eastAsia="en-GB"/>
              </w:rPr>
              <w:t>21%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38E69" w14:textId="77777777" w:rsidR="00327301" w:rsidRPr="00DB2D18" w:rsidRDefault="00327301" w:rsidP="00FE68E8">
            <w:pPr>
              <w:jc w:val="right"/>
              <w:rPr>
                <w:sz w:val="18"/>
                <w:lang w:eastAsia="en-GB"/>
              </w:rPr>
            </w:pPr>
            <w:r w:rsidRPr="00DB2D18">
              <w:rPr>
                <w:sz w:val="18"/>
                <w:lang w:eastAsia="en-GB"/>
              </w:rPr>
              <w:t>74%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3726" w14:textId="77777777" w:rsidR="00327301" w:rsidRPr="00DB2D18" w:rsidRDefault="00327301" w:rsidP="00FE68E8">
            <w:pPr>
              <w:jc w:val="right"/>
              <w:rPr>
                <w:sz w:val="18"/>
                <w:lang w:eastAsia="en-GB"/>
              </w:rPr>
            </w:pPr>
            <w:r w:rsidRPr="00DB2D18">
              <w:rPr>
                <w:sz w:val="18"/>
                <w:lang w:eastAsia="en-GB"/>
              </w:rPr>
              <w:t>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80F4" w14:textId="77777777" w:rsidR="00327301" w:rsidRPr="00DB2D18" w:rsidRDefault="00327301" w:rsidP="00FE68E8">
            <w:pPr>
              <w:jc w:val="right"/>
              <w:rPr>
                <w:sz w:val="18"/>
                <w:lang w:eastAsia="en-GB"/>
              </w:rPr>
            </w:pPr>
            <w:r w:rsidRPr="00DB2D18">
              <w:rPr>
                <w:sz w:val="18"/>
                <w:lang w:eastAsia="en-GB"/>
              </w:rPr>
              <w:t>19%</w:t>
            </w:r>
          </w:p>
        </w:tc>
      </w:tr>
      <w:tr w:rsidR="00750996" w:rsidRPr="00A52AEE" w14:paraId="5FF9934C"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6FE0A5BB" w14:textId="31B9165C" w:rsidR="00327301" w:rsidRPr="00DB2D18" w:rsidRDefault="00327301" w:rsidP="00A52AEE">
            <w:pPr>
              <w:rPr>
                <w:sz w:val="22"/>
                <w:lang w:eastAsia="en-GB"/>
              </w:rPr>
            </w:pPr>
            <w:r w:rsidRPr="00DB2D18">
              <w:rPr>
                <w:sz w:val="22"/>
                <w:lang w:eastAsia="en-GB"/>
              </w:rPr>
              <w:t>Wands</w:t>
            </w:r>
            <w:r w:rsidR="00750996" w:rsidRPr="00DB2D18">
              <w:rPr>
                <w:sz w:val="22"/>
                <w:lang w:eastAsia="en-GB"/>
              </w:rPr>
              <w:t>-</w:t>
            </w:r>
            <w:r w:rsidRPr="00DB2D18">
              <w:rPr>
                <w:sz w:val="22"/>
                <w:lang w:eastAsia="en-GB"/>
              </w:rPr>
              <w:t>worth</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F56A" w14:textId="77777777" w:rsidR="00327301" w:rsidRPr="00DB2D18" w:rsidRDefault="00327301" w:rsidP="00FE68E8">
            <w:pPr>
              <w:jc w:val="right"/>
              <w:rPr>
                <w:sz w:val="18"/>
                <w:lang w:eastAsia="en-GB"/>
              </w:rPr>
            </w:pPr>
            <w:r w:rsidRPr="00DB2D18">
              <w:rPr>
                <w:sz w:val="18"/>
                <w:lang w:eastAsia="en-GB"/>
              </w:rPr>
              <w:t>39%</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AE5C" w14:textId="77777777" w:rsidR="00327301" w:rsidRPr="00DB2D18" w:rsidRDefault="00327301" w:rsidP="00FE68E8">
            <w:pPr>
              <w:jc w:val="right"/>
              <w:rPr>
                <w:sz w:val="18"/>
                <w:lang w:eastAsia="en-GB"/>
              </w:rPr>
            </w:pPr>
            <w:r w:rsidRPr="00DB2D18">
              <w:rPr>
                <w:sz w:val="18"/>
                <w:lang w:eastAsia="en-GB"/>
              </w:rPr>
              <w:t>13%</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EADE" w14:textId="77777777" w:rsidR="00327301" w:rsidRPr="00DB2D18" w:rsidRDefault="00327301" w:rsidP="00FE68E8">
            <w:pPr>
              <w:jc w:val="right"/>
              <w:rPr>
                <w:sz w:val="18"/>
                <w:lang w:eastAsia="en-GB"/>
              </w:rPr>
            </w:pPr>
            <w:r w:rsidRPr="00DB2D18">
              <w:rPr>
                <w:sz w:val="18"/>
                <w:lang w:eastAsia="en-GB"/>
              </w:rPr>
              <w:t>48%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329F" w14:textId="77777777" w:rsidR="00327301" w:rsidRPr="00DB2D18" w:rsidRDefault="00327301" w:rsidP="00FE68E8">
            <w:pPr>
              <w:jc w:val="right"/>
              <w:rPr>
                <w:sz w:val="18"/>
                <w:lang w:eastAsia="en-GB"/>
              </w:rPr>
            </w:pPr>
            <w:r w:rsidRPr="00DB2D18">
              <w:rPr>
                <w:sz w:val="18"/>
                <w:lang w:eastAsia="en-GB"/>
              </w:rPr>
              <w:t>42%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CDDD" w14:textId="77777777" w:rsidR="00327301" w:rsidRPr="00DB2D18" w:rsidRDefault="00327301" w:rsidP="00FE68E8">
            <w:pPr>
              <w:jc w:val="right"/>
              <w:rPr>
                <w:sz w:val="18"/>
                <w:lang w:eastAsia="en-GB"/>
              </w:rPr>
            </w:pPr>
            <w:r w:rsidRPr="00DB2D18">
              <w:rPr>
                <w:sz w:val="18"/>
                <w:lang w:eastAsia="en-GB"/>
              </w:rPr>
              <w:t>11%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516E" w14:textId="77777777" w:rsidR="00327301" w:rsidRPr="00DB2D18" w:rsidRDefault="00327301" w:rsidP="00FE68E8">
            <w:pPr>
              <w:jc w:val="right"/>
              <w:rPr>
                <w:sz w:val="18"/>
                <w:lang w:eastAsia="en-GB"/>
              </w:rPr>
            </w:pPr>
            <w:r w:rsidRPr="00DB2D18">
              <w:rPr>
                <w:sz w:val="18"/>
                <w:lang w:eastAsia="en-GB"/>
              </w:rPr>
              <w:t>47%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C101" w14:textId="77777777" w:rsidR="00327301" w:rsidRPr="00DB2D18" w:rsidRDefault="00327301" w:rsidP="00FE68E8">
            <w:pPr>
              <w:jc w:val="right"/>
              <w:rPr>
                <w:sz w:val="18"/>
                <w:lang w:eastAsia="en-GB"/>
              </w:rPr>
            </w:pPr>
            <w:r w:rsidRPr="00DB2D18">
              <w:rPr>
                <w:sz w:val="18"/>
                <w:lang w:eastAsia="en-GB"/>
              </w:rPr>
              <w:t>43%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073F" w14:textId="77777777" w:rsidR="00327301" w:rsidRPr="00DB2D18" w:rsidRDefault="00327301" w:rsidP="00FE68E8">
            <w:pPr>
              <w:jc w:val="right"/>
              <w:rPr>
                <w:sz w:val="18"/>
                <w:lang w:eastAsia="en-GB"/>
              </w:rPr>
            </w:pPr>
            <w:r w:rsidRPr="00DB2D18">
              <w:rPr>
                <w:sz w:val="18"/>
                <w:lang w:eastAsia="en-GB"/>
              </w:rPr>
              <w:t>13%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EB75" w14:textId="77777777" w:rsidR="00327301" w:rsidRPr="00DB2D18" w:rsidRDefault="00327301" w:rsidP="00FE68E8">
            <w:pPr>
              <w:jc w:val="right"/>
              <w:rPr>
                <w:sz w:val="18"/>
                <w:lang w:eastAsia="en-GB"/>
              </w:rPr>
            </w:pPr>
            <w:r w:rsidRPr="00DB2D18">
              <w:rPr>
                <w:sz w:val="18"/>
                <w:lang w:eastAsia="en-GB"/>
              </w:rPr>
              <w:t>44%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ACD1" w14:textId="77777777" w:rsidR="00327301" w:rsidRPr="00DB2D18" w:rsidRDefault="00327301" w:rsidP="00FE68E8">
            <w:pPr>
              <w:jc w:val="right"/>
              <w:rPr>
                <w:sz w:val="18"/>
                <w:lang w:eastAsia="en-GB"/>
              </w:rPr>
            </w:pPr>
            <w:r w:rsidRPr="00DB2D18">
              <w:rPr>
                <w:sz w:val="18"/>
                <w:lang w:eastAsia="en-GB"/>
              </w:rPr>
              <w:t>44%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38214" w14:textId="77777777" w:rsidR="00327301" w:rsidRPr="00DB2D18" w:rsidRDefault="00327301" w:rsidP="00FE68E8">
            <w:pPr>
              <w:jc w:val="right"/>
              <w:rPr>
                <w:sz w:val="18"/>
                <w:lang w:eastAsia="en-GB"/>
              </w:rPr>
            </w:pPr>
            <w:r w:rsidRPr="00DB2D18">
              <w:rPr>
                <w:sz w:val="18"/>
                <w:lang w:eastAsia="en-GB"/>
              </w:rPr>
              <w:t>15%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FCEC" w14:textId="77777777" w:rsidR="00327301" w:rsidRPr="00DB2D18" w:rsidRDefault="00327301" w:rsidP="00FE68E8">
            <w:pPr>
              <w:jc w:val="right"/>
              <w:rPr>
                <w:sz w:val="18"/>
                <w:lang w:eastAsia="en-GB"/>
              </w:rPr>
            </w:pPr>
            <w:r w:rsidRPr="00DB2D18">
              <w:rPr>
                <w:sz w:val="18"/>
                <w:lang w:eastAsia="en-GB"/>
              </w:rPr>
              <w:t>41%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EAC2" w14:textId="77777777" w:rsidR="00327301" w:rsidRPr="00DB2D18" w:rsidRDefault="00327301" w:rsidP="00FE68E8">
            <w:pPr>
              <w:jc w:val="right"/>
              <w:rPr>
                <w:sz w:val="18"/>
                <w:lang w:eastAsia="en-GB"/>
              </w:rPr>
            </w:pPr>
            <w:r w:rsidRPr="00DB2D18">
              <w:rPr>
                <w:sz w:val="18"/>
                <w:lang w:eastAsia="en-GB"/>
              </w:rPr>
              <w:t>53%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0C97" w14:textId="77777777" w:rsidR="00327301" w:rsidRPr="00DB2D18" w:rsidRDefault="00327301" w:rsidP="00FE68E8">
            <w:pPr>
              <w:jc w:val="right"/>
              <w:rPr>
                <w:sz w:val="18"/>
                <w:lang w:eastAsia="en-GB"/>
              </w:rPr>
            </w:pPr>
            <w:r w:rsidRPr="00DB2D18">
              <w:rPr>
                <w:sz w:val="18"/>
                <w:lang w:eastAsia="en-GB"/>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B6D9" w14:textId="77777777" w:rsidR="00327301" w:rsidRPr="00DB2D18" w:rsidRDefault="00327301" w:rsidP="00FE68E8">
            <w:pPr>
              <w:jc w:val="right"/>
              <w:rPr>
                <w:sz w:val="18"/>
                <w:lang w:eastAsia="en-GB"/>
              </w:rPr>
            </w:pPr>
            <w:r w:rsidRPr="00DB2D18">
              <w:rPr>
                <w:sz w:val="18"/>
                <w:lang w:eastAsia="en-GB"/>
              </w:rPr>
              <w:t>33%</w:t>
            </w:r>
          </w:p>
        </w:tc>
      </w:tr>
      <w:tr w:rsidR="00750996" w:rsidRPr="00A52AEE" w14:paraId="2B47C4BD" w14:textId="77777777" w:rsidTr="00DB2D18">
        <w:trPr>
          <w:trHeight w:val="300"/>
        </w:trPr>
        <w:tc>
          <w:tcPr>
            <w:tcW w:w="649" w:type="pct"/>
            <w:tcBorders>
              <w:left w:val="single" w:sz="4" w:space="0" w:color="auto"/>
              <w:right w:val="single" w:sz="4" w:space="0" w:color="auto"/>
            </w:tcBorders>
            <w:shd w:val="clear" w:color="auto" w:fill="auto"/>
            <w:noWrap/>
            <w:vAlign w:val="bottom"/>
            <w:hideMark/>
          </w:tcPr>
          <w:p w14:paraId="0494BD2E" w14:textId="249B9FC4" w:rsidR="00327301" w:rsidRPr="00DB2D18" w:rsidRDefault="00327301" w:rsidP="00A52AEE">
            <w:pPr>
              <w:rPr>
                <w:sz w:val="22"/>
                <w:lang w:eastAsia="en-GB"/>
              </w:rPr>
            </w:pPr>
            <w:r w:rsidRPr="00DB2D18">
              <w:rPr>
                <w:sz w:val="22"/>
                <w:lang w:eastAsia="en-GB"/>
              </w:rPr>
              <w:t>West</w:t>
            </w:r>
            <w:r w:rsidR="00750996" w:rsidRPr="00DB2D18">
              <w:rPr>
                <w:sz w:val="22"/>
                <w:lang w:eastAsia="en-GB"/>
              </w:rPr>
              <w:t>-</w:t>
            </w:r>
            <w:r w:rsidRPr="00DB2D18">
              <w:rPr>
                <w:sz w:val="22"/>
                <w:lang w:eastAsia="en-GB"/>
              </w:rPr>
              <w:t>minster</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36C5" w14:textId="77777777" w:rsidR="00327301" w:rsidRPr="00DB2D18" w:rsidRDefault="00327301" w:rsidP="00FE68E8">
            <w:pPr>
              <w:jc w:val="right"/>
              <w:rPr>
                <w:sz w:val="18"/>
                <w:lang w:eastAsia="en-GB"/>
              </w:rPr>
            </w:pPr>
            <w:r w:rsidRPr="00DB2D18">
              <w:rPr>
                <w:sz w:val="18"/>
                <w:lang w:eastAsia="en-GB"/>
              </w:rPr>
              <w:t>47%</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1216" w14:textId="77777777" w:rsidR="00327301" w:rsidRPr="00DB2D18" w:rsidRDefault="00327301" w:rsidP="00FE68E8">
            <w:pPr>
              <w:jc w:val="right"/>
              <w:rPr>
                <w:sz w:val="18"/>
                <w:lang w:eastAsia="en-GB"/>
              </w:rPr>
            </w:pPr>
            <w:r w:rsidRPr="00DB2D18">
              <w:rPr>
                <w:sz w:val="18"/>
                <w:lang w:eastAsia="en-GB"/>
              </w:rPr>
              <w:t>12%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ACC2" w14:textId="77777777" w:rsidR="00327301" w:rsidRPr="00DB2D18" w:rsidRDefault="00327301" w:rsidP="00FE68E8">
            <w:pPr>
              <w:jc w:val="right"/>
              <w:rPr>
                <w:sz w:val="18"/>
                <w:lang w:eastAsia="en-GB"/>
              </w:rPr>
            </w:pPr>
            <w:r w:rsidRPr="00DB2D18">
              <w:rPr>
                <w:sz w:val="18"/>
                <w:lang w:eastAsia="en-GB"/>
              </w:rPr>
              <w:t>41%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755A" w14:textId="77777777" w:rsidR="00327301" w:rsidRPr="00DB2D18" w:rsidRDefault="00327301" w:rsidP="00FE68E8">
            <w:pPr>
              <w:jc w:val="right"/>
              <w:rPr>
                <w:sz w:val="18"/>
                <w:lang w:eastAsia="en-GB"/>
              </w:rPr>
            </w:pPr>
            <w:r w:rsidRPr="00DB2D18">
              <w:rPr>
                <w:sz w:val="18"/>
                <w:lang w:eastAsia="en-GB"/>
              </w:rPr>
              <w:t>47%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E699" w14:textId="77777777" w:rsidR="00327301" w:rsidRPr="00DB2D18" w:rsidRDefault="00327301" w:rsidP="00FE68E8">
            <w:pPr>
              <w:jc w:val="right"/>
              <w:rPr>
                <w:sz w:val="18"/>
                <w:lang w:eastAsia="en-GB"/>
              </w:rPr>
            </w:pPr>
            <w:r w:rsidRPr="00DB2D18">
              <w:rPr>
                <w:sz w:val="18"/>
                <w:lang w:eastAsia="en-GB"/>
              </w:rPr>
              <w:t>18%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33A73" w14:textId="77777777" w:rsidR="00327301" w:rsidRPr="00DB2D18" w:rsidRDefault="00327301" w:rsidP="00FE68E8">
            <w:pPr>
              <w:jc w:val="right"/>
              <w:rPr>
                <w:sz w:val="18"/>
                <w:lang w:eastAsia="en-GB"/>
              </w:rPr>
            </w:pPr>
            <w:r w:rsidRPr="00DB2D18">
              <w:rPr>
                <w:sz w:val="18"/>
                <w:lang w:eastAsia="en-GB"/>
              </w:rPr>
              <w:t>35%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61076" w14:textId="77777777" w:rsidR="00327301" w:rsidRPr="00DB2D18" w:rsidRDefault="00327301" w:rsidP="00FE68E8">
            <w:pPr>
              <w:jc w:val="right"/>
              <w:rPr>
                <w:sz w:val="18"/>
                <w:lang w:eastAsia="en-GB"/>
              </w:rPr>
            </w:pPr>
            <w:r w:rsidRPr="00DB2D18">
              <w:rPr>
                <w:sz w:val="18"/>
                <w:lang w:eastAsia="en-GB"/>
              </w:rPr>
              <w:t>42%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7208"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7DC9" w14:textId="77777777" w:rsidR="00327301" w:rsidRPr="00DB2D18" w:rsidRDefault="00327301" w:rsidP="00FE68E8">
            <w:pPr>
              <w:jc w:val="right"/>
              <w:rPr>
                <w:sz w:val="18"/>
                <w:lang w:eastAsia="en-GB"/>
              </w:rPr>
            </w:pPr>
            <w:r w:rsidRPr="00DB2D18">
              <w:rPr>
                <w:sz w:val="18"/>
                <w:lang w:eastAsia="en-GB"/>
              </w:rPr>
              <w:t>42%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82E7" w14:textId="77777777" w:rsidR="00327301" w:rsidRPr="00DB2D18" w:rsidRDefault="00327301" w:rsidP="00FE68E8">
            <w:pPr>
              <w:jc w:val="right"/>
              <w:rPr>
                <w:sz w:val="18"/>
                <w:lang w:eastAsia="en-GB"/>
              </w:rPr>
            </w:pPr>
            <w:r w:rsidRPr="00DB2D18">
              <w:rPr>
                <w:sz w:val="18"/>
                <w:lang w:eastAsia="en-GB"/>
              </w:rPr>
              <w:t>47%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AD90" w14:textId="77777777" w:rsidR="00327301" w:rsidRPr="00DB2D18" w:rsidRDefault="00327301" w:rsidP="00FE68E8">
            <w:pPr>
              <w:jc w:val="right"/>
              <w:rPr>
                <w:sz w:val="18"/>
                <w:lang w:eastAsia="en-GB"/>
              </w:rPr>
            </w:pPr>
            <w:r w:rsidRPr="00DB2D18">
              <w:rPr>
                <w:sz w:val="18"/>
                <w:lang w:eastAsia="en-GB"/>
              </w:rPr>
              <w:t>16%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83863" w14:textId="77777777" w:rsidR="00327301" w:rsidRPr="00DB2D18" w:rsidRDefault="00327301" w:rsidP="00FE68E8">
            <w:pPr>
              <w:jc w:val="right"/>
              <w:rPr>
                <w:sz w:val="18"/>
                <w:lang w:eastAsia="en-GB"/>
              </w:rPr>
            </w:pPr>
            <w:r w:rsidRPr="00DB2D18">
              <w:rPr>
                <w:sz w:val="18"/>
                <w:lang w:eastAsia="en-GB"/>
              </w:rPr>
              <w:t>37%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2E52" w14:textId="77777777" w:rsidR="00327301" w:rsidRPr="00DB2D18" w:rsidRDefault="00327301" w:rsidP="00FE68E8">
            <w:pPr>
              <w:jc w:val="right"/>
              <w:rPr>
                <w:sz w:val="18"/>
                <w:lang w:eastAsia="en-GB"/>
              </w:rPr>
            </w:pPr>
            <w:r w:rsidRPr="00DB2D18">
              <w:rPr>
                <w:sz w:val="18"/>
                <w:lang w:eastAsia="en-GB"/>
              </w:rPr>
              <w:t>63%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B91B" w14:textId="77777777" w:rsidR="00327301" w:rsidRPr="00DB2D18" w:rsidRDefault="00327301" w:rsidP="00FE68E8">
            <w:pPr>
              <w:jc w:val="right"/>
              <w:rPr>
                <w:sz w:val="18"/>
                <w:lang w:eastAsia="en-GB"/>
              </w:rPr>
            </w:pPr>
            <w:r w:rsidRPr="00DB2D18">
              <w:rPr>
                <w:sz w:val="18"/>
                <w:lang w:eastAsia="en-GB"/>
              </w:rPr>
              <w:t>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B3F49" w14:textId="77777777" w:rsidR="00327301" w:rsidRPr="00DB2D18" w:rsidRDefault="00327301" w:rsidP="00FE68E8">
            <w:pPr>
              <w:jc w:val="right"/>
              <w:rPr>
                <w:sz w:val="18"/>
                <w:lang w:eastAsia="en-GB"/>
              </w:rPr>
            </w:pPr>
            <w:r w:rsidRPr="00DB2D18">
              <w:rPr>
                <w:sz w:val="18"/>
                <w:lang w:eastAsia="en-GB"/>
              </w:rPr>
              <w:t>28%</w:t>
            </w:r>
          </w:p>
        </w:tc>
      </w:tr>
      <w:tr w:rsidR="00DB2D18" w:rsidRPr="00A52AEE" w14:paraId="67B0132D" w14:textId="77777777" w:rsidTr="00DB2D18">
        <w:trPr>
          <w:trHeight w:val="300"/>
        </w:trPr>
        <w:tc>
          <w:tcPr>
            <w:tcW w:w="649" w:type="pct"/>
            <w:tcBorders>
              <w:left w:val="single" w:sz="4" w:space="0" w:color="auto"/>
              <w:bottom w:val="single" w:sz="4" w:space="0" w:color="auto"/>
              <w:right w:val="single" w:sz="4" w:space="0" w:color="auto"/>
            </w:tcBorders>
            <w:shd w:val="clear" w:color="DDEBF7" w:fill="F2F2F2"/>
            <w:noWrap/>
            <w:vAlign w:val="bottom"/>
            <w:hideMark/>
          </w:tcPr>
          <w:p w14:paraId="7B534BBE" w14:textId="08F6D9F0" w:rsidR="00327301" w:rsidRPr="00DB2D18" w:rsidRDefault="00327301" w:rsidP="00A52AEE">
            <w:pPr>
              <w:rPr>
                <w:sz w:val="22"/>
                <w:lang w:eastAsia="en-GB"/>
              </w:rPr>
            </w:pPr>
            <w:r w:rsidRPr="00DB2D18">
              <w:rPr>
                <w:sz w:val="22"/>
                <w:lang w:eastAsia="en-GB"/>
              </w:rPr>
              <w:t>Total</w:t>
            </w:r>
          </w:p>
        </w:tc>
        <w:tc>
          <w:tcPr>
            <w:tcW w:w="288" w:type="pct"/>
            <w:gridSpan w:val="2"/>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458DA3FF" w14:textId="77777777" w:rsidR="00327301" w:rsidRPr="00DB2D18" w:rsidRDefault="00327301" w:rsidP="00FE68E8">
            <w:pPr>
              <w:jc w:val="right"/>
              <w:rPr>
                <w:sz w:val="18"/>
                <w:lang w:eastAsia="en-GB"/>
              </w:rPr>
            </w:pPr>
            <w:r w:rsidRPr="00DB2D18">
              <w:rPr>
                <w:sz w:val="18"/>
                <w:lang w:eastAsia="en-GB"/>
              </w:rPr>
              <w:t>54%</w:t>
            </w:r>
          </w:p>
        </w:tc>
        <w:tc>
          <w:tcPr>
            <w:tcW w:w="302"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65D93DBC" w14:textId="77777777" w:rsidR="00327301" w:rsidRPr="00DB2D18" w:rsidRDefault="00327301" w:rsidP="00FE68E8">
            <w:pPr>
              <w:jc w:val="right"/>
              <w:rPr>
                <w:sz w:val="18"/>
                <w:lang w:eastAsia="en-GB"/>
              </w:rPr>
            </w:pPr>
            <w:r w:rsidRPr="00DB2D18">
              <w:rPr>
                <w:sz w:val="18"/>
                <w:lang w:eastAsia="en-GB"/>
              </w:rPr>
              <w:t>11%</w:t>
            </w:r>
          </w:p>
        </w:tc>
        <w:tc>
          <w:tcPr>
            <w:tcW w:w="285"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5A2235CE" w14:textId="77777777" w:rsidR="00327301" w:rsidRPr="00DB2D18" w:rsidRDefault="00327301" w:rsidP="00FE68E8">
            <w:pPr>
              <w:jc w:val="right"/>
              <w:rPr>
                <w:sz w:val="18"/>
                <w:lang w:eastAsia="en-GB"/>
              </w:rPr>
            </w:pPr>
            <w:r w:rsidRPr="00DB2D18">
              <w:rPr>
                <w:sz w:val="18"/>
                <w:lang w:eastAsia="en-GB"/>
              </w:rPr>
              <w:t>34%</w:t>
            </w:r>
          </w:p>
        </w:tc>
        <w:tc>
          <w:tcPr>
            <w:tcW w:w="284"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6D76F7E0" w14:textId="77777777" w:rsidR="00327301" w:rsidRPr="00DB2D18" w:rsidRDefault="00327301" w:rsidP="00FE68E8">
            <w:pPr>
              <w:jc w:val="right"/>
              <w:rPr>
                <w:sz w:val="18"/>
                <w:lang w:eastAsia="en-GB"/>
              </w:rPr>
            </w:pPr>
            <w:r w:rsidRPr="00DB2D18">
              <w:rPr>
                <w:sz w:val="18"/>
                <w:lang w:eastAsia="en-GB"/>
              </w:rPr>
              <w:t>52%</w:t>
            </w:r>
          </w:p>
        </w:tc>
        <w:tc>
          <w:tcPr>
            <w:tcW w:w="284"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081036A1"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710C617A" w14:textId="77777777" w:rsidR="00327301" w:rsidRPr="00DB2D18" w:rsidRDefault="00327301" w:rsidP="00FE68E8">
            <w:pPr>
              <w:jc w:val="right"/>
              <w:rPr>
                <w:sz w:val="18"/>
                <w:lang w:eastAsia="en-GB"/>
              </w:rPr>
            </w:pPr>
            <w:r w:rsidRPr="00DB2D18">
              <w:rPr>
                <w:sz w:val="18"/>
                <w:lang w:eastAsia="en-GB"/>
              </w:rPr>
              <w:t>37%</w:t>
            </w:r>
          </w:p>
        </w:tc>
        <w:tc>
          <w:tcPr>
            <w:tcW w:w="285"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03047EDC" w14:textId="77777777" w:rsidR="00327301" w:rsidRPr="00DB2D18" w:rsidRDefault="00327301" w:rsidP="00FE68E8">
            <w:pPr>
              <w:jc w:val="right"/>
              <w:rPr>
                <w:sz w:val="18"/>
                <w:lang w:eastAsia="en-GB"/>
              </w:rPr>
            </w:pPr>
            <w:r w:rsidRPr="00DB2D18">
              <w:rPr>
                <w:sz w:val="18"/>
                <w:lang w:eastAsia="en-GB"/>
              </w:rPr>
              <w:t>53%</w:t>
            </w:r>
          </w:p>
        </w:tc>
        <w:tc>
          <w:tcPr>
            <w:tcW w:w="284"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5E836303"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717A408F" w14:textId="77777777" w:rsidR="00327301" w:rsidRPr="00DB2D18" w:rsidRDefault="00327301" w:rsidP="00FE68E8">
            <w:pPr>
              <w:jc w:val="right"/>
              <w:rPr>
                <w:sz w:val="18"/>
                <w:lang w:eastAsia="en-GB"/>
              </w:rPr>
            </w:pPr>
            <w:r w:rsidRPr="00DB2D18">
              <w:rPr>
                <w:sz w:val="18"/>
                <w:lang w:eastAsia="en-GB"/>
              </w:rPr>
              <w:t>35%</w:t>
            </w:r>
          </w:p>
        </w:tc>
        <w:tc>
          <w:tcPr>
            <w:tcW w:w="283"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7A0B8FF4" w14:textId="77777777" w:rsidR="00327301" w:rsidRPr="00DB2D18" w:rsidRDefault="00327301" w:rsidP="00FE68E8">
            <w:pPr>
              <w:jc w:val="right"/>
              <w:rPr>
                <w:sz w:val="18"/>
                <w:lang w:eastAsia="en-GB"/>
              </w:rPr>
            </w:pPr>
            <w:r w:rsidRPr="00DB2D18">
              <w:rPr>
                <w:sz w:val="18"/>
                <w:lang w:eastAsia="en-GB"/>
              </w:rPr>
              <w:t>59%</w:t>
            </w:r>
          </w:p>
        </w:tc>
        <w:tc>
          <w:tcPr>
            <w:tcW w:w="283"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289E73F6" w14:textId="77777777" w:rsidR="00327301" w:rsidRPr="00DB2D18" w:rsidRDefault="00327301" w:rsidP="00FE68E8">
            <w:pPr>
              <w:jc w:val="right"/>
              <w:rPr>
                <w:sz w:val="18"/>
                <w:lang w:eastAsia="en-GB"/>
              </w:rPr>
            </w:pPr>
            <w:r w:rsidRPr="00DB2D18">
              <w:rPr>
                <w:sz w:val="18"/>
                <w:lang w:eastAsia="en-GB"/>
              </w:rPr>
              <w:t>12%</w:t>
            </w:r>
          </w:p>
        </w:tc>
        <w:tc>
          <w:tcPr>
            <w:tcW w:w="287"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61D362A2" w14:textId="77777777" w:rsidR="00327301" w:rsidRPr="00DB2D18" w:rsidRDefault="00327301" w:rsidP="00FE68E8">
            <w:pPr>
              <w:jc w:val="right"/>
              <w:rPr>
                <w:sz w:val="18"/>
                <w:lang w:eastAsia="en-GB"/>
              </w:rPr>
            </w:pPr>
            <w:r w:rsidRPr="00DB2D18">
              <w:rPr>
                <w:sz w:val="18"/>
                <w:lang w:eastAsia="en-GB"/>
              </w:rPr>
              <w:t>29%</w:t>
            </w:r>
          </w:p>
        </w:tc>
        <w:tc>
          <w:tcPr>
            <w:tcW w:w="283"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057BB886" w14:textId="77777777" w:rsidR="00327301" w:rsidRPr="00DB2D18" w:rsidRDefault="00327301" w:rsidP="00FE68E8">
            <w:pPr>
              <w:jc w:val="right"/>
              <w:rPr>
                <w:sz w:val="18"/>
                <w:lang w:eastAsia="en-GB"/>
              </w:rPr>
            </w:pPr>
            <w:r w:rsidRPr="00DB2D18">
              <w:rPr>
                <w:sz w:val="18"/>
                <w:lang w:eastAsia="en-GB"/>
              </w:rPr>
              <w:t>65%</w:t>
            </w:r>
          </w:p>
        </w:tc>
        <w:tc>
          <w:tcPr>
            <w:tcW w:w="282"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76628DB8" w14:textId="77777777" w:rsidR="00327301" w:rsidRPr="00DB2D18" w:rsidRDefault="00327301" w:rsidP="00FE68E8">
            <w:pPr>
              <w:jc w:val="right"/>
              <w:rPr>
                <w:sz w:val="18"/>
                <w:lang w:eastAsia="en-GB"/>
              </w:rPr>
            </w:pPr>
            <w:r w:rsidRPr="00DB2D18">
              <w:rPr>
                <w:sz w:val="18"/>
                <w:lang w:eastAsia="en-GB"/>
              </w:rPr>
              <w:t>11%</w:t>
            </w:r>
          </w:p>
        </w:tc>
        <w:tc>
          <w:tcPr>
            <w:tcW w:w="346" w:type="pct"/>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3DE3D005" w14:textId="77777777" w:rsidR="00327301" w:rsidRPr="00DB2D18" w:rsidRDefault="00327301" w:rsidP="00FE68E8">
            <w:pPr>
              <w:jc w:val="right"/>
              <w:rPr>
                <w:sz w:val="18"/>
                <w:lang w:eastAsia="en-GB"/>
              </w:rPr>
            </w:pPr>
            <w:r w:rsidRPr="00DB2D18">
              <w:rPr>
                <w:sz w:val="18"/>
                <w:lang w:eastAsia="en-GB"/>
              </w:rPr>
              <w:t>25%</w:t>
            </w:r>
          </w:p>
        </w:tc>
      </w:tr>
    </w:tbl>
    <w:p w14:paraId="5337435B" w14:textId="77777777" w:rsidR="002E286F" w:rsidRDefault="002E286F" w:rsidP="002E286F">
      <w:r>
        <w:t xml:space="preserve">* Percentages have been rounded </w:t>
      </w:r>
    </w:p>
    <w:p w14:paraId="4AB6ACAE" w14:textId="77777777" w:rsidR="00327301" w:rsidRPr="00A52AEE" w:rsidRDefault="00327301" w:rsidP="00A52AEE">
      <w:pPr>
        <w:rPr>
          <w:lang w:eastAsia="en-GB"/>
        </w:rPr>
      </w:pPr>
    </w:p>
    <w:p w14:paraId="36FCBECE" w14:textId="1F9073F1" w:rsidR="00C1568B" w:rsidRPr="00A52AEE" w:rsidRDefault="003C0656" w:rsidP="008D527A">
      <w:pPr>
        <w:pStyle w:val="Heading2"/>
      </w:pPr>
      <w:bookmarkStart w:id="84" w:name="_Toc429151314"/>
      <w:r>
        <w:t>4.10</w:t>
      </w:r>
      <w:r w:rsidR="00752E93" w:rsidRPr="00A52AEE">
        <w:tab/>
      </w:r>
      <w:r w:rsidR="00167733" w:rsidRPr="00A52AEE">
        <w:t>London b</w:t>
      </w:r>
      <w:r w:rsidR="00C1568B" w:rsidRPr="00A52AEE">
        <w:t xml:space="preserve">orough and </w:t>
      </w:r>
      <w:r w:rsidR="0021637B" w:rsidRPr="00A52AEE">
        <w:t>Level</w:t>
      </w:r>
      <w:r w:rsidR="00C1568B" w:rsidRPr="00A52AEE">
        <w:t xml:space="preserve"> 3 qualification breakdown</w:t>
      </w:r>
      <w:bookmarkEnd w:id="84"/>
    </w:p>
    <w:p w14:paraId="3CFB8A7B" w14:textId="6937BD49" w:rsidR="00C1568B" w:rsidRPr="00A52AEE" w:rsidRDefault="00C1568B" w:rsidP="00A52AEE">
      <w:pPr>
        <w:rPr>
          <w:lang w:eastAsia="en-GB"/>
        </w:rPr>
      </w:pPr>
      <w:r w:rsidRPr="00A52AEE">
        <w:rPr>
          <w:lang w:eastAsia="en-GB"/>
        </w:rPr>
        <w:t xml:space="preserve">At borough level, there are differences in the qualifications being studied at </w:t>
      </w:r>
      <w:r w:rsidR="0021637B" w:rsidRPr="00A52AEE">
        <w:rPr>
          <w:lang w:eastAsia="en-GB"/>
        </w:rPr>
        <w:t>Level</w:t>
      </w:r>
      <w:r w:rsidRPr="00A52AEE">
        <w:rPr>
          <w:lang w:eastAsia="en-GB"/>
        </w:rPr>
        <w:t xml:space="preserve"> 3 for the </w:t>
      </w:r>
      <w:r w:rsidR="0076166E" w:rsidRPr="00A52AEE">
        <w:rPr>
          <w:lang w:eastAsia="en-GB"/>
        </w:rPr>
        <w:t>London</w:t>
      </w:r>
      <w:r w:rsidRPr="00A52AEE">
        <w:rPr>
          <w:lang w:eastAsia="en-GB"/>
        </w:rPr>
        <w:t xml:space="preserve"> college cohort and this probably reflects the age profile of </w:t>
      </w:r>
      <w:r w:rsidR="00842186" w:rsidRPr="00A52AEE">
        <w:rPr>
          <w:lang w:eastAsia="en-GB"/>
        </w:rPr>
        <w:t>student</w:t>
      </w:r>
      <w:r w:rsidRPr="00A52AEE">
        <w:rPr>
          <w:lang w:eastAsia="en-GB"/>
        </w:rPr>
        <w:t>s in the borough.</w:t>
      </w:r>
      <w:r w:rsidR="00A54AE3">
        <w:rPr>
          <w:lang w:eastAsia="en-GB"/>
        </w:rPr>
        <w:t xml:space="preserve">  For example, we saw in Table 9</w:t>
      </w:r>
      <w:r w:rsidRPr="00A52AEE">
        <w:rPr>
          <w:lang w:eastAsia="en-GB"/>
        </w:rPr>
        <w:t xml:space="preserve"> that Sutton had a higher proportion of mature </w:t>
      </w:r>
      <w:r w:rsidR="00842186" w:rsidRPr="00A52AEE">
        <w:rPr>
          <w:lang w:eastAsia="en-GB"/>
        </w:rPr>
        <w:t>student</w:t>
      </w:r>
      <w:r w:rsidRPr="00A52AEE">
        <w:rPr>
          <w:lang w:eastAsia="en-GB"/>
        </w:rPr>
        <w:t xml:space="preserve">s and so it is not surprising to see that they have a higher proportion of students studying Other </w:t>
      </w:r>
      <w:r w:rsidR="002E286F">
        <w:rPr>
          <w:lang w:eastAsia="en-GB"/>
        </w:rPr>
        <w:t>Vocational programmes in Table 10</w:t>
      </w:r>
      <w:r w:rsidRPr="00A52AEE">
        <w:rPr>
          <w:lang w:eastAsia="en-GB"/>
        </w:rPr>
        <w:t xml:space="preserve">. </w:t>
      </w:r>
    </w:p>
    <w:p w14:paraId="6FA5237F" w14:textId="77777777" w:rsidR="00C1568B" w:rsidRPr="00A52AEE" w:rsidRDefault="00C1568B" w:rsidP="00A52AEE">
      <w:pPr>
        <w:rPr>
          <w:lang w:eastAsia="en-GB"/>
        </w:rPr>
      </w:pPr>
    </w:p>
    <w:p w14:paraId="1E625F98" w14:textId="21F83545" w:rsidR="00C1568B" w:rsidRPr="00855E4A" w:rsidRDefault="004D2866" w:rsidP="00A52AEE">
      <w:pPr>
        <w:rPr>
          <w:b/>
        </w:rPr>
      </w:pPr>
      <w:r>
        <w:rPr>
          <w:b/>
        </w:rPr>
        <w:t>Table 10</w:t>
      </w:r>
      <w:r w:rsidR="00C1568B" w:rsidRPr="00855E4A">
        <w:rPr>
          <w:b/>
        </w:rPr>
        <w:t xml:space="preserve">: Cohort breakdown by </w:t>
      </w:r>
      <w:r w:rsidR="00F702BE" w:rsidRPr="00855E4A">
        <w:rPr>
          <w:b/>
        </w:rPr>
        <w:t>age and London b</w:t>
      </w:r>
      <w:r w:rsidR="00C1568B" w:rsidRPr="00855E4A">
        <w:rPr>
          <w:b/>
        </w:rPr>
        <w:t>orough (combined cohort</w:t>
      </w:r>
      <w:r w:rsidR="00F702BE" w:rsidRPr="00855E4A">
        <w:rPr>
          <w:b/>
        </w:rPr>
        <w:t>s</w:t>
      </w:r>
      <w:r w:rsidR="00C1568B" w:rsidRPr="00855E4A">
        <w:rPr>
          <w:b/>
        </w:rPr>
        <w:t>)</w:t>
      </w:r>
    </w:p>
    <w:p w14:paraId="04968273" w14:textId="77777777" w:rsidR="00C1568B" w:rsidRPr="00A52AEE" w:rsidRDefault="00C1568B" w:rsidP="00A52AEE">
      <w:pPr>
        <w:rPr>
          <w:lang w:eastAsia="en-GB"/>
        </w:rPr>
      </w:pPr>
    </w:p>
    <w:tbl>
      <w:tblPr>
        <w:tblW w:w="4396" w:type="pct"/>
        <w:tblLayout w:type="fixed"/>
        <w:tblLook w:val="04A0" w:firstRow="1" w:lastRow="0" w:firstColumn="1" w:lastColumn="0" w:noHBand="0" w:noVBand="1"/>
      </w:tblPr>
      <w:tblGrid>
        <w:gridCol w:w="2803"/>
        <w:gridCol w:w="1045"/>
        <w:gridCol w:w="969"/>
        <w:gridCol w:w="1247"/>
        <w:gridCol w:w="828"/>
        <w:gridCol w:w="1523"/>
      </w:tblGrid>
      <w:tr w:rsidR="00752E93" w:rsidRPr="00855E4A" w14:paraId="6FF238F5" w14:textId="77777777" w:rsidTr="002E286F">
        <w:trPr>
          <w:trHeight w:val="813"/>
          <w:tblHeader/>
        </w:trPr>
        <w:tc>
          <w:tcPr>
            <w:tcW w:w="1665"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7C655597" w14:textId="77777777" w:rsidR="00C1568B" w:rsidRPr="00855E4A" w:rsidRDefault="00C1568B" w:rsidP="00A52AEE">
            <w:pPr>
              <w:rPr>
                <w:b/>
                <w:color w:val="FFFFFF" w:themeColor="background1"/>
                <w:lang w:eastAsia="en-GB"/>
              </w:rPr>
            </w:pPr>
            <w:r w:rsidRPr="00855E4A">
              <w:rPr>
                <w:b/>
                <w:color w:val="FFFFFF" w:themeColor="background1"/>
                <w:lang w:eastAsia="en-GB"/>
              </w:rPr>
              <w:t>Borough</w:t>
            </w:r>
          </w:p>
        </w:tc>
        <w:tc>
          <w:tcPr>
            <w:tcW w:w="621"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6916E47" w14:textId="77777777" w:rsidR="00C1568B" w:rsidRPr="00855E4A" w:rsidRDefault="00C1568B" w:rsidP="00A52AEE">
            <w:pPr>
              <w:rPr>
                <w:b/>
                <w:color w:val="FFFFFF" w:themeColor="background1"/>
                <w:lang w:eastAsia="en-GB"/>
              </w:rPr>
            </w:pPr>
            <w:r w:rsidRPr="00855E4A">
              <w:rPr>
                <w:b/>
                <w:color w:val="FFFFFF" w:themeColor="background1"/>
                <w:lang w:eastAsia="en-GB"/>
              </w:rPr>
              <w:t>Access</w:t>
            </w:r>
          </w:p>
        </w:tc>
        <w:tc>
          <w:tcPr>
            <w:tcW w:w="57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4406D57" w14:textId="77777777" w:rsidR="00C1568B" w:rsidRPr="00855E4A" w:rsidRDefault="00C1568B" w:rsidP="00A52AEE">
            <w:pPr>
              <w:rPr>
                <w:b/>
                <w:color w:val="FFFFFF" w:themeColor="background1"/>
                <w:lang w:eastAsia="en-GB"/>
              </w:rPr>
            </w:pPr>
            <w:r w:rsidRPr="00855E4A">
              <w:rPr>
                <w:b/>
                <w:color w:val="FFFFFF" w:themeColor="background1"/>
                <w:lang w:eastAsia="en-GB"/>
              </w:rPr>
              <w:t>BTEC</w:t>
            </w:r>
          </w:p>
        </w:tc>
        <w:tc>
          <w:tcPr>
            <w:tcW w:w="741"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D106EE8" w14:textId="368258BC" w:rsidR="00752E93" w:rsidRPr="00855E4A" w:rsidRDefault="00C1568B" w:rsidP="00A52AEE">
            <w:pPr>
              <w:rPr>
                <w:b/>
                <w:color w:val="FFFFFF" w:themeColor="background1"/>
                <w:lang w:eastAsia="en-GB"/>
              </w:rPr>
            </w:pPr>
            <w:r w:rsidRPr="00855E4A">
              <w:rPr>
                <w:b/>
                <w:color w:val="FFFFFF" w:themeColor="background1"/>
                <w:lang w:eastAsia="en-GB"/>
              </w:rPr>
              <w:t xml:space="preserve">A </w:t>
            </w:r>
            <w:r w:rsidR="0021637B" w:rsidRPr="00855E4A">
              <w:rPr>
                <w:b/>
                <w:color w:val="FFFFFF" w:themeColor="background1"/>
                <w:lang w:eastAsia="en-GB"/>
              </w:rPr>
              <w:t>Level</w:t>
            </w:r>
            <w:r w:rsidRPr="00855E4A">
              <w:rPr>
                <w:b/>
                <w:color w:val="FFFFFF" w:themeColor="background1"/>
                <w:lang w:eastAsia="en-GB"/>
              </w:rPr>
              <w:t>/</w:t>
            </w:r>
          </w:p>
          <w:p w14:paraId="56AF6A63" w14:textId="1A7B6AD6" w:rsidR="00C1568B" w:rsidRPr="00855E4A" w:rsidRDefault="00C1568B" w:rsidP="00A52AEE">
            <w:pPr>
              <w:rPr>
                <w:b/>
                <w:color w:val="FFFFFF" w:themeColor="background1"/>
                <w:lang w:eastAsia="en-GB"/>
              </w:rPr>
            </w:pPr>
            <w:r w:rsidRPr="00855E4A">
              <w:rPr>
                <w:b/>
                <w:color w:val="FFFFFF" w:themeColor="background1"/>
                <w:lang w:eastAsia="en-GB"/>
              </w:rPr>
              <w:t>AS/IB</w:t>
            </w:r>
          </w:p>
        </w:tc>
        <w:tc>
          <w:tcPr>
            <w:tcW w:w="49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2913241" w14:textId="77777777" w:rsidR="00C1568B" w:rsidRPr="00855E4A" w:rsidRDefault="00C1568B" w:rsidP="00A52AEE">
            <w:pPr>
              <w:rPr>
                <w:b/>
                <w:color w:val="FFFFFF" w:themeColor="background1"/>
                <w:lang w:eastAsia="en-GB"/>
              </w:rPr>
            </w:pPr>
            <w:r w:rsidRPr="00855E4A">
              <w:rPr>
                <w:b/>
                <w:color w:val="FFFFFF" w:themeColor="background1"/>
                <w:lang w:eastAsia="en-GB"/>
              </w:rPr>
              <w:t>NVQ</w:t>
            </w:r>
          </w:p>
        </w:tc>
        <w:tc>
          <w:tcPr>
            <w:tcW w:w="905"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741BCBC" w14:textId="77777777" w:rsidR="00C1568B" w:rsidRPr="00855E4A" w:rsidRDefault="00C1568B" w:rsidP="00A52AEE">
            <w:pPr>
              <w:rPr>
                <w:b/>
                <w:color w:val="FFFFFF" w:themeColor="background1"/>
                <w:lang w:eastAsia="en-GB"/>
              </w:rPr>
            </w:pPr>
            <w:r w:rsidRPr="00855E4A">
              <w:rPr>
                <w:b/>
                <w:color w:val="FFFFFF" w:themeColor="background1"/>
                <w:lang w:eastAsia="en-GB"/>
              </w:rPr>
              <w:t>Other Vocational</w:t>
            </w:r>
          </w:p>
        </w:tc>
      </w:tr>
      <w:tr w:rsidR="00C1568B" w:rsidRPr="00A52AEE" w14:paraId="08E346EE"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A8005D7" w14:textId="77777777" w:rsidR="00C1568B" w:rsidRPr="00A52AEE" w:rsidRDefault="00C1568B" w:rsidP="00A52AEE">
            <w:pPr>
              <w:rPr>
                <w:lang w:eastAsia="en-GB"/>
              </w:rPr>
            </w:pPr>
            <w:r w:rsidRPr="00A52AEE">
              <w:rPr>
                <w:lang w:eastAsia="en-GB"/>
              </w:rPr>
              <w:t>Barking and Dagenham</w:t>
            </w:r>
          </w:p>
        </w:tc>
        <w:tc>
          <w:tcPr>
            <w:tcW w:w="621" w:type="pct"/>
            <w:tcBorders>
              <w:top w:val="nil"/>
              <w:left w:val="nil"/>
              <w:bottom w:val="single" w:sz="4" w:space="0" w:color="auto"/>
              <w:right w:val="single" w:sz="4" w:space="0" w:color="auto"/>
            </w:tcBorders>
            <w:shd w:val="clear" w:color="auto" w:fill="auto"/>
            <w:noWrap/>
            <w:vAlign w:val="bottom"/>
            <w:hideMark/>
          </w:tcPr>
          <w:p w14:paraId="5C6CE63D" w14:textId="77777777" w:rsidR="00C1568B" w:rsidRPr="00A52AEE" w:rsidRDefault="00C1568B" w:rsidP="00FE68E8">
            <w:pPr>
              <w:jc w:val="right"/>
              <w:rPr>
                <w:lang w:eastAsia="en-GB"/>
              </w:rPr>
            </w:pPr>
            <w:r w:rsidRPr="00A52AEE">
              <w:rPr>
                <w:lang w:eastAsia="en-GB"/>
              </w:rPr>
              <w:t>14%</w:t>
            </w:r>
          </w:p>
        </w:tc>
        <w:tc>
          <w:tcPr>
            <w:tcW w:w="576" w:type="pct"/>
            <w:tcBorders>
              <w:top w:val="nil"/>
              <w:left w:val="nil"/>
              <w:bottom w:val="single" w:sz="4" w:space="0" w:color="auto"/>
              <w:right w:val="single" w:sz="4" w:space="0" w:color="auto"/>
            </w:tcBorders>
            <w:shd w:val="clear" w:color="auto" w:fill="auto"/>
            <w:noWrap/>
            <w:vAlign w:val="bottom"/>
            <w:hideMark/>
          </w:tcPr>
          <w:p w14:paraId="58C9A9E5" w14:textId="77777777" w:rsidR="00C1568B" w:rsidRPr="00A52AEE" w:rsidRDefault="00C1568B" w:rsidP="00FE68E8">
            <w:pPr>
              <w:jc w:val="right"/>
              <w:rPr>
                <w:lang w:eastAsia="en-GB"/>
              </w:rPr>
            </w:pPr>
            <w:r w:rsidRPr="00A52AEE">
              <w:rPr>
                <w:lang w:eastAsia="en-GB"/>
              </w:rPr>
              <w:t>34%</w:t>
            </w:r>
          </w:p>
        </w:tc>
        <w:tc>
          <w:tcPr>
            <w:tcW w:w="741" w:type="pct"/>
            <w:tcBorders>
              <w:top w:val="nil"/>
              <w:left w:val="nil"/>
              <w:bottom w:val="single" w:sz="4" w:space="0" w:color="auto"/>
              <w:right w:val="single" w:sz="4" w:space="0" w:color="auto"/>
            </w:tcBorders>
            <w:shd w:val="clear" w:color="auto" w:fill="auto"/>
            <w:noWrap/>
            <w:vAlign w:val="bottom"/>
            <w:hideMark/>
          </w:tcPr>
          <w:p w14:paraId="4B879A12" w14:textId="77777777" w:rsidR="00C1568B" w:rsidRPr="00A52AEE" w:rsidRDefault="00C1568B" w:rsidP="00FE68E8">
            <w:pPr>
              <w:jc w:val="right"/>
              <w:rPr>
                <w:lang w:eastAsia="en-GB"/>
              </w:rPr>
            </w:pPr>
            <w:r w:rsidRPr="00A52AEE">
              <w:rPr>
                <w:lang w:eastAsia="en-GB"/>
              </w:rPr>
              <w:t>15%</w:t>
            </w:r>
          </w:p>
        </w:tc>
        <w:tc>
          <w:tcPr>
            <w:tcW w:w="492" w:type="pct"/>
            <w:tcBorders>
              <w:top w:val="nil"/>
              <w:left w:val="nil"/>
              <w:bottom w:val="single" w:sz="4" w:space="0" w:color="auto"/>
              <w:right w:val="single" w:sz="4" w:space="0" w:color="auto"/>
            </w:tcBorders>
            <w:shd w:val="clear" w:color="auto" w:fill="auto"/>
            <w:noWrap/>
            <w:vAlign w:val="bottom"/>
            <w:hideMark/>
          </w:tcPr>
          <w:p w14:paraId="2C2E8340" w14:textId="77777777" w:rsidR="00C1568B" w:rsidRPr="00A52AEE" w:rsidRDefault="00C1568B" w:rsidP="00FE68E8">
            <w:pPr>
              <w:jc w:val="right"/>
              <w:rPr>
                <w:lang w:eastAsia="en-GB"/>
              </w:rPr>
            </w:pPr>
            <w:r w:rsidRPr="00A52AEE">
              <w:rPr>
                <w:lang w:eastAsia="en-GB"/>
              </w:rPr>
              <w:t>17%</w:t>
            </w:r>
          </w:p>
        </w:tc>
        <w:tc>
          <w:tcPr>
            <w:tcW w:w="905" w:type="pct"/>
            <w:tcBorders>
              <w:top w:val="nil"/>
              <w:left w:val="nil"/>
              <w:bottom w:val="single" w:sz="4" w:space="0" w:color="auto"/>
              <w:right w:val="single" w:sz="4" w:space="0" w:color="auto"/>
            </w:tcBorders>
            <w:shd w:val="clear" w:color="auto" w:fill="auto"/>
            <w:noWrap/>
            <w:vAlign w:val="bottom"/>
            <w:hideMark/>
          </w:tcPr>
          <w:p w14:paraId="0F6DF882" w14:textId="77777777" w:rsidR="00C1568B" w:rsidRPr="00A52AEE" w:rsidRDefault="00C1568B" w:rsidP="00FE68E8">
            <w:pPr>
              <w:jc w:val="right"/>
              <w:rPr>
                <w:lang w:eastAsia="en-GB"/>
              </w:rPr>
            </w:pPr>
            <w:r w:rsidRPr="00A52AEE">
              <w:rPr>
                <w:lang w:eastAsia="en-GB"/>
              </w:rPr>
              <w:t>20%</w:t>
            </w:r>
          </w:p>
        </w:tc>
      </w:tr>
      <w:tr w:rsidR="00C1568B" w:rsidRPr="00A52AEE" w14:paraId="46986CD0"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224D8AD" w14:textId="77777777" w:rsidR="00C1568B" w:rsidRPr="00A52AEE" w:rsidRDefault="00C1568B" w:rsidP="00A52AEE">
            <w:pPr>
              <w:rPr>
                <w:lang w:eastAsia="en-GB"/>
              </w:rPr>
            </w:pPr>
            <w:r w:rsidRPr="00A52AEE">
              <w:rPr>
                <w:lang w:eastAsia="en-GB"/>
              </w:rPr>
              <w:t>Barnet</w:t>
            </w:r>
          </w:p>
        </w:tc>
        <w:tc>
          <w:tcPr>
            <w:tcW w:w="621" w:type="pct"/>
            <w:tcBorders>
              <w:top w:val="nil"/>
              <w:left w:val="nil"/>
              <w:bottom w:val="single" w:sz="4" w:space="0" w:color="auto"/>
              <w:right w:val="single" w:sz="4" w:space="0" w:color="auto"/>
            </w:tcBorders>
            <w:shd w:val="clear" w:color="auto" w:fill="auto"/>
            <w:noWrap/>
            <w:vAlign w:val="bottom"/>
            <w:hideMark/>
          </w:tcPr>
          <w:p w14:paraId="2A9931E0" w14:textId="77777777" w:rsidR="00C1568B" w:rsidRPr="00A52AEE" w:rsidRDefault="00C1568B" w:rsidP="00FE68E8">
            <w:pPr>
              <w:jc w:val="right"/>
              <w:rPr>
                <w:lang w:eastAsia="en-GB"/>
              </w:rPr>
            </w:pPr>
            <w:r w:rsidRPr="00A52AEE">
              <w:rPr>
                <w:lang w:eastAsia="en-GB"/>
              </w:rPr>
              <w:t>10%</w:t>
            </w:r>
          </w:p>
        </w:tc>
        <w:tc>
          <w:tcPr>
            <w:tcW w:w="576" w:type="pct"/>
            <w:tcBorders>
              <w:top w:val="nil"/>
              <w:left w:val="nil"/>
              <w:bottom w:val="single" w:sz="4" w:space="0" w:color="auto"/>
              <w:right w:val="single" w:sz="4" w:space="0" w:color="auto"/>
            </w:tcBorders>
            <w:shd w:val="clear" w:color="auto" w:fill="auto"/>
            <w:noWrap/>
            <w:vAlign w:val="bottom"/>
            <w:hideMark/>
          </w:tcPr>
          <w:p w14:paraId="521B2DB9" w14:textId="77777777" w:rsidR="00C1568B" w:rsidRPr="00A52AEE" w:rsidRDefault="00C1568B" w:rsidP="00FE68E8">
            <w:pPr>
              <w:jc w:val="right"/>
              <w:rPr>
                <w:lang w:eastAsia="en-GB"/>
              </w:rPr>
            </w:pPr>
            <w:r w:rsidRPr="00A52AEE">
              <w:rPr>
                <w:lang w:eastAsia="en-GB"/>
              </w:rPr>
              <w:t>25%</w:t>
            </w:r>
          </w:p>
        </w:tc>
        <w:tc>
          <w:tcPr>
            <w:tcW w:w="741" w:type="pct"/>
            <w:tcBorders>
              <w:top w:val="nil"/>
              <w:left w:val="nil"/>
              <w:bottom w:val="single" w:sz="4" w:space="0" w:color="auto"/>
              <w:right w:val="single" w:sz="4" w:space="0" w:color="auto"/>
            </w:tcBorders>
            <w:shd w:val="clear" w:color="auto" w:fill="auto"/>
            <w:noWrap/>
            <w:vAlign w:val="bottom"/>
            <w:hideMark/>
          </w:tcPr>
          <w:p w14:paraId="77B5F9C1" w14:textId="77777777" w:rsidR="00C1568B" w:rsidRPr="00A52AEE" w:rsidRDefault="00C1568B" w:rsidP="00FE68E8">
            <w:pPr>
              <w:jc w:val="right"/>
              <w:rPr>
                <w:lang w:eastAsia="en-GB"/>
              </w:rPr>
            </w:pPr>
            <w:r w:rsidRPr="00A52AEE">
              <w:rPr>
                <w:lang w:eastAsia="en-GB"/>
              </w:rPr>
              <w:t>29%</w:t>
            </w:r>
          </w:p>
        </w:tc>
        <w:tc>
          <w:tcPr>
            <w:tcW w:w="492" w:type="pct"/>
            <w:tcBorders>
              <w:top w:val="nil"/>
              <w:left w:val="nil"/>
              <w:bottom w:val="single" w:sz="4" w:space="0" w:color="auto"/>
              <w:right w:val="single" w:sz="4" w:space="0" w:color="auto"/>
            </w:tcBorders>
            <w:shd w:val="clear" w:color="auto" w:fill="auto"/>
            <w:noWrap/>
            <w:vAlign w:val="bottom"/>
            <w:hideMark/>
          </w:tcPr>
          <w:p w14:paraId="1B3B625E" w14:textId="77777777" w:rsidR="00C1568B" w:rsidRPr="00A52AEE" w:rsidRDefault="00C1568B" w:rsidP="00FE68E8">
            <w:pPr>
              <w:jc w:val="right"/>
              <w:rPr>
                <w:lang w:eastAsia="en-GB"/>
              </w:rPr>
            </w:pPr>
            <w:r w:rsidRPr="00A52AEE">
              <w:rPr>
                <w:lang w:eastAsia="en-GB"/>
              </w:rPr>
              <w:t>16%</w:t>
            </w:r>
          </w:p>
        </w:tc>
        <w:tc>
          <w:tcPr>
            <w:tcW w:w="905" w:type="pct"/>
            <w:tcBorders>
              <w:top w:val="nil"/>
              <w:left w:val="nil"/>
              <w:bottom w:val="single" w:sz="4" w:space="0" w:color="auto"/>
              <w:right w:val="single" w:sz="4" w:space="0" w:color="auto"/>
            </w:tcBorders>
            <w:shd w:val="clear" w:color="auto" w:fill="auto"/>
            <w:noWrap/>
            <w:vAlign w:val="bottom"/>
            <w:hideMark/>
          </w:tcPr>
          <w:p w14:paraId="5039705C" w14:textId="77777777" w:rsidR="00C1568B" w:rsidRPr="00A52AEE" w:rsidRDefault="00C1568B" w:rsidP="00FE68E8">
            <w:pPr>
              <w:jc w:val="right"/>
              <w:rPr>
                <w:lang w:eastAsia="en-GB"/>
              </w:rPr>
            </w:pPr>
            <w:r w:rsidRPr="00A52AEE">
              <w:rPr>
                <w:lang w:eastAsia="en-GB"/>
              </w:rPr>
              <w:t>20%</w:t>
            </w:r>
          </w:p>
        </w:tc>
      </w:tr>
      <w:tr w:rsidR="00C1568B" w:rsidRPr="00A52AEE" w14:paraId="7E8205AD"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09336E9" w14:textId="77777777" w:rsidR="00C1568B" w:rsidRPr="00A52AEE" w:rsidRDefault="00C1568B" w:rsidP="00A52AEE">
            <w:pPr>
              <w:rPr>
                <w:lang w:eastAsia="en-GB"/>
              </w:rPr>
            </w:pPr>
            <w:r w:rsidRPr="00A52AEE">
              <w:rPr>
                <w:lang w:eastAsia="en-GB"/>
              </w:rPr>
              <w:t>Bexley</w:t>
            </w:r>
          </w:p>
        </w:tc>
        <w:tc>
          <w:tcPr>
            <w:tcW w:w="621" w:type="pct"/>
            <w:tcBorders>
              <w:top w:val="nil"/>
              <w:left w:val="nil"/>
              <w:bottom w:val="single" w:sz="4" w:space="0" w:color="auto"/>
              <w:right w:val="single" w:sz="4" w:space="0" w:color="auto"/>
            </w:tcBorders>
            <w:shd w:val="clear" w:color="auto" w:fill="auto"/>
            <w:noWrap/>
            <w:vAlign w:val="bottom"/>
            <w:hideMark/>
          </w:tcPr>
          <w:p w14:paraId="0AAE7033"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6113090D" w14:textId="77777777" w:rsidR="00C1568B" w:rsidRPr="00A52AEE" w:rsidRDefault="00C1568B" w:rsidP="00FE68E8">
            <w:pPr>
              <w:jc w:val="right"/>
              <w:rPr>
                <w:lang w:eastAsia="en-GB"/>
              </w:rPr>
            </w:pPr>
            <w:r w:rsidRPr="00A52AEE">
              <w:rPr>
                <w:lang w:eastAsia="en-GB"/>
              </w:rPr>
              <w:t>18%</w:t>
            </w:r>
          </w:p>
        </w:tc>
        <w:tc>
          <w:tcPr>
            <w:tcW w:w="741" w:type="pct"/>
            <w:tcBorders>
              <w:top w:val="nil"/>
              <w:left w:val="nil"/>
              <w:bottom w:val="single" w:sz="4" w:space="0" w:color="auto"/>
              <w:right w:val="single" w:sz="4" w:space="0" w:color="auto"/>
            </w:tcBorders>
            <w:shd w:val="clear" w:color="auto" w:fill="auto"/>
            <w:noWrap/>
            <w:vAlign w:val="bottom"/>
            <w:hideMark/>
          </w:tcPr>
          <w:p w14:paraId="324F1E3A" w14:textId="77777777" w:rsidR="00C1568B" w:rsidRPr="00A52AEE" w:rsidRDefault="00C1568B" w:rsidP="00FE68E8">
            <w:pPr>
              <w:jc w:val="right"/>
              <w:rPr>
                <w:lang w:eastAsia="en-GB"/>
              </w:rPr>
            </w:pPr>
            <w:r w:rsidRPr="00A52AEE">
              <w:rPr>
                <w:lang w:eastAsia="en-GB"/>
              </w:rPr>
              <w:t>18%</w:t>
            </w:r>
          </w:p>
        </w:tc>
        <w:tc>
          <w:tcPr>
            <w:tcW w:w="492" w:type="pct"/>
            <w:tcBorders>
              <w:top w:val="nil"/>
              <w:left w:val="nil"/>
              <w:bottom w:val="single" w:sz="4" w:space="0" w:color="auto"/>
              <w:right w:val="single" w:sz="4" w:space="0" w:color="auto"/>
            </w:tcBorders>
            <w:shd w:val="clear" w:color="auto" w:fill="auto"/>
            <w:noWrap/>
            <w:vAlign w:val="bottom"/>
            <w:hideMark/>
          </w:tcPr>
          <w:p w14:paraId="20475D21" w14:textId="77777777" w:rsidR="00C1568B" w:rsidRPr="00A52AEE" w:rsidRDefault="00C1568B" w:rsidP="00FE68E8">
            <w:pPr>
              <w:jc w:val="right"/>
              <w:rPr>
                <w:lang w:eastAsia="en-GB"/>
              </w:rPr>
            </w:pPr>
            <w:r w:rsidRPr="00A52AEE">
              <w:rPr>
                <w:lang w:eastAsia="en-GB"/>
              </w:rPr>
              <w:t>22%</w:t>
            </w:r>
          </w:p>
        </w:tc>
        <w:tc>
          <w:tcPr>
            <w:tcW w:w="905" w:type="pct"/>
            <w:tcBorders>
              <w:top w:val="nil"/>
              <w:left w:val="nil"/>
              <w:bottom w:val="single" w:sz="4" w:space="0" w:color="auto"/>
              <w:right w:val="single" w:sz="4" w:space="0" w:color="auto"/>
            </w:tcBorders>
            <w:shd w:val="clear" w:color="auto" w:fill="auto"/>
            <w:noWrap/>
            <w:vAlign w:val="bottom"/>
            <w:hideMark/>
          </w:tcPr>
          <w:p w14:paraId="6CCC8E75" w14:textId="77777777" w:rsidR="00C1568B" w:rsidRPr="00A52AEE" w:rsidRDefault="00C1568B" w:rsidP="00FE68E8">
            <w:pPr>
              <w:jc w:val="right"/>
              <w:rPr>
                <w:lang w:eastAsia="en-GB"/>
              </w:rPr>
            </w:pPr>
            <w:r w:rsidRPr="00A52AEE">
              <w:rPr>
                <w:lang w:eastAsia="en-GB"/>
              </w:rPr>
              <w:t>30%</w:t>
            </w:r>
          </w:p>
        </w:tc>
      </w:tr>
      <w:tr w:rsidR="00C1568B" w:rsidRPr="00A52AEE" w14:paraId="0E9DF413"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D20C2B2" w14:textId="77777777" w:rsidR="00C1568B" w:rsidRPr="00A52AEE" w:rsidRDefault="00C1568B" w:rsidP="00A52AEE">
            <w:pPr>
              <w:rPr>
                <w:lang w:eastAsia="en-GB"/>
              </w:rPr>
            </w:pPr>
            <w:r w:rsidRPr="00A52AEE">
              <w:rPr>
                <w:lang w:eastAsia="en-GB"/>
              </w:rPr>
              <w:t>Brent</w:t>
            </w:r>
          </w:p>
        </w:tc>
        <w:tc>
          <w:tcPr>
            <w:tcW w:w="621" w:type="pct"/>
            <w:tcBorders>
              <w:top w:val="nil"/>
              <w:left w:val="nil"/>
              <w:bottom w:val="single" w:sz="4" w:space="0" w:color="auto"/>
              <w:right w:val="single" w:sz="4" w:space="0" w:color="auto"/>
            </w:tcBorders>
            <w:shd w:val="clear" w:color="auto" w:fill="auto"/>
            <w:noWrap/>
            <w:vAlign w:val="bottom"/>
            <w:hideMark/>
          </w:tcPr>
          <w:p w14:paraId="4CDA0273"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629CE32C" w14:textId="77777777" w:rsidR="00C1568B" w:rsidRPr="00A52AEE" w:rsidRDefault="00C1568B" w:rsidP="00FE68E8">
            <w:pPr>
              <w:jc w:val="right"/>
              <w:rPr>
                <w:lang w:eastAsia="en-GB"/>
              </w:rPr>
            </w:pPr>
            <w:r w:rsidRPr="00A52AEE">
              <w:rPr>
                <w:lang w:eastAsia="en-GB"/>
              </w:rPr>
              <w:t>29%</w:t>
            </w:r>
          </w:p>
        </w:tc>
        <w:tc>
          <w:tcPr>
            <w:tcW w:w="741" w:type="pct"/>
            <w:tcBorders>
              <w:top w:val="nil"/>
              <w:left w:val="nil"/>
              <w:bottom w:val="single" w:sz="4" w:space="0" w:color="auto"/>
              <w:right w:val="single" w:sz="4" w:space="0" w:color="auto"/>
            </w:tcBorders>
            <w:shd w:val="clear" w:color="auto" w:fill="auto"/>
            <w:noWrap/>
            <w:vAlign w:val="bottom"/>
            <w:hideMark/>
          </w:tcPr>
          <w:p w14:paraId="37C3F051" w14:textId="77777777" w:rsidR="00C1568B" w:rsidRPr="00A52AEE" w:rsidRDefault="00C1568B" w:rsidP="00FE68E8">
            <w:pPr>
              <w:jc w:val="right"/>
              <w:rPr>
                <w:lang w:eastAsia="en-GB"/>
              </w:rPr>
            </w:pPr>
            <w:r w:rsidRPr="00A52AEE">
              <w:rPr>
                <w:lang w:eastAsia="en-GB"/>
              </w:rPr>
              <w:t>26%</w:t>
            </w:r>
          </w:p>
        </w:tc>
        <w:tc>
          <w:tcPr>
            <w:tcW w:w="492" w:type="pct"/>
            <w:tcBorders>
              <w:top w:val="nil"/>
              <w:left w:val="nil"/>
              <w:bottom w:val="single" w:sz="4" w:space="0" w:color="auto"/>
              <w:right w:val="single" w:sz="4" w:space="0" w:color="auto"/>
            </w:tcBorders>
            <w:shd w:val="clear" w:color="auto" w:fill="auto"/>
            <w:noWrap/>
            <w:vAlign w:val="bottom"/>
            <w:hideMark/>
          </w:tcPr>
          <w:p w14:paraId="72E72B64" w14:textId="77777777" w:rsidR="00C1568B" w:rsidRPr="00A52AEE" w:rsidRDefault="00C1568B" w:rsidP="00FE68E8">
            <w:pPr>
              <w:jc w:val="right"/>
              <w:rPr>
                <w:lang w:eastAsia="en-GB"/>
              </w:rPr>
            </w:pPr>
            <w:r w:rsidRPr="00A52AEE">
              <w:rPr>
                <w:lang w:eastAsia="en-GB"/>
              </w:rPr>
              <w:t>14%</w:t>
            </w:r>
          </w:p>
        </w:tc>
        <w:tc>
          <w:tcPr>
            <w:tcW w:w="905" w:type="pct"/>
            <w:tcBorders>
              <w:top w:val="nil"/>
              <w:left w:val="nil"/>
              <w:bottom w:val="single" w:sz="4" w:space="0" w:color="auto"/>
              <w:right w:val="single" w:sz="4" w:space="0" w:color="auto"/>
            </w:tcBorders>
            <w:shd w:val="clear" w:color="auto" w:fill="auto"/>
            <w:noWrap/>
            <w:vAlign w:val="bottom"/>
            <w:hideMark/>
          </w:tcPr>
          <w:p w14:paraId="29787E9C" w14:textId="77777777" w:rsidR="00C1568B" w:rsidRPr="00A52AEE" w:rsidRDefault="00C1568B" w:rsidP="00FE68E8">
            <w:pPr>
              <w:jc w:val="right"/>
              <w:rPr>
                <w:lang w:eastAsia="en-GB"/>
              </w:rPr>
            </w:pPr>
            <w:r w:rsidRPr="00A52AEE">
              <w:rPr>
                <w:lang w:eastAsia="en-GB"/>
              </w:rPr>
              <w:t>20%</w:t>
            </w:r>
          </w:p>
        </w:tc>
      </w:tr>
      <w:tr w:rsidR="00C1568B" w:rsidRPr="00A52AEE" w14:paraId="4DADCDAD"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CA948BA" w14:textId="77777777" w:rsidR="00C1568B" w:rsidRPr="00A52AEE" w:rsidRDefault="00C1568B" w:rsidP="00A52AEE">
            <w:pPr>
              <w:rPr>
                <w:lang w:eastAsia="en-GB"/>
              </w:rPr>
            </w:pPr>
            <w:r w:rsidRPr="00A52AEE">
              <w:rPr>
                <w:lang w:eastAsia="en-GB"/>
              </w:rPr>
              <w:t>Bromley</w:t>
            </w:r>
          </w:p>
        </w:tc>
        <w:tc>
          <w:tcPr>
            <w:tcW w:w="621" w:type="pct"/>
            <w:tcBorders>
              <w:top w:val="nil"/>
              <w:left w:val="nil"/>
              <w:bottom w:val="single" w:sz="4" w:space="0" w:color="auto"/>
              <w:right w:val="single" w:sz="4" w:space="0" w:color="auto"/>
            </w:tcBorders>
            <w:shd w:val="clear" w:color="auto" w:fill="auto"/>
            <w:noWrap/>
            <w:vAlign w:val="bottom"/>
            <w:hideMark/>
          </w:tcPr>
          <w:p w14:paraId="655800E1"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7C26947F" w14:textId="77777777" w:rsidR="00C1568B" w:rsidRPr="00A52AEE" w:rsidRDefault="00C1568B" w:rsidP="00FE68E8">
            <w:pPr>
              <w:jc w:val="right"/>
              <w:rPr>
                <w:lang w:eastAsia="en-GB"/>
              </w:rPr>
            </w:pPr>
            <w:r w:rsidRPr="00A52AEE">
              <w:rPr>
                <w:lang w:eastAsia="en-GB"/>
              </w:rPr>
              <w:t>28%</w:t>
            </w:r>
          </w:p>
        </w:tc>
        <w:tc>
          <w:tcPr>
            <w:tcW w:w="741" w:type="pct"/>
            <w:tcBorders>
              <w:top w:val="nil"/>
              <w:left w:val="nil"/>
              <w:bottom w:val="single" w:sz="4" w:space="0" w:color="auto"/>
              <w:right w:val="single" w:sz="4" w:space="0" w:color="auto"/>
            </w:tcBorders>
            <w:shd w:val="clear" w:color="auto" w:fill="auto"/>
            <w:noWrap/>
            <w:vAlign w:val="bottom"/>
            <w:hideMark/>
          </w:tcPr>
          <w:p w14:paraId="6F1BC764" w14:textId="77777777" w:rsidR="00C1568B" w:rsidRPr="00A52AEE" w:rsidRDefault="00C1568B" w:rsidP="00FE68E8">
            <w:pPr>
              <w:jc w:val="right"/>
              <w:rPr>
                <w:lang w:eastAsia="en-GB"/>
              </w:rPr>
            </w:pPr>
            <w:r w:rsidRPr="00A52AEE">
              <w:rPr>
                <w:lang w:eastAsia="en-GB"/>
              </w:rPr>
              <w:t>7%</w:t>
            </w:r>
          </w:p>
        </w:tc>
        <w:tc>
          <w:tcPr>
            <w:tcW w:w="492" w:type="pct"/>
            <w:tcBorders>
              <w:top w:val="nil"/>
              <w:left w:val="nil"/>
              <w:bottom w:val="single" w:sz="4" w:space="0" w:color="auto"/>
              <w:right w:val="single" w:sz="4" w:space="0" w:color="auto"/>
            </w:tcBorders>
            <w:shd w:val="clear" w:color="auto" w:fill="auto"/>
            <w:noWrap/>
            <w:vAlign w:val="bottom"/>
            <w:hideMark/>
          </w:tcPr>
          <w:p w14:paraId="17BD3FE4" w14:textId="77777777" w:rsidR="00C1568B" w:rsidRPr="00A52AEE" w:rsidRDefault="00C1568B" w:rsidP="00FE68E8">
            <w:pPr>
              <w:jc w:val="right"/>
              <w:rPr>
                <w:lang w:eastAsia="en-GB"/>
              </w:rPr>
            </w:pPr>
            <w:r w:rsidRPr="00A52AEE">
              <w:rPr>
                <w:lang w:eastAsia="en-GB"/>
              </w:rPr>
              <w:t>16%</w:t>
            </w:r>
          </w:p>
        </w:tc>
        <w:tc>
          <w:tcPr>
            <w:tcW w:w="905" w:type="pct"/>
            <w:tcBorders>
              <w:top w:val="nil"/>
              <w:left w:val="nil"/>
              <w:bottom w:val="single" w:sz="4" w:space="0" w:color="auto"/>
              <w:right w:val="single" w:sz="4" w:space="0" w:color="auto"/>
            </w:tcBorders>
            <w:shd w:val="clear" w:color="auto" w:fill="auto"/>
            <w:noWrap/>
            <w:vAlign w:val="bottom"/>
            <w:hideMark/>
          </w:tcPr>
          <w:p w14:paraId="5248CB58" w14:textId="77777777" w:rsidR="00C1568B" w:rsidRPr="00A52AEE" w:rsidRDefault="00C1568B" w:rsidP="00FE68E8">
            <w:pPr>
              <w:jc w:val="right"/>
              <w:rPr>
                <w:lang w:eastAsia="en-GB"/>
              </w:rPr>
            </w:pPr>
            <w:r w:rsidRPr="00A52AEE">
              <w:rPr>
                <w:lang w:eastAsia="en-GB"/>
              </w:rPr>
              <w:t>39%</w:t>
            </w:r>
          </w:p>
        </w:tc>
      </w:tr>
      <w:tr w:rsidR="00C1568B" w:rsidRPr="00A52AEE" w14:paraId="7AF0BF96"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FB85678" w14:textId="77777777" w:rsidR="00C1568B" w:rsidRPr="00A52AEE" w:rsidRDefault="00C1568B" w:rsidP="00A52AEE">
            <w:pPr>
              <w:rPr>
                <w:lang w:eastAsia="en-GB"/>
              </w:rPr>
            </w:pPr>
            <w:r w:rsidRPr="00A52AEE">
              <w:rPr>
                <w:lang w:eastAsia="en-GB"/>
              </w:rPr>
              <w:t>Camden</w:t>
            </w:r>
          </w:p>
        </w:tc>
        <w:tc>
          <w:tcPr>
            <w:tcW w:w="621" w:type="pct"/>
            <w:tcBorders>
              <w:top w:val="nil"/>
              <w:left w:val="nil"/>
              <w:bottom w:val="single" w:sz="4" w:space="0" w:color="auto"/>
              <w:right w:val="single" w:sz="4" w:space="0" w:color="auto"/>
            </w:tcBorders>
            <w:shd w:val="clear" w:color="auto" w:fill="auto"/>
            <w:noWrap/>
            <w:vAlign w:val="bottom"/>
            <w:hideMark/>
          </w:tcPr>
          <w:p w14:paraId="7DD9ED4A" w14:textId="77777777" w:rsidR="00C1568B" w:rsidRPr="00A52AEE" w:rsidRDefault="00C1568B" w:rsidP="00FE68E8">
            <w:pPr>
              <w:jc w:val="right"/>
              <w:rPr>
                <w:lang w:eastAsia="en-GB"/>
              </w:rPr>
            </w:pPr>
            <w:r w:rsidRPr="00A52AEE">
              <w:rPr>
                <w:lang w:eastAsia="en-GB"/>
              </w:rPr>
              <w:t>15%</w:t>
            </w:r>
          </w:p>
        </w:tc>
        <w:tc>
          <w:tcPr>
            <w:tcW w:w="576" w:type="pct"/>
            <w:tcBorders>
              <w:top w:val="nil"/>
              <w:left w:val="nil"/>
              <w:bottom w:val="single" w:sz="4" w:space="0" w:color="auto"/>
              <w:right w:val="single" w:sz="4" w:space="0" w:color="auto"/>
            </w:tcBorders>
            <w:shd w:val="clear" w:color="auto" w:fill="auto"/>
            <w:noWrap/>
            <w:vAlign w:val="bottom"/>
            <w:hideMark/>
          </w:tcPr>
          <w:p w14:paraId="2C713CD3" w14:textId="77777777" w:rsidR="00C1568B" w:rsidRPr="00A52AEE" w:rsidRDefault="00C1568B" w:rsidP="00FE68E8">
            <w:pPr>
              <w:jc w:val="right"/>
              <w:rPr>
                <w:lang w:eastAsia="en-GB"/>
              </w:rPr>
            </w:pPr>
            <w:r w:rsidRPr="00A52AEE">
              <w:rPr>
                <w:lang w:eastAsia="en-GB"/>
              </w:rPr>
              <w:t>28%</w:t>
            </w:r>
          </w:p>
        </w:tc>
        <w:tc>
          <w:tcPr>
            <w:tcW w:w="741" w:type="pct"/>
            <w:tcBorders>
              <w:top w:val="nil"/>
              <w:left w:val="nil"/>
              <w:bottom w:val="single" w:sz="4" w:space="0" w:color="auto"/>
              <w:right w:val="single" w:sz="4" w:space="0" w:color="auto"/>
            </w:tcBorders>
            <w:shd w:val="clear" w:color="auto" w:fill="auto"/>
            <w:noWrap/>
            <w:vAlign w:val="bottom"/>
            <w:hideMark/>
          </w:tcPr>
          <w:p w14:paraId="0F3737C2" w14:textId="77777777" w:rsidR="00C1568B" w:rsidRPr="00A52AEE" w:rsidRDefault="00C1568B" w:rsidP="00FE68E8">
            <w:pPr>
              <w:jc w:val="right"/>
              <w:rPr>
                <w:lang w:eastAsia="en-GB"/>
              </w:rPr>
            </w:pPr>
            <w:r w:rsidRPr="00A52AEE">
              <w:rPr>
                <w:lang w:eastAsia="en-GB"/>
              </w:rPr>
              <w:t>18%</w:t>
            </w:r>
          </w:p>
        </w:tc>
        <w:tc>
          <w:tcPr>
            <w:tcW w:w="492" w:type="pct"/>
            <w:tcBorders>
              <w:top w:val="nil"/>
              <w:left w:val="nil"/>
              <w:bottom w:val="single" w:sz="4" w:space="0" w:color="auto"/>
              <w:right w:val="single" w:sz="4" w:space="0" w:color="auto"/>
            </w:tcBorders>
            <w:shd w:val="clear" w:color="auto" w:fill="auto"/>
            <w:noWrap/>
            <w:vAlign w:val="bottom"/>
            <w:hideMark/>
          </w:tcPr>
          <w:p w14:paraId="5462BD6E"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6B0A0863" w14:textId="77777777" w:rsidR="00C1568B" w:rsidRPr="00A52AEE" w:rsidRDefault="00C1568B" w:rsidP="00FE68E8">
            <w:pPr>
              <w:jc w:val="right"/>
              <w:rPr>
                <w:lang w:eastAsia="en-GB"/>
              </w:rPr>
            </w:pPr>
            <w:r w:rsidRPr="00A52AEE">
              <w:rPr>
                <w:lang w:eastAsia="en-GB"/>
              </w:rPr>
              <w:t>27%</w:t>
            </w:r>
          </w:p>
        </w:tc>
      </w:tr>
      <w:tr w:rsidR="00C1568B" w:rsidRPr="00A52AEE" w14:paraId="7F69BF60"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0F2E6FD" w14:textId="77777777" w:rsidR="00C1568B" w:rsidRPr="00A52AEE" w:rsidRDefault="00C1568B" w:rsidP="00A52AEE">
            <w:pPr>
              <w:rPr>
                <w:lang w:eastAsia="en-GB"/>
              </w:rPr>
            </w:pPr>
            <w:r w:rsidRPr="00A52AEE">
              <w:rPr>
                <w:lang w:eastAsia="en-GB"/>
              </w:rPr>
              <w:t>City of London</w:t>
            </w:r>
          </w:p>
        </w:tc>
        <w:tc>
          <w:tcPr>
            <w:tcW w:w="621" w:type="pct"/>
            <w:tcBorders>
              <w:top w:val="nil"/>
              <w:left w:val="nil"/>
              <w:bottom w:val="single" w:sz="4" w:space="0" w:color="auto"/>
              <w:right w:val="single" w:sz="4" w:space="0" w:color="auto"/>
            </w:tcBorders>
            <w:shd w:val="clear" w:color="auto" w:fill="auto"/>
            <w:noWrap/>
            <w:vAlign w:val="bottom"/>
            <w:hideMark/>
          </w:tcPr>
          <w:p w14:paraId="01943761" w14:textId="77777777" w:rsidR="00C1568B" w:rsidRPr="00A52AEE" w:rsidRDefault="00C1568B" w:rsidP="00FE68E8">
            <w:pPr>
              <w:jc w:val="right"/>
              <w:rPr>
                <w:lang w:eastAsia="en-GB"/>
              </w:rPr>
            </w:pPr>
            <w:r w:rsidRPr="00A52AEE">
              <w:rPr>
                <w:lang w:eastAsia="en-GB"/>
              </w:rPr>
              <w:t>17%</w:t>
            </w:r>
          </w:p>
        </w:tc>
        <w:tc>
          <w:tcPr>
            <w:tcW w:w="576" w:type="pct"/>
            <w:tcBorders>
              <w:top w:val="nil"/>
              <w:left w:val="nil"/>
              <w:bottom w:val="single" w:sz="4" w:space="0" w:color="auto"/>
              <w:right w:val="single" w:sz="4" w:space="0" w:color="auto"/>
            </w:tcBorders>
            <w:shd w:val="clear" w:color="auto" w:fill="auto"/>
            <w:noWrap/>
            <w:vAlign w:val="bottom"/>
            <w:hideMark/>
          </w:tcPr>
          <w:p w14:paraId="2E1D31F2" w14:textId="77777777" w:rsidR="00C1568B" w:rsidRPr="00A52AEE" w:rsidRDefault="00C1568B" w:rsidP="00FE68E8">
            <w:pPr>
              <w:jc w:val="right"/>
              <w:rPr>
                <w:lang w:eastAsia="en-GB"/>
              </w:rPr>
            </w:pPr>
            <w:r w:rsidRPr="00A52AEE">
              <w:rPr>
                <w:lang w:eastAsia="en-GB"/>
              </w:rPr>
              <w:t>10%</w:t>
            </w:r>
          </w:p>
        </w:tc>
        <w:tc>
          <w:tcPr>
            <w:tcW w:w="741" w:type="pct"/>
            <w:tcBorders>
              <w:top w:val="nil"/>
              <w:left w:val="nil"/>
              <w:bottom w:val="single" w:sz="4" w:space="0" w:color="auto"/>
              <w:right w:val="single" w:sz="4" w:space="0" w:color="auto"/>
            </w:tcBorders>
            <w:shd w:val="clear" w:color="auto" w:fill="auto"/>
            <w:noWrap/>
            <w:vAlign w:val="bottom"/>
            <w:hideMark/>
          </w:tcPr>
          <w:p w14:paraId="3111EE9C" w14:textId="77777777" w:rsidR="00C1568B" w:rsidRPr="00A52AEE" w:rsidRDefault="00C1568B" w:rsidP="00FE68E8">
            <w:pPr>
              <w:jc w:val="right"/>
              <w:rPr>
                <w:lang w:eastAsia="en-GB"/>
              </w:rPr>
            </w:pPr>
            <w:r w:rsidRPr="00A52AEE">
              <w:rPr>
                <w:lang w:eastAsia="en-GB"/>
              </w:rPr>
              <w:t>38%</w:t>
            </w:r>
          </w:p>
        </w:tc>
        <w:tc>
          <w:tcPr>
            <w:tcW w:w="492" w:type="pct"/>
            <w:tcBorders>
              <w:top w:val="nil"/>
              <w:left w:val="nil"/>
              <w:bottom w:val="single" w:sz="4" w:space="0" w:color="auto"/>
              <w:right w:val="single" w:sz="4" w:space="0" w:color="auto"/>
            </w:tcBorders>
            <w:shd w:val="clear" w:color="auto" w:fill="auto"/>
            <w:noWrap/>
            <w:vAlign w:val="bottom"/>
            <w:hideMark/>
          </w:tcPr>
          <w:p w14:paraId="17FBB220"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2DED307C" w14:textId="77777777" w:rsidR="00C1568B" w:rsidRPr="00A52AEE" w:rsidRDefault="00C1568B" w:rsidP="00FE68E8">
            <w:pPr>
              <w:jc w:val="right"/>
              <w:rPr>
                <w:lang w:eastAsia="en-GB"/>
              </w:rPr>
            </w:pPr>
            <w:r w:rsidRPr="00A52AEE">
              <w:rPr>
                <w:lang w:eastAsia="en-GB"/>
              </w:rPr>
              <w:t>25%</w:t>
            </w:r>
          </w:p>
        </w:tc>
      </w:tr>
      <w:tr w:rsidR="00C1568B" w:rsidRPr="00A52AEE" w14:paraId="5EDB1A50"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6DFC285" w14:textId="77777777" w:rsidR="00C1568B" w:rsidRPr="00A52AEE" w:rsidRDefault="00C1568B" w:rsidP="00A52AEE">
            <w:pPr>
              <w:rPr>
                <w:lang w:eastAsia="en-GB"/>
              </w:rPr>
            </w:pPr>
            <w:r w:rsidRPr="00A52AEE">
              <w:rPr>
                <w:lang w:eastAsia="en-GB"/>
              </w:rPr>
              <w:t>Croydon</w:t>
            </w:r>
          </w:p>
        </w:tc>
        <w:tc>
          <w:tcPr>
            <w:tcW w:w="621" w:type="pct"/>
            <w:tcBorders>
              <w:top w:val="nil"/>
              <w:left w:val="nil"/>
              <w:bottom w:val="single" w:sz="4" w:space="0" w:color="auto"/>
              <w:right w:val="single" w:sz="4" w:space="0" w:color="auto"/>
            </w:tcBorders>
            <w:shd w:val="clear" w:color="auto" w:fill="auto"/>
            <w:noWrap/>
            <w:vAlign w:val="bottom"/>
            <w:hideMark/>
          </w:tcPr>
          <w:p w14:paraId="2136351F" w14:textId="77777777" w:rsidR="00C1568B" w:rsidRPr="00A52AEE" w:rsidRDefault="00C1568B" w:rsidP="00FE68E8">
            <w:pPr>
              <w:jc w:val="right"/>
              <w:rPr>
                <w:lang w:eastAsia="en-GB"/>
              </w:rPr>
            </w:pPr>
            <w:r w:rsidRPr="00A52AEE">
              <w:rPr>
                <w:lang w:eastAsia="en-GB"/>
              </w:rPr>
              <w:t>13%</w:t>
            </w:r>
          </w:p>
        </w:tc>
        <w:tc>
          <w:tcPr>
            <w:tcW w:w="576" w:type="pct"/>
            <w:tcBorders>
              <w:top w:val="nil"/>
              <w:left w:val="nil"/>
              <w:bottom w:val="single" w:sz="4" w:space="0" w:color="auto"/>
              <w:right w:val="single" w:sz="4" w:space="0" w:color="auto"/>
            </w:tcBorders>
            <w:shd w:val="clear" w:color="auto" w:fill="auto"/>
            <w:noWrap/>
            <w:vAlign w:val="bottom"/>
            <w:hideMark/>
          </w:tcPr>
          <w:p w14:paraId="37A0A0B5" w14:textId="77777777" w:rsidR="00C1568B" w:rsidRPr="00A52AEE" w:rsidRDefault="00C1568B" w:rsidP="00FE68E8">
            <w:pPr>
              <w:jc w:val="right"/>
              <w:rPr>
                <w:lang w:eastAsia="en-GB"/>
              </w:rPr>
            </w:pPr>
            <w:r w:rsidRPr="00A52AEE">
              <w:rPr>
                <w:lang w:eastAsia="en-GB"/>
              </w:rPr>
              <w:t>38%</w:t>
            </w:r>
          </w:p>
        </w:tc>
        <w:tc>
          <w:tcPr>
            <w:tcW w:w="741" w:type="pct"/>
            <w:tcBorders>
              <w:top w:val="nil"/>
              <w:left w:val="nil"/>
              <w:bottom w:val="single" w:sz="4" w:space="0" w:color="auto"/>
              <w:right w:val="single" w:sz="4" w:space="0" w:color="auto"/>
            </w:tcBorders>
            <w:shd w:val="clear" w:color="auto" w:fill="auto"/>
            <w:noWrap/>
            <w:vAlign w:val="bottom"/>
            <w:hideMark/>
          </w:tcPr>
          <w:p w14:paraId="28420D4E" w14:textId="77777777" w:rsidR="00C1568B" w:rsidRPr="00A52AEE" w:rsidRDefault="00C1568B" w:rsidP="00FE68E8">
            <w:pPr>
              <w:jc w:val="right"/>
              <w:rPr>
                <w:lang w:eastAsia="en-GB"/>
              </w:rPr>
            </w:pPr>
            <w:r w:rsidRPr="00A52AEE">
              <w:rPr>
                <w:lang w:eastAsia="en-GB"/>
              </w:rPr>
              <w:t>15%</w:t>
            </w:r>
          </w:p>
        </w:tc>
        <w:tc>
          <w:tcPr>
            <w:tcW w:w="492" w:type="pct"/>
            <w:tcBorders>
              <w:top w:val="nil"/>
              <w:left w:val="nil"/>
              <w:bottom w:val="single" w:sz="4" w:space="0" w:color="auto"/>
              <w:right w:val="single" w:sz="4" w:space="0" w:color="auto"/>
            </w:tcBorders>
            <w:shd w:val="clear" w:color="auto" w:fill="auto"/>
            <w:noWrap/>
            <w:vAlign w:val="bottom"/>
            <w:hideMark/>
          </w:tcPr>
          <w:p w14:paraId="0905431B" w14:textId="77777777" w:rsidR="00C1568B" w:rsidRPr="00A52AEE" w:rsidRDefault="00C1568B" w:rsidP="00FE68E8">
            <w:pPr>
              <w:jc w:val="right"/>
              <w:rPr>
                <w:lang w:eastAsia="en-GB"/>
              </w:rPr>
            </w:pPr>
            <w:r w:rsidRPr="00A52AEE">
              <w:rPr>
                <w:lang w:eastAsia="en-GB"/>
              </w:rPr>
              <w:t>15%</w:t>
            </w:r>
          </w:p>
        </w:tc>
        <w:tc>
          <w:tcPr>
            <w:tcW w:w="905" w:type="pct"/>
            <w:tcBorders>
              <w:top w:val="nil"/>
              <w:left w:val="nil"/>
              <w:bottom w:val="single" w:sz="4" w:space="0" w:color="auto"/>
              <w:right w:val="single" w:sz="4" w:space="0" w:color="auto"/>
            </w:tcBorders>
            <w:shd w:val="clear" w:color="auto" w:fill="auto"/>
            <w:noWrap/>
            <w:vAlign w:val="bottom"/>
            <w:hideMark/>
          </w:tcPr>
          <w:p w14:paraId="29EC0727" w14:textId="77777777" w:rsidR="00C1568B" w:rsidRPr="00A52AEE" w:rsidRDefault="00C1568B" w:rsidP="00FE68E8">
            <w:pPr>
              <w:jc w:val="right"/>
              <w:rPr>
                <w:lang w:eastAsia="en-GB"/>
              </w:rPr>
            </w:pPr>
            <w:r w:rsidRPr="00A52AEE">
              <w:rPr>
                <w:lang w:eastAsia="en-GB"/>
              </w:rPr>
              <w:t>19%</w:t>
            </w:r>
          </w:p>
        </w:tc>
      </w:tr>
      <w:tr w:rsidR="00C1568B" w:rsidRPr="00A52AEE" w14:paraId="5B660D2C"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68D6347" w14:textId="77777777" w:rsidR="00C1568B" w:rsidRPr="00A52AEE" w:rsidRDefault="00C1568B" w:rsidP="00A52AEE">
            <w:pPr>
              <w:rPr>
                <w:lang w:eastAsia="en-GB"/>
              </w:rPr>
            </w:pPr>
            <w:r w:rsidRPr="00A52AEE">
              <w:rPr>
                <w:lang w:eastAsia="en-GB"/>
              </w:rPr>
              <w:t>Ealing</w:t>
            </w:r>
          </w:p>
        </w:tc>
        <w:tc>
          <w:tcPr>
            <w:tcW w:w="621" w:type="pct"/>
            <w:tcBorders>
              <w:top w:val="nil"/>
              <w:left w:val="nil"/>
              <w:bottom w:val="single" w:sz="4" w:space="0" w:color="auto"/>
              <w:right w:val="single" w:sz="4" w:space="0" w:color="auto"/>
            </w:tcBorders>
            <w:shd w:val="clear" w:color="auto" w:fill="auto"/>
            <w:noWrap/>
            <w:vAlign w:val="bottom"/>
            <w:hideMark/>
          </w:tcPr>
          <w:p w14:paraId="49266A11" w14:textId="77777777" w:rsidR="00C1568B" w:rsidRPr="00A52AEE" w:rsidRDefault="00C1568B" w:rsidP="00FE68E8">
            <w:pPr>
              <w:jc w:val="right"/>
              <w:rPr>
                <w:lang w:eastAsia="en-GB"/>
              </w:rPr>
            </w:pPr>
            <w:r w:rsidRPr="00A52AEE">
              <w:rPr>
                <w:lang w:eastAsia="en-GB"/>
              </w:rPr>
              <w:t>7%</w:t>
            </w:r>
          </w:p>
        </w:tc>
        <w:tc>
          <w:tcPr>
            <w:tcW w:w="576" w:type="pct"/>
            <w:tcBorders>
              <w:top w:val="nil"/>
              <w:left w:val="nil"/>
              <w:bottom w:val="single" w:sz="4" w:space="0" w:color="auto"/>
              <w:right w:val="single" w:sz="4" w:space="0" w:color="auto"/>
            </w:tcBorders>
            <w:shd w:val="clear" w:color="auto" w:fill="auto"/>
            <w:noWrap/>
            <w:vAlign w:val="bottom"/>
            <w:hideMark/>
          </w:tcPr>
          <w:p w14:paraId="61BFEEC2" w14:textId="77777777" w:rsidR="00C1568B" w:rsidRPr="00A52AEE" w:rsidRDefault="00C1568B" w:rsidP="00FE68E8">
            <w:pPr>
              <w:jc w:val="right"/>
              <w:rPr>
                <w:lang w:eastAsia="en-GB"/>
              </w:rPr>
            </w:pPr>
            <w:r w:rsidRPr="00A52AEE">
              <w:rPr>
                <w:lang w:eastAsia="en-GB"/>
              </w:rPr>
              <w:t>37%</w:t>
            </w:r>
          </w:p>
        </w:tc>
        <w:tc>
          <w:tcPr>
            <w:tcW w:w="741" w:type="pct"/>
            <w:tcBorders>
              <w:top w:val="nil"/>
              <w:left w:val="nil"/>
              <w:bottom w:val="single" w:sz="4" w:space="0" w:color="auto"/>
              <w:right w:val="single" w:sz="4" w:space="0" w:color="auto"/>
            </w:tcBorders>
            <w:shd w:val="clear" w:color="auto" w:fill="auto"/>
            <w:noWrap/>
            <w:vAlign w:val="bottom"/>
            <w:hideMark/>
          </w:tcPr>
          <w:p w14:paraId="1B37677D" w14:textId="77777777" w:rsidR="00C1568B" w:rsidRPr="00A52AEE" w:rsidRDefault="00C1568B" w:rsidP="00FE68E8">
            <w:pPr>
              <w:jc w:val="right"/>
              <w:rPr>
                <w:lang w:eastAsia="en-GB"/>
              </w:rPr>
            </w:pPr>
            <w:r w:rsidRPr="00A52AEE">
              <w:rPr>
                <w:lang w:eastAsia="en-GB"/>
              </w:rPr>
              <w:t>25%</w:t>
            </w:r>
          </w:p>
        </w:tc>
        <w:tc>
          <w:tcPr>
            <w:tcW w:w="492" w:type="pct"/>
            <w:tcBorders>
              <w:top w:val="nil"/>
              <w:left w:val="nil"/>
              <w:bottom w:val="single" w:sz="4" w:space="0" w:color="auto"/>
              <w:right w:val="single" w:sz="4" w:space="0" w:color="auto"/>
            </w:tcBorders>
            <w:shd w:val="clear" w:color="auto" w:fill="auto"/>
            <w:noWrap/>
            <w:vAlign w:val="bottom"/>
            <w:hideMark/>
          </w:tcPr>
          <w:p w14:paraId="3789E62D" w14:textId="77777777" w:rsidR="00C1568B" w:rsidRPr="00A52AEE" w:rsidRDefault="00C1568B" w:rsidP="00FE68E8">
            <w:pPr>
              <w:jc w:val="right"/>
              <w:rPr>
                <w:lang w:eastAsia="en-GB"/>
              </w:rPr>
            </w:pPr>
            <w:r w:rsidRPr="00A52AEE">
              <w:rPr>
                <w:lang w:eastAsia="en-GB"/>
              </w:rPr>
              <w:t>10%</w:t>
            </w:r>
          </w:p>
        </w:tc>
        <w:tc>
          <w:tcPr>
            <w:tcW w:w="905" w:type="pct"/>
            <w:tcBorders>
              <w:top w:val="nil"/>
              <w:left w:val="nil"/>
              <w:bottom w:val="single" w:sz="4" w:space="0" w:color="auto"/>
              <w:right w:val="single" w:sz="4" w:space="0" w:color="auto"/>
            </w:tcBorders>
            <w:shd w:val="clear" w:color="auto" w:fill="auto"/>
            <w:noWrap/>
            <w:vAlign w:val="bottom"/>
            <w:hideMark/>
          </w:tcPr>
          <w:p w14:paraId="405015ED" w14:textId="77777777" w:rsidR="00C1568B" w:rsidRPr="00A52AEE" w:rsidRDefault="00C1568B" w:rsidP="00FE68E8">
            <w:pPr>
              <w:jc w:val="right"/>
              <w:rPr>
                <w:lang w:eastAsia="en-GB"/>
              </w:rPr>
            </w:pPr>
            <w:r w:rsidRPr="00A52AEE">
              <w:rPr>
                <w:lang w:eastAsia="en-GB"/>
              </w:rPr>
              <w:t>21%</w:t>
            </w:r>
          </w:p>
        </w:tc>
      </w:tr>
      <w:tr w:rsidR="00C1568B" w:rsidRPr="00A52AEE" w14:paraId="773D55D9"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5143649" w14:textId="77777777" w:rsidR="00C1568B" w:rsidRPr="00A52AEE" w:rsidRDefault="00C1568B" w:rsidP="00A52AEE">
            <w:pPr>
              <w:rPr>
                <w:lang w:eastAsia="en-GB"/>
              </w:rPr>
            </w:pPr>
            <w:r w:rsidRPr="00A52AEE">
              <w:rPr>
                <w:lang w:eastAsia="en-GB"/>
              </w:rPr>
              <w:t>Enfield</w:t>
            </w:r>
          </w:p>
        </w:tc>
        <w:tc>
          <w:tcPr>
            <w:tcW w:w="621" w:type="pct"/>
            <w:tcBorders>
              <w:top w:val="nil"/>
              <w:left w:val="nil"/>
              <w:bottom w:val="single" w:sz="4" w:space="0" w:color="auto"/>
              <w:right w:val="single" w:sz="4" w:space="0" w:color="auto"/>
            </w:tcBorders>
            <w:shd w:val="clear" w:color="auto" w:fill="auto"/>
            <w:noWrap/>
            <w:vAlign w:val="bottom"/>
            <w:hideMark/>
          </w:tcPr>
          <w:p w14:paraId="23737E8A" w14:textId="77777777" w:rsidR="00C1568B" w:rsidRPr="00A52AEE" w:rsidRDefault="00C1568B" w:rsidP="00FE68E8">
            <w:pPr>
              <w:jc w:val="right"/>
              <w:rPr>
                <w:lang w:eastAsia="en-GB"/>
              </w:rPr>
            </w:pPr>
            <w:r w:rsidRPr="00A52AEE">
              <w:rPr>
                <w:lang w:eastAsia="en-GB"/>
              </w:rPr>
              <w:t>10%</w:t>
            </w:r>
          </w:p>
        </w:tc>
        <w:tc>
          <w:tcPr>
            <w:tcW w:w="576" w:type="pct"/>
            <w:tcBorders>
              <w:top w:val="nil"/>
              <w:left w:val="nil"/>
              <w:bottom w:val="single" w:sz="4" w:space="0" w:color="auto"/>
              <w:right w:val="single" w:sz="4" w:space="0" w:color="auto"/>
            </w:tcBorders>
            <w:shd w:val="clear" w:color="auto" w:fill="auto"/>
            <w:noWrap/>
            <w:vAlign w:val="bottom"/>
            <w:hideMark/>
          </w:tcPr>
          <w:p w14:paraId="20CA3CE4" w14:textId="77777777" w:rsidR="00C1568B" w:rsidRPr="00A52AEE" w:rsidRDefault="00C1568B" w:rsidP="00FE68E8">
            <w:pPr>
              <w:jc w:val="right"/>
              <w:rPr>
                <w:lang w:eastAsia="en-GB"/>
              </w:rPr>
            </w:pPr>
            <w:r w:rsidRPr="00A52AEE">
              <w:rPr>
                <w:lang w:eastAsia="en-GB"/>
              </w:rPr>
              <w:t>34%</w:t>
            </w:r>
          </w:p>
        </w:tc>
        <w:tc>
          <w:tcPr>
            <w:tcW w:w="741" w:type="pct"/>
            <w:tcBorders>
              <w:top w:val="nil"/>
              <w:left w:val="nil"/>
              <w:bottom w:val="single" w:sz="4" w:space="0" w:color="auto"/>
              <w:right w:val="single" w:sz="4" w:space="0" w:color="auto"/>
            </w:tcBorders>
            <w:shd w:val="clear" w:color="auto" w:fill="auto"/>
            <w:noWrap/>
            <w:vAlign w:val="bottom"/>
            <w:hideMark/>
          </w:tcPr>
          <w:p w14:paraId="098EB89E" w14:textId="77777777" w:rsidR="00C1568B" w:rsidRPr="00A52AEE" w:rsidRDefault="00C1568B" w:rsidP="00FE68E8">
            <w:pPr>
              <w:jc w:val="right"/>
              <w:rPr>
                <w:lang w:eastAsia="en-GB"/>
              </w:rPr>
            </w:pPr>
            <w:r w:rsidRPr="00A52AEE">
              <w:rPr>
                <w:lang w:eastAsia="en-GB"/>
              </w:rPr>
              <w:t>23%</w:t>
            </w:r>
          </w:p>
        </w:tc>
        <w:tc>
          <w:tcPr>
            <w:tcW w:w="492" w:type="pct"/>
            <w:tcBorders>
              <w:top w:val="nil"/>
              <w:left w:val="nil"/>
              <w:bottom w:val="single" w:sz="4" w:space="0" w:color="auto"/>
              <w:right w:val="single" w:sz="4" w:space="0" w:color="auto"/>
            </w:tcBorders>
            <w:shd w:val="clear" w:color="auto" w:fill="auto"/>
            <w:noWrap/>
            <w:vAlign w:val="bottom"/>
            <w:hideMark/>
          </w:tcPr>
          <w:p w14:paraId="434D4B4F" w14:textId="77777777" w:rsidR="00C1568B" w:rsidRPr="00A52AEE" w:rsidRDefault="00C1568B" w:rsidP="00FE68E8">
            <w:pPr>
              <w:jc w:val="right"/>
              <w:rPr>
                <w:lang w:eastAsia="en-GB"/>
              </w:rPr>
            </w:pPr>
            <w:r w:rsidRPr="00A52AEE">
              <w:rPr>
                <w:lang w:eastAsia="en-GB"/>
              </w:rPr>
              <w:t>12%</w:t>
            </w:r>
          </w:p>
        </w:tc>
        <w:tc>
          <w:tcPr>
            <w:tcW w:w="905" w:type="pct"/>
            <w:tcBorders>
              <w:top w:val="nil"/>
              <w:left w:val="nil"/>
              <w:bottom w:val="single" w:sz="4" w:space="0" w:color="auto"/>
              <w:right w:val="single" w:sz="4" w:space="0" w:color="auto"/>
            </w:tcBorders>
            <w:shd w:val="clear" w:color="auto" w:fill="auto"/>
            <w:noWrap/>
            <w:vAlign w:val="bottom"/>
            <w:hideMark/>
          </w:tcPr>
          <w:p w14:paraId="074EDB3D" w14:textId="77777777" w:rsidR="00C1568B" w:rsidRPr="00A52AEE" w:rsidRDefault="00C1568B" w:rsidP="00FE68E8">
            <w:pPr>
              <w:jc w:val="right"/>
              <w:rPr>
                <w:lang w:eastAsia="en-GB"/>
              </w:rPr>
            </w:pPr>
            <w:r w:rsidRPr="00A52AEE">
              <w:rPr>
                <w:lang w:eastAsia="en-GB"/>
              </w:rPr>
              <w:t>21%</w:t>
            </w:r>
          </w:p>
        </w:tc>
      </w:tr>
      <w:tr w:rsidR="00C1568B" w:rsidRPr="00A52AEE" w14:paraId="528186B4"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71369DC" w14:textId="77777777" w:rsidR="00C1568B" w:rsidRPr="00A52AEE" w:rsidRDefault="00C1568B" w:rsidP="00A52AEE">
            <w:pPr>
              <w:rPr>
                <w:lang w:eastAsia="en-GB"/>
              </w:rPr>
            </w:pPr>
            <w:r w:rsidRPr="00A52AEE">
              <w:rPr>
                <w:lang w:eastAsia="en-GB"/>
              </w:rPr>
              <w:t>Greenwich</w:t>
            </w:r>
          </w:p>
        </w:tc>
        <w:tc>
          <w:tcPr>
            <w:tcW w:w="621" w:type="pct"/>
            <w:tcBorders>
              <w:top w:val="nil"/>
              <w:left w:val="nil"/>
              <w:bottom w:val="single" w:sz="4" w:space="0" w:color="auto"/>
              <w:right w:val="single" w:sz="4" w:space="0" w:color="auto"/>
            </w:tcBorders>
            <w:shd w:val="clear" w:color="auto" w:fill="auto"/>
            <w:noWrap/>
            <w:vAlign w:val="bottom"/>
            <w:hideMark/>
          </w:tcPr>
          <w:p w14:paraId="0ED0D280" w14:textId="77777777" w:rsidR="00C1568B" w:rsidRPr="00A52AEE" w:rsidRDefault="00C1568B" w:rsidP="00FE68E8">
            <w:pPr>
              <w:jc w:val="right"/>
              <w:rPr>
                <w:lang w:eastAsia="en-GB"/>
              </w:rPr>
            </w:pPr>
            <w:r w:rsidRPr="00A52AEE">
              <w:rPr>
                <w:lang w:eastAsia="en-GB"/>
              </w:rPr>
              <w:t>15%</w:t>
            </w:r>
          </w:p>
        </w:tc>
        <w:tc>
          <w:tcPr>
            <w:tcW w:w="576" w:type="pct"/>
            <w:tcBorders>
              <w:top w:val="nil"/>
              <w:left w:val="nil"/>
              <w:bottom w:val="single" w:sz="4" w:space="0" w:color="auto"/>
              <w:right w:val="single" w:sz="4" w:space="0" w:color="auto"/>
            </w:tcBorders>
            <w:shd w:val="clear" w:color="auto" w:fill="auto"/>
            <w:noWrap/>
            <w:vAlign w:val="bottom"/>
            <w:hideMark/>
          </w:tcPr>
          <w:p w14:paraId="7C28271A" w14:textId="77777777" w:rsidR="00C1568B" w:rsidRPr="00A52AEE" w:rsidRDefault="00C1568B" w:rsidP="00FE68E8">
            <w:pPr>
              <w:jc w:val="right"/>
              <w:rPr>
                <w:lang w:eastAsia="en-GB"/>
              </w:rPr>
            </w:pPr>
            <w:r w:rsidRPr="00A52AEE">
              <w:rPr>
                <w:lang w:eastAsia="en-GB"/>
              </w:rPr>
              <w:t>20%</w:t>
            </w:r>
          </w:p>
        </w:tc>
        <w:tc>
          <w:tcPr>
            <w:tcW w:w="741" w:type="pct"/>
            <w:tcBorders>
              <w:top w:val="nil"/>
              <w:left w:val="nil"/>
              <w:bottom w:val="single" w:sz="4" w:space="0" w:color="auto"/>
              <w:right w:val="single" w:sz="4" w:space="0" w:color="auto"/>
            </w:tcBorders>
            <w:shd w:val="clear" w:color="auto" w:fill="auto"/>
            <w:noWrap/>
            <w:vAlign w:val="bottom"/>
            <w:hideMark/>
          </w:tcPr>
          <w:p w14:paraId="2B710FE6" w14:textId="77777777" w:rsidR="00C1568B" w:rsidRPr="00A52AEE" w:rsidRDefault="00C1568B" w:rsidP="00FE68E8">
            <w:pPr>
              <w:jc w:val="right"/>
              <w:rPr>
                <w:lang w:eastAsia="en-GB"/>
              </w:rPr>
            </w:pPr>
            <w:r w:rsidRPr="00A52AEE">
              <w:rPr>
                <w:lang w:eastAsia="en-GB"/>
              </w:rPr>
              <w:t>23%</w:t>
            </w:r>
          </w:p>
        </w:tc>
        <w:tc>
          <w:tcPr>
            <w:tcW w:w="492" w:type="pct"/>
            <w:tcBorders>
              <w:top w:val="nil"/>
              <w:left w:val="nil"/>
              <w:bottom w:val="single" w:sz="4" w:space="0" w:color="auto"/>
              <w:right w:val="single" w:sz="4" w:space="0" w:color="auto"/>
            </w:tcBorders>
            <w:shd w:val="clear" w:color="auto" w:fill="auto"/>
            <w:noWrap/>
            <w:vAlign w:val="bottom"/>
            <w:hideMark/>
          </w:tcPr>
          <w:p w14:paraId="2B7BC359" w14:textId="77777777" w:rsidR="00C1568B" w:rsidRPr="00A52AEE" w:rsidRDefault="00C1568B" w:rsidP="00FE68E8">
            <w:pPr>
              <w:jc w:val="right"/>
              <w:rPr>
                <w:lang w:eastAsia="en-GB"/>
              </w:rPr>
            </w:pPr>
            <w:r w:rsidRPr="00A52AEE">
              <w:rPr>
                <w:lang w:eastAsia="en-GB"/>
              </w:rPr>
              <w:t>18%</w:t>
            </w:r>
          </w:p>
        </w:tc>
        <w:tc>
          <w:tcPr>
            <w:tcW w:w="905" w:type="pct"/>
            <w:tcBorders>
              <w:top w:val="nil"/>
              <w:left w:val="nil"/>
              <w:bottom w:val="single" w:sz="4" w:space="0" w:color="auto"/>
              <w:right w:val="single" w:sz="4" w:space="0" w:color="auto"/>
            </w:tcBorders>
            <w:shd w:val="clear" w:color="auto" w:fill="auto"/>
            <w:noWrap/>
            <w:vAlign w:val="bottom"/>
            <w:hideMark/>
          </w:tcPr>
          <w:p w14:paraId="4601EA2C" w14:textId="77777777" w:rsidR="00C1568B" w:rsidRPr="00A52AEE" w:rsidRDefault="00C1568B" w:rsidP="00FE68E8">
            <w:pPr>
              <w:jc w:val="right"/>
              <w:rPr>
                <w:lang w:eastAsia="en-GB"/>
              </w:rPr>
            </w:pPr>
            <w:r w:rsidRPr="00A52AEE">
              <w:rPr>
                <w:lang w:eastAsia="en-GB"/>
              </w:rPr>
              <w:t>24%</w:t>
            </w:r>
          </w:p>
        </w:tc>
      </w:tr>
      <w:tr w:rsidR="00C1568B" w:rsidRPr="00A52AEE" w14:paraId="293B0357"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E1996BC" w14:textId="77777777" w:rsidR="00C1568B" w:rsidRPr="00A52AEE" w:rsidRDefault="00C1568B" w:rsidP="00A52AEE">
            <w:pPr>
              <w:rPr>
                <w:lang w:eastAsia="en-GB"/>
              </w:rPr>
            </w:pPr>
            <w:r w:rsidRPr="00A52AEE">
              <w:rPr>
                <w:lang w:eastAsia="en-GB"/>
              </w:rPr>
              <w:t>Hackney</w:t>
            </w:r>
          </w:p>
        </w:tc>
        <w:tc>
          <w:tcPr>
            <w:tcW w:w="621" w:type="pct"/>
            <w:tcBorders>
              <w:top w:val="nil"/>
              <w:left w:val="nil"/>
              <w:bottom w:val="single" w:sz="4" w:space="0" w:color="auto"/>
              <w:right w:val="single" w:sz="4" w:space="0" w:color="auto"/>
            </w:tcBorders>
            <w:shd w:val="clear" w:color="auto" w:fill="auto"/>
            <w:noWrap/>
            <w:vAlign w:val="bottom"/>
            <w:hideMark/>
          </w:tcPr>
          <w:p w14:paraId="46B880FD"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2F3949D2" w14:textId="77777777" w:rsidR="00C1568B" w:rsidRPr="00A52AEE" w:rsidRDefault="00C1568B" w:rsidP="00FE68E8">
            <w:pPr>
              <w:jc w:val="right"/>
              <w:rPr>
                <w:lang w:eastAsia="en-GB"/>
              </w:rPr>
            </w:pPr>
            <w:r w:rsidRPr="00A52AEE">
              <w:rPr>
                <w:lang w:eastAsia="en-GB"/>
              </w:rPr>
              <w:t>33%</w:t>
            </w:r>
          </w:p>
        </w:tc>
        <w:tc>
          <w:tcPr>
            <w:tcW w:w="741" w:type="pct"/>
            <w:tcBorders>
              <w:top w:val="nil"/>
              <w:left w:val="nil"/>
              <w:bottom w:val="single" w:sz="4" w:space="0" w:color="auto"/>
              <w:right w:val="single" w:sz="4" w:space="0" w:color="auto"/>
            </w:tcBorders>
            <w:shd w:val="clear" w:color="auto" w:fill="auto"/>
            <w:noWrap/>
            <w:vAlign w:val="bottom"/>
            <w:hideMark/>
          </w:tcPr>
          <w:p w14:paraId="43D1C3F2" w14:textId="77777777" w:rsidR="00C1568B" w:rsidRPr="00A52AEE" w:rsidRDefault="00C1568B" w:rsidP="00FE68E8">
            <w:pPr>
              <w:jc w:val="right"/>
              <w:rPr>
                <w:lang w:eastAsia="en-GB"/>
              </w:rPr>
            </w:pPr>
            <w:r w:rsidRPr="00A52AEE">
              <w:rPr>
                <w:lang w:eastAsia="en-GB"/>
              </w:rPr>
              <w:t>25%</w:t>
            </w:r>
          </w:p>
        </w:tc>
        <w:tc>
          <w:tcPr>
            <w:tcW w:w="492" w:type="pct"/>
            <w:tcBorders>
              <w:top w:val="nil"/>
              <w:left w:val="nil"/>
              <w:bottom w:val="single" w:sz="4" w:space="0" w:color="auto"/>
              <w:right w:val="single" w:sz="4" w:space="0" w:color="auto"/>
            </w:tcBorders>
            <w:shd w:val="clear" w:color="auto" w:fill="auto"/>
            <w:noWrap/>
            <w:vAlign w:val="bottom"/>
            <w:hideMark/>
          </w:tcPr>
          <w:p w14:paraId="6156FFC4"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619EEEC6" w14:textId="77777777" w:rsidR="00C1568B" w:rsidRPr="00A52AEE" w:rsidRDefault="00C1568B" w:rsidP="00FE68E8">
            <w:pPr>
              <w:jc w:val="right"/>
              <w:rPr>
                <w:lang w:eastAsia="en-GB"/>
              </w:rPr>
            </w:pPr>
            <w:r w:rsidRPr="00A52AEE">
              <w:rPr>
                <w:lang w:eastAsia="en-GB"/>
              </w:rPr>
              <w:t>19%</w:t>
            </w:r>
          </w:p>
        </w:tc>
      </w:tr>
      <w:tr w:rsidR="00C1568B" w:rsidRPr="00A52AEE" w14:paraId="7F742900"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7FBD92D" w14:textId="77777777" w:rsidR="00C1568B" w:rsidRPr="00A52AEE" w:rsidRDefault="00C1568B" w:rsidP="00A52AEE">
            <w:pPr>
              <w:rPr>
                <w:lang w:eastAsia="en-GB"/>
              </w:rPr>
            </w:pPr>
            <w:r w:rsidRPr="00A52AEE">
              <w:rPr>
                <w:lang w:eastAsia="en-GB"/>
              </w:rPr>
              <w:t>Hammersmith and Fulham</w:t>
            </w:r>
          </w:p>
        </w:tc>
        <w:tc>
          <w:tcPr>
            <w:tcW w:w="621" w:type="pct"/>
            <w:tcBorders>
              <w:top w:val="nil"/>
              <w:left w:val="nil"/>
              <w:bottom w:val="single" w:sz="4" w:space="0" w:color="auto"/>
              <w:right w:val="single" w:sz="4" w:space="0" w:color="auto"/>
            </w:tcBorders>
            <w:shd w:val="clear" w:color="auto" w:fill="auto"/>
            <w:noWrap/>
            <w:vAlign w:val="bottom"/>
            <w:hideMark/>
          </w:tcPr>
          <w:p w14:paraId="73C77281"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4580B2ED" w14:textId="77777777" w:rsidR="00C1568B" w:rsidRPr="00A52AEE" w:rsidRDefault="00C1568B" w:rsidP="00FE68E8">
            <w:pPr>
              <w:jc w:val="right"/>
              <w:rPr>
                <w:lang w:eastAsia="en-GB"/>
              </w:rPr>
            </w:pPr>
            <w:r w:rsidRPr="00A52AEE">
              <w:rPr>
                <w:lang w:eastAsia="en-GB"/>
              </w:rPr>
              <w:t>31%</w:t>
            </w:r>
          </w:p>
        </w:tc>
        <w:tc>
          <w:tcPr>
            <w:tcW w:w="741" w:type="pct"/>
            <w:tcBorders>
              <w:top w:val="nil"/>
              <w:left w:val="nil"/>
              <w:bottom w:val="single" w:sz="4" w:space="0" w:color="auto"/>
              <w:right w:val="single" w:sz="4" w:space="0" w:color="auto"/>
            </w:tcBorders>
            <w:shd w:val="clear" w:color="auto" w:fill="auto"/>
            <w:noWrap/>
            <w:vAlign w:val="bottom"/>
            <w:hideMark/>
          </w:tcPr>
          <w:p w14:paraId="755D15DF" w14:textId="77777777" w:rsidR="00C1568B" w:rsidRPr="00A52AEE" w:rsidRDefault="00C1568B" w:rsidP="00FE68E8">
            <w:pPr>
              <w:jc w:val="right"/>
              <w:rPr>
                <w:lang w:eastAsia="en-GB"/>
              </w:rPr>
            </w:pPr>
            <w:r w:rsidRPr="00A52AEE">
              <w:rPr>
                <w:lang w:eastAsia="en-GB"/>
              </w:rPr>
              <w:t>24%</w:t>
            </w:r>
          </w:p>
        </w:tc>
        <w:tc>
          <w:tcPr>
            <w:tcW w:w="492" w:type="pct"/>
            <w:tcBorders>
              <w:top w:val="nil"/>
              <w:left w:val="nil"/>
              <w:bottom w:val="single" w:sz="4" w:space="0" w:color="auto"/>
              <w:right w:val="single" w:sz="4" w:space="0" w:color="auto"/>
            </w:tcBorders>
            <w:shd w:val="clear" w:color="auto" w:fill="auto"/>
            <w:noWrap/>
            <w:vAlign w:val="bottom"/>
            <w:hideMark/>
          </w:tcPr>
          <w:p w14:paraId="0F1CFBCF"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65F4E7F9" w14:textId="77777777" w:rsidR="00C1568B" w:rsidRPr="00A52AEE" w:rsidRDefault="00C1568B" w:rsidP="00FE68E8">
            <w:pPr>
              <w:jc w:val="right"/>
              <w:rPr>
                <w:lang w:eastAsia="en-GB"/>
              </w:rPr>
            </w:pPr>
            <w:r w:rsidRPr="00A52AEE">
              <w:rPr>
                <w:lang w:eastAsia="en-GB"/>
              </w:rPr>
              <w:t>22%</w:t>
            </w:r>
          </w:p>
        </w:tc>
      </w:tr>
      <w:tr w:rsidR="00C1568B" w:rsidRPr="00A52AEE" w14:paraId="58894A52"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655D445" w14:textId="77777777" w:rsidR="00C1568B" w:rsidRPr="00A52AEE" w:rsidRDefault="00C1568B" w:rsidP="00A52AEE">
            <w:pPr>
              <w:rPr>
                <w:lang w:eastAsia="en-GB"/>
              </w:rPr>
            </w:pPr>
            <w:r w:rsidRPr="00A52AEE">
              <w:rPr>
                <w:lang w:eastAsia="en-GB"/>
              </w:rPr>
              <w:t>Haringey</w:t>
            </w:r>
          </w:p>
        </w:tc>
        <w:tc>
          <w:tcPr>
            <w:tcW w:w="621" w:type="pct"/>
            <w:tcBorders>
              <w:top w:val="nil"/>
              <w:left w:val="nil"/>
              <w:bottom w:val="single" w:sz="4" w:space="0" w:color="auto"/>
              <w:right w:val="single" w:sz="4" w:space="0" w:color="auto"/>
            </w:tcBorders>
            <w:shd w:val="clear" w:color="auto" w:fill="auto"/>
            <w:noWrap/>
            <w:vAlign w:val="bottom"/>
            <w:hideMark/>
          </w:tcPr>
          <w:p w14:paraId="45BD2ADD"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05224B49" w14:textId="77777777" w:rsidR="00C1568B" w:rsidRPr="00A52AEE" w:rsidRDefault="00C1568B" w:rsidP="00FE68E8">
            <w:pPr>
              <w:jc w:val="right"/>
              <w:rPr>
                <w:lang w:eastAsia="en-GB"/>
              </w:rPr>
            </w:pPr>
            <w:r w:rsidRPr="00A52AEE">
              <w:rPr>
                <w:lang w:eastAsia="en-GB"/>
              </w:rPr>
              <w:t>32%</w:t>
            </w:r>
          </w:p>
        </w:tc>
        <w:tc>
          <w:tcPr>
            <w:tcW w:w="741" w:type="pct"/>
            <w:tcBorders>
              <w:top w:val="nil"/>
              <w:left w:val="nil"/>
              <w:bottom w:val="single" w:sz="4" w:space="0" w:color="auto"/>
              <w:right w:val="single" w:sz="4" w:space="0" w:color="auto"/>
            </w:tcBorders>
            <w:shd w:val="clear" w:color="auto" w:fill="auto"/>
            <w:noWrap/>
            <w:vAlign w:val="bottom"/>
            <w:hideMark/>
          </w:tcPr>
          <w:p w14:paraId="0FAEF1AF" w14:textId="77777777" w:rsidR="00C1568B" w:rsidRPr="00A52AEE" w:rsidRDefault="00C1568B" w:rsidP="00FE68E8">
            <w:pPr>
              <w:jc w:val="right"/>
              <w:rPr>
                <w:lang w:eastAsia="en-GB"/>
              </w:rPr>
            </w:pPr>
            <w:r w:rsidRPr="00A52AEE">
              <w:rPr>
                <w:lang w:eastAsia="en-GB"/>
              </w:rPr>
              <w:t>24%</w:t>
            </w:r>
          </w:p>
        </w:tc>
        <w:tc>
          <w:tcPr>
            <w:tcW w:w="492" w:type="pct"/>
            <w:tcBorders>
              <w:top w:val="nil"/>
              <w:left w:val="nil"/>
              <w:bottom w:val="single" w:sz="4" w:space="0" w:color="auto"/>
              <w:right w:val="single" w:sz="4" w:space="0" w:color="auto"/>
            </w:tcBorders>
            <w:shd w:val="clear" w:color="auto" w:fill="auto"/>
            <w:noWrap/>
            <w:vAlign w:val="bottom"/>
            <w:hideMark/>
          </w:tcPr>
          <w:p w14:paraId="457A88F6"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08E51CAA" w14:textId="77777777" w:rsidR="00C1568B" w:rsidRPr="00A52AEE" w:rsidRDefault="00C1568B" w:rsidP="00FE68E8">
            <w:pPr>
              <w:jc w:val="right"/>
              <w:rPr>
                <w:lang w:eastAsia="en-GB"/>
              </w:rPr>
            </w:pPr>
            <w:r w:rsidRPr="00A52AEE">
              <w:rPr>
                <w:lang w:eastAsia="en-GB"/>
              </w:rPr>
              <w:t>20%</w:t>
            </w:r>
          </w:p>
        </w:tc>
      </w:tr>
      <w:tr w:rsidR="00C1568B" w:rsidRPr="00A52AEE" w14:paraId="608E97A1"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5F51E35" w14:textId="77777777" w:rsidR="00C1568B" w:rsidRPr="00A52AEE" w:rsidRDefault="00C1568B" w:rsidP="00A52AEE">
            <w:pPr>
              <w:rPr>
                <w:lang w:eastAsia="en-GB"/>
              </w:rPr>
            </w:pPr>
            <w:r w:rsidRPr="00A52AEE">
              <w:rPr>
                <w:lang w:eastAsia="en-GB"/>
              </w:rPr>
              <w:t>Harrow</w:t>
            </w:r>
          </w:p>
        </w:tc>
        <w:tc>
          <w:tcPr>
            <w:tcW w:w="621" w:type="pct"/>
            <w:tcBorders>
              <w:top w:val="nil"/>
              <w:left w:val="nil"/>
              <w:bottom w:val="single" w:sz="4" w:space="0" w:color="auto"/>
              <w:right w:val="single" w:sz="4" w:space="0" w:color="auto"/>
            </w:tcBorders>
            <w:shd w:val="clear" w:color="auto" w:fill="auto"/>
            <w:noWrap/>
            <w:vAlign w:val="bottom"/>
            <w:hideMark/>
          </w:tcPr>
          <w:p w14:paraId="479498BE" w14:textId="77777777" w:rsidR="00C1568B" w:rsidRPr="00A52AEE" w:rsidRDefault="00C1568B" w:rsidP="00FE68E8">
            <w:pPr>
              <w:jc w:val="right"/>
              <w:rPr>
                <w:lang w:eastAsia="en-GB"/>
              </w:rPr>
            </w:pPr>
            <w:r w:rsidRPr="00A52AEE">
              <w:rPr>
                <w:lang w:eastAsia="en-GB"/>
              </w:rPr>
              <w:t>6%</w:t>
            </w:r>
          </w:p>
        </w:tc>
        <w:tc>
          <w:tcPr>
            <w:tcW w:w="576" w:type="pct"/>
            <w:tcBorders>
              <w:top w:val="nil"/>
              <w:left w:val="nil"/>
              <w:bottom w:val="single" w:sz="4" w:space="0" w:color="auto"/>
              <w:right w:val="single" w:sz="4" w:space="0" w:color="auto"/>
            </w:tcBorders>
            <w:shd w:val="clear" w:color="auto" w:fill="auto"/>
            <w:noWrap/>
            <w:vAlign w:val="bottom"/>
            <w:hideMark/>
          </w:tcPr>
          <w:p w14:paraId="2AB4816C" w14:textId="77777777" w:rsidR="00C1568B" w:rsidRPr="00A52AEE" w:rsidRDefault="00C1568B" w:rsidP="00FE68E8">
            <w:pPr>
              <w:jc w:val="right"/>
              <w:rPr>
                <w:lang w:eastAsia="en-GB"/>
              </w:rPr>
            </w:pPr>
            <w:r w:rsidRPr="00A52AEE">
              <w:rPr>
                <w:lang w:eastAsia="en-GB"/>
              </w:rPr>
              <w:t>26%</w:t>
            </w:r>
          </w:p>
        </w:tc>
        <w:tc>
          <w:tcPr>
            <w:tcW w:w="741" w:type="pct"/>
            <w:tcBorders>
              <w:top w:val="nil"/>
              <w:left w:val="nil"/>
              <w:bottom w:val="single" w:sz="4" w:space="0" w:color="auto"/>
              <w:right w:val="single" w:sz="4" w:space="0" w:color="auto"/>
            </w:tcBorders>
            <w:shd w:val="clear" w:color="auto" w:fill="auto"/>
            <w:noWrap/>
            <w:vAlign w:val="bottom"/>
            <w:hideMark/>
          </w:tcPr>
          <w:p w14:paraId="69D5E240" w14:textId="77777777" w:rsidR="00C1568B" w:rsidRPr="00A52AEE" w:rsidRDefault="00C1568B" w:rsidP="00FE68E8">
            <w:pPr>
              <w:jc w:val="right"/>
              <w:rPr>
                <w:lang w:eastAsia="en-GB"/>
              </w:rPr>
            </w:pPr>
            <w:r w:rsidRPr="00A52AEE">
              <w:rPr>
                <w:lang w:eastAsia="en-GB"/>
              </w:rPr>
              <w:t>42%</w:t>
            </w:r>
          </w:p>
        </w:tc>
        <w:tc>
          <w:tcPr>
            <w:tcW w:w="492" w:type="pct"/>
            <w:tcBorders>
              <w:top w:val="nil"/>
              <w:left w:val="nil"/>
              <w:bottom w:val="single" w:sz="4" w:space="0" w:color="auto"/>
              <w:right w:val="single" w:sz="4" w:space="0" w:color="auto"/>
            </w:tcBorders>
            <w:shd w:val="clear" w:color="auto" w:fill="auto"/>
            <w:noWrap/>
            <w:vAlign w:val="bottom"/>
            <w:hideMark/>
          </w:tcPr>
          <w:p w14:paraId="4D559F2B" w14:textId="77777777" w:rsidR="00C1568B" w:rsidRPr="00A52AEE" w:rsidRDefault="00C1568B" w:rsidP="00FE68E8">
            <w:pPr>
              <w:jc w:val="right"/>
              <w:rPr>
                <w:lang w:eastAsia="en-GB"/>
              </w:rPr>
            </w:pPr>
            <w:r w:rsidRPr="00A52AEE">
              <w:rPr>
                <w:lang w:eastAsia="en-GB"/>
              </w:rPr>
              <w:t>12%</w:t>
            </w:r>
          </w:p>
        </w:tc>
        <w:tc>
          <w:tcPr>
            <w:tcW w:w="905" w:type="pct"/>
            <w:tcBorders>
              <w:top w:val="nil"/>
              <w:left w:val="nil"/>
              <w:bottom w:val="single" w:sz="4" w:space="0" w:color="auto"/>
              <w:right w:val="single" w:sz="4" w:space="0" w:color="auto"/>
            </w:tcBorders>
            <w:shd w:val="clear" w:color="auto" w:fill="auto"/>
            <w:noWrap/>
            <w:vAlign w:val="bottom"/>
            <w:hideMark/>
          </w:tcPr>
          <w:p w14:paraId="68C8205E" w14:textId="77777777" w:rsidR="00C1568B" w:rsidRPr="00A52AEE" w:rsidRDefault="00C1568B" w:rsidP="00FE68E8">
            <w:pPr>
              <w:jc w:val="right"/>
              <w:rPr>
                <w:lang w:eastAsia="en-GB"/>
              </w:rPr>
            </w:pPr>
            <w:r w:rsidRPr="00A52AEE">
              <w:rPr>
                <w:lang w:eastAsia="en-GB"/>
              </w:rPr>
              <w:t>15%</w:t>
            </w:r>
          </w:p>
        </w:tc>
      </w:tr>
      <w:tr w:rsidR="00C1568B" w:rsidRPr="00A52AEE" w14:paraId="1E166036"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95BE164" w14:textId="77777777" w:rsidR="00C1568B" w:rsidRPr="00A52AEE" w:rsidRDefault="00C1568B" w:rsidP="00A52AEE">
            <w:pPr>
              <w:rPr>
                <w:lang w:eastAsia="en-GB"/>
              </w:rPr>
            </w:pPr>
            <w:r w:rsidRPr="00A52AEE">
              <w:rPr>
                <w:lang w:eastAsia="en-GB"/>
              </w:rPr>
              <w:t>Havering</w:t>
            </w:r>
          </w:p>
        </w:tc>
        <w:tc>
          <w:tcPr>
            <w:tcW w:w="621" w:type="pct"/>
            <w:tcBorders>
              <w:top w:val="nil"/>
              <w:left w:val="nil"/>
              <w:bottom w:val="single" w:sz="4" w:space="0" w:color="auto"/>
              <w:right w:val="single" w:sz="4" w:space="0" w:color="auto"/>
            </w:tcBorders>
            <w:shd w:val="clear" w:color="auto" w:fill="auto"/>
            <w:noWrap/>
            <w:vAlign w:val="bottom"/>
            <w:hideMark/>
          </w:tcPr>
          <w:p w14:paraId="34E2945E" w14:textId="77777777" w:rsidR="00C1568B" w:rsidRPr="00A52AEE" w:rsidRDefault="00C1568B" w:rsidP="00FE68E8">
            <w:pPr>
              <w:jc w:val="right"/>
              <w:rPr>
                <w:lang w:eastAsia="en-GB"/>
              </w:rPr>
            </w:pPr>
            <w:r w:rsidRPr="00A52AEE">
              <w:rPr>
                <w:lang w:eastAsia="en-GB"/>
              </w:rPr>
              <w:t>4%</w:t>
            </w:r>
          </w:p>
        </w:tc>
        <w:tc>
          <w:tcPr>
            <w:tcW w:w="576" w:type="pct"/>
            <w:tcBorders>
              <w:top w:val="nil"/>
              <w:left w:val="nil"/>
              <w:bottom w:val="single" w:sz="4" w:space="0" w:color="auto"/>
              <w:right w:val="single" w:sz="4" w:space="0" w:color="auto"/>
            </w:tcBorders>
            <w:shd w:val="clear" w:color="auto" w:fill="auto"/>
            <w:noWrap/>
            <w:vAlign w:val="bottom"/>
            <w:hideMark/>
          </w:tcPr>
          <w:p w14:paraId="7362A839" w14:textId="77777777" w:rsidR="00C1568B" w:rsidRPr="00A52AEE" w:rsidRDefault="00C1568B" w:rsidP="00FE68E8">
            <w:pPr>
              <w:jc w:val="right"/>
              <w:rPr>
                <w:lang w:eastAsia="en-GB"/>
              </w:rPr>
            </w:pPr>
            <w:r w:rsidRPr="00A52AEE">
              <w:rPr>
                <w:lang w:eastAsia="en-GB"/>
              </w:rPr>
              <w:t>27%</w:t>
            </w:r>
          </w:p>
        </w:tc>
        <w:tc>
          <w:tcPr>
            <w:tcW w:w="741" w:type="pct"/>
            <w:tcBorders>
              <w:top w:val="nil"/>
              <w:left w:val="nil"/>
              <w:bottom w:val="single" w:sz="4" w:space="0" w:color="auto"/>
              <w:right w:val="single" w:sz="4" w:space="0" w:color="auto"/>
            </w:tcBorders>
            <w:shd w:val="clear" w:color="auto" w:fill="auto"/>
            <w:noWrap/>
            <w:vAlign w:val="bottom"/>
            <w:hideMark/>
          </w:tcPr>
          <w:p w14:paraId="2ADC76E3" w14:textId="77777777" w:rsidR="00C1568B" w:rsidRPr="00A52AEE" w:rsidRDefault="00C1568B" w:rsidP="00FE68E8">
            <w:pPr>
              <w:jc w:val="right"/>
              <w:rPr>
                <w:lang w:eastAsia="en-GB"/>
              </w:rPr>
            </w:pPr>
            <w:r w:rsidRPr="00A52AEE">
              <w:rPr>
                <w:lang w:eastAsia="en-GB"/>
              </w:rPr>
              <w:t>34%</w:t>
            </w:r>
          </w:p>
        </w:tc>
        <w:tc>
          <w:tcPr>
            <w:tcW w:w="492" w:type="pct"/>
            <w:tcBorders>
              <w:top w:val="nil"/>
              <w:left w:val="nil"/>
              <w:bottom w:val="single" w:sz="4" w:space="0" w:color="auto"/>
              <w:right w:val="single" w:sz="4" w:space="0" w:color="auto"/>
            </w:tcBorders>
            <w:shd w:val="clear" w:color="auto" w:fill="auto"/>
            <w:noWrap/>
            <w:vAlign w:val="bottom"/>
            <w:hideMark/>
          </w:tcPr>
          <w:p w14:paraId="66C9B6C2" w14:textId="77777777" w:rsidR="00C1568B" w:rsidRPr="00A52AEE" w:rsidRDefault="00C1568B" w:rsidP="00FE68E8">
            <w:pPr>
              <w:jc w:val="right"/>
              <w:rPr>
                <w:lang w:eastAsia="en-GB"/>
              </w:rPr>
            </w:pPr>
            <w:r w:rsidRPr="00A52AEE">
              <w:rPr>
                <w:lang w:eastAsia="en-GB"/>
              </w:rPr>
              <w:t>13%</w:t>
            </w:r>
          </w:p>
        </w:tc>
        <w:tc>
          <w:tcPr>
            <w:tcW w:w="905" w:type="pct"/>
            <w:tcBorders>
              <w:top w:val="nil"/>
              <w:left w:val="nil"/>
              <w:bottom w:val="single" w:sz="4" w:space="0" w:color="auto"/>
              <w:right w:val="single" w:sz="4" w:space="0" w:color="auto"/>
            </w:tcBorders>
            <w:shd w:val="clear" w:color="auto" w:fill="auto"/>
            <w:noWrap/>
            <w:vAlign w:val="bottom"/>
            <w:hideMark/>
          </w:tcPr>
          <w:p w14:paraId="63751793" w14:textId="77777777" w:rsidR="00C1568B" w:rsidRPr="00A52AEE" w:rsidRDefault="00C1568B" w:rsidP="00FE68E8">
            <w:pPr>
              <w:jc w:val="right"/>
              <w:rPr>
                <w:lang w:eastAsia="en-GB"/>
              </w:rPr>
            </w:pPr>
            <w:r w:rsidRPr="00A52AEE">
              <w:rPr>
                <w:lang w:eastAsia="en-GB"/>
              </w:rPr>
              <w:t>23%</w:t>
            </w:r>
          </w:p>
        </w:tc>
      </w:tr>
      <w:tr w:rsidR="00C1568B" w:rsidRPr="00A52AEE" w14:paraId="78BE7BA7"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B75AA1E" w14:textId="77777777" w:rsidR="00C1568B" w:rsidRPr="00A52AEE" w:rsidRDefault="00C1568B" w:rsidP="00A52AEE">
            <w:pPr>
              <w:rPr>
                <w:lang w:eastAsia="en-GB"/>
              </w:rPr>
            </w:pPr>
            <w:r w:rsidRPr="00A52AEE">
              <w:rPr>
                <w:lang w:eastAsia="en-GB"/>
              </w:rPr>
              <w:t>Hillingdon</w:t>
            </w:r>
          </w:p>
        </w:tc>
        <w:tc>
          <w:tcPr>
            <w:tcW w:w="621" w:type="pct"/>
            <w:tcBorders>
              <w:top w:val="nil"/>
              <w:left w:val="nil"/>
              <w:bottom w:val="single" w:sz="4" w:space="0" w:color="auto"/>
              <w:right w:val="single" w:sz="4" w:space="0" w:color="auto"/>
            </w:tcBorders>
            <w:shd w:val="clear" w:color="auto" w:fill="auto"/>
            <w:noWrap/>
            <w:vAlign w:val="bottom"/>
            <w:hideMark/>
          </w:tcPr>
          <w:p w14:paraId="4C0C2B12" w14:textId="77777777" w:rsidR="00C1568B" w:rsidRPr="00A52AEE" w:rsidRDefault="00C1568B" w:rsidP="00FE68E8">
            <w:pPr>
              <w:jc w:val="right"/>
              <w:rPr>
                <w:lang w:eastAsia="en-GB"/>
              </w:rPr>
            </w:pPr>
            <w:r w:rsidRPr="00A52AEE">
              <w:rPr>
                <w:lang w:eastAsia="en-GB"/>
              </w:rPr>
              <w:t>7%</w:t>
            </w:r>
          </w:p>
        </w:tc>
        <w:tc>
          <w:tcPr>
            <w:tcW w:w="576" w:type="pct"/>
            <w:tcBorders>
              <w:top w:val="nil"/>
              <w:left w:val="nil"/>
              <w:bottom w:val="single" w:sz="4" w:space="0" w:color="auto"/>
              <w:right w:val="single" w:sz="4" w:space="0" w:color="auto"/>
            </w:tcBorders>
            <w:shd w:val="clear" w:color="auto" w:fill="auto"/>
            <w:noWrap/>
            <w:vAlign w:val="bottom"/>
            <w:hideMark/>
          </w:tcPr>
          <w:p w14:paraId="09DD3A25" w14:textId="77777777" w:rsidR="00C1568B" w:rsidRPr="00A52AEE" w:rsidRDefault="00C1568B" w:rsidP="00FE68E8">
            <w:pPr>
              <w:jc w:val="right"/>
              <w:rPr>
                <w:lang w:eastAsia="en-GB"/>
              </w:rPr>
            </w:pPr>
            <w:r w:rsidRPr="00A52AEE">
              <w:rPr>
                <w:lang w:eastAsia="en-GB"/>
              </w:rPr>
              <w:t>39%</w:t>
            </w:r>
          </w:p>
        </w:tc>
        <w:tc>
          <w:tcPr>
            <w:tcW w:w="741" w:type="pct"/>
            <w:tcBorders>
              <w:top w:val="nil"/>
              <w:left w:val="nil"/>
              <w:bottom w:val="single" w:sz="4" w:space="0" w:color="auto"/>
              <w:right w:val="single" w:sz="4" w:space="0" w:color="auto"/>
            </w:tcBorders>
            <w:shd w:val="clear" w:color="auto" w:fill="auto"/>
            <w:noWrap/>
            <w:vAlign w:val="bottom"/>
            <w:hideMark/>
          </w:tcPr>
          <w:p w14:paraId="070C4070" w14:textId="77777777" w:rsidR="00C1568B" w:rsidRPr="00A52AEE" w:rsidRDefault="00C1568B" w:rsidP="00FE68E8">
            <w:pPr>
              <w:jc w:val="right"/>
              <w:rPr>
                <w:lang w:eastAsia="en-GB"/>
              </w:rPr>
            </w:pPr>
            <w:r w:rsidRPr="00A52AEE">
              <w:rPr>
                <w:lang w:eastAsia="en-GB"/>
              </w:rPr>
              <w:t>13%</w:t>
            </w:r>
          </w:p>
        </w:tc>
        <w:tc>
          <w:tcPr>
            <w:tcW w:w="492" w:type="pct"/>
            <w:tcBorders>
              <w:top w:val="nil"/>
              <w:left w:val="nil"/>
              <w:bottom w:val="single" w:sz="4" w:space="0" w:color="auto"/>
              <w:right w:val="single" w:sz="4" w:space="0" w:color="auto"/>
            </w:tcBorders>
            <w:shd w:val="clear" w:color="auto" w:fill="auto"/>
            <w:noWrap/>
            <w:vAlign w:val="bottom"/>
            <w:hideMark/>
          </w:tcPr>
          <w:p w14:paraId="7C10B57E" w14:textId="77777777" w:rsidR="00C1568B" w:rsidRPr="00A52AEE" w:rsidRDefault="00C1568B" w:rsidP="00FE68E8">
            <w:pPr>
              <w:jc w:val="right"/>
              <w:rPr>
                <w:lang w:eastAsia="en-GB"/>
              </w:rPr>
            </w:pPr>
            <w:r w:rsidRPr="00A52AEE">
              <w:rPr>
                <w:lang w:eastAsia="en-GB"/>
              </w:rPr>
              <w:t>17%</w:t>
            </w:r>
          </w:p>
        </w:tc>
        <w:tc>
          <w:tcPr>
            <w:tcW w:w="905" w:type="pct"/>
            <w:tcBorders>
              <w:top w:val="nil"/>
              <w:left w:val="nil"/>
              <w:bottom w:val="single" w:sz="4" w:space="0" w:color="auto"/>
              <w:right w:val="single" w:sz="4" w:space="0" w:color="auto"/>
            </w:tcBorders>
            <w:shd w:val="clear" w:color="auto" w:fill="auto"/>
            <w:noWrap/>
            <w:vAlign w:val="bottom"/>
            <w:hideMark/>
          </w:tcPr>
          <w:p w14:paraId="280F9471" w14:textId="77777777" w:rsidR="00C1568B" w:rsidRPr="00A52AEE" w:rsidRDefault="00C1568B" w:rsidP="00FE68E8">
            <w:pPr>
              <w:jc w:val="right"/>
              <w:rPr>
                <w:lang w:eastAsia="en-GB"/>
              </w:rPr>
            </w:pPr>
            <w:r w:rsidRPr="00A52AEE">
              <w:rPr>
                <w:lang w:eastAsia="en-GB"/>
              </w:rPr>
              <w:t>24%</w:t>
            </w:r>
          </w:p>
        </w:tc>
      </w:tr>
      <w:tr w:rsidR="00C1568B" w:rsidRPr="00A52AEE" w14:paraId="14F6BBCC"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E9AB63F" w14:textId="77777777" w:rsidR="00C1568B" w:rsidRPr="00A52AEE" w:rsidRDefault="00C1568B" w:rsidP="00A52AEE">
            <w:pPr>
              <w:rPr>
                <w:lang w:eastAsia="en-GB"/>
              </w:rPr>
            </w:pPr>
            <w:r w:rsidRPr="00A52AEE">
              <w:rPr>
                <w:lang w:eastAsia="en-GB"/>
              </w:rPr>
              <w:t>Hounslow</w:t>
            </w:r>
          </w:p>
        </w:tc>
        <w:tc>
          <w:tcPr>
            <w:tcW w:w="621" w:type="pct"/>
            <w:tcBorders>
              <w:top w:val="nil"/>
              <w:left w:val="nil"/>
              <w:bottom w:val="single" w:sz="4" w:space="0" w:color="auto"/>
              <w:right w:val="single" w:sz="4" w:space="0" w:color="auto"/>
            </w:tcBorders>
            <w:shd w:val="clear" w:color="auto" w:fill="auto"/>
            <w:noWrap/>
            <w:vAlign w:val="bottom"/>
            <w:hideMark/>
          </w:tcPr>
          <w:p w14:paraId="504E5D09" w14:textId="77777777" w:rsidR="00C1568B" w:rsidRPr="00A52AEE" w:rsidRDefault="00C1568B" w:rsidP="00FE68E8">
            <w:pPr>
              <w:jc w:val="right"/>
              <w:rPr>
                <w:lang w:eastAsia="en-GB"/>
              </w:rPr>
            </w:pPr>
            <w:r w:rsidRPr="00A52AEE">
              <w:rPr>
                <w:lang w:eastAsia="en-GB"/>
              </w:rPr>
              <w:t>8%</w:t>
            </w:r>
          </w:p>
        </w:tc>
        <w:tc>
          <w:tcPr>
            <w:tcW w:w="576" w:type="pct"/>
            <w:tcBorders>
              <w:top w:val="nil"/>
              <w:left w:val="nil"/>
              <w:bottom w:val="single" w:sz="4" w:space="0" w:color="auto"/>
              <w:right w:val="single" w:sz="4" w:space="0" w:color="auto"/>
            </w:tcBorders>
            <w:shd w:val="clear" w:color="auto" w:fill="auto"/>
            <w:noWrap/>
            <w:vAlign w:val="bottom"/>
            <w:hideMark/>
          </w:tcPr>
          <w:p w14:paraId="69540D6A" w14:textId="77777777" w:rsidR="00C1568B" w:rsidRPr="00A52AEE" w:rsidRDefault="00C1568B" w:rsidP="00FE68E8">
            <w:pPr>
              <w:jc w:val="right"/>
              <w:rPr>
                <w:lang w:eastAsia="en-GB"/>
              </w:rPr>
            </w:pPr>
            <w:r w:rsidRPr="00A52AEE">
              <w:rPr>
                <w:lang w:eastAsia="en-GB"/>
              </w:rPr>
              <w:t>36%</w:t>
            </w:r>
          </w:p>
        </w:tc>
        <w:tc>
          <w:tcPr>
            <w:tcW w:w="741" w:type="pct"/>
            <w:tcBorders>
              <w:top w:val="nil"/>
              <w:left w:val="nil"/>
              <w:bottom w:val="single" w:sz="4" w:space="0" w:color="auto"/>
              <w:right w:val="single" w:sz="4" w:space="0" w:color="auto"/>
            </w:tcBorders>
            <w:shd w:val="clear" w:color="auto" w:fill="auto"/>
            <w:noWrap/>
            <w:vAlign w:val="bottom"/>
            <w:hideMark/>
          </w:tcPr>
          <w:p w14:paraId="589391F8" w14:textId="77777777" w:rsidR="00C1568B" w:rsidRPr="00A52AEE" w:rsidRDefault="00C1568B" w:rsidP="00FE68E8">
            <w:pPr>
              <w:jc w:val="right"/>
              <w:rPr>
                <w:lang w:eastAsia="en-GB"/>
              </w:rPr>
            </w:pPr>
            <w:r w:rsidRPr="00A52AEE">
              <w:rPr>
                <w:lang w:eastAsia="en-GB"/>
              </w:rPr>
              <w:t>23%</w:t>
            </w:r>
          </w:p>
        </w:tc>
        <w:tc>
          <w:tcPr>
            <w:tcW w:w="492" w:type="pct"/>
            <w:tcBorders>
              <w:top w:val="nil"/>
              <w:left w:val="nil"/>
              <w:bottom w:val="single" w:sz="4" w:space="0" w:color="auto"/>
              <w:right w:val="single" w:sz="4" w:space="0" w:color="auto"/>
            </w:tcBorders>
            <w:shd w:val="clear" w:color="auto" w:fill="auto"/>
            <w:noWrap/>
            <w:vAlign w:val="bottom"/>
            <w:hideMark/>
          </w:tcPr>
          <w:p w14:paraId="3053B79A"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16B766FD" w14:textId="77777777" w:rsidR="00C1568B" w:rsidRPr="00A52AEE" w:rsidRDefault="00C1568B" w:rsidP="00FE68E8">
            <w:pPr>
              <w:jc w:val="right"/>
              <w:rPr>
                <w:lang w:eastAsia="en-GB"/>
              </w:rPr>
            </w:pPr>
            <w:r w:rsidRPr="00A52AEE">
              <w:rPr>
                <w:lang w:eastAsia="en-GB"/>
              </w:rPr>
              <w:t>23%</w:t>
            </w:r>
          </w:p>
        </w:tc>
      </w:tr>
      <w:tr w:rsidR="00C1568B" w:rsidRPr="00A52AEE" w14:paraId="73F8B7AF"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88F4A50" w14:textId="77777777" w:rsidR="00C1568B" w:rsidRPr="00A52AEE" w:rsidRDefault="00C1568B" w:rsidP="00A52AEE">
            <w:pPr>
              <w:rPr>
                <w:lang w:eastAsia="en-GB"/>
              </w:rPr>
            </w:pPr>
            <w:r w:rsidRPr="00A52AEE">
              <w:rPr>
                <w:lang w:eastAsia="en-GB"/>
              </w:rPr>
              <w:t>Islington</w:t>
            </w:r>
          </w:p>
        </w:tc>
        <w:tc>
          <w:tcPr>
            <w:tcW w:w="621" w:type="pct"/>
            <w:tcBorders>
              <w:top w:val="nil"/>
              <w:left w:val="nil"/>
              <w:bottom w:val="single" w:sz="4" w:space="0" w:color="auto"/>
              <w:right w:val="single" w:sz="4" w:space="0" w:color="auto"/>
            </w:tcBorders>
            <w:shd w:val="clear" w:color="auto" w:fill="auto"/>
            <w:noWrap/>
            <w:vAlign w:val="bottom"/>
            <w:hideMark/>
          </w:tcPr>
          <w:p w14:paraId="0C22CAAA" w14:textId="77777777" w:rsidR="00C1568B" w:rsidRPr="00A52AEE" w:rsidRDefault="00C1568B" w:rsidP="00FE68E8">
            <w:pPr>
              <w:jc w:val="right"/>
              <w:rPr>
                <w:lang w:eastAsia="en-GB"/>
              </w:rPr>
            </w:pPr>
            <w:r w:rsidRPr="00A52AEE">
              <w:rPr>
                <w:lang w:eastAsia="en-GB"/>
              </w:rPr>
              <w:t>13%</w:t>
            </w:r>
          </w:p>
        </w:tc>
        <w:tc>
          <w:tcPr>
            <w:tcW w:w="576" w:type="pct"/>
            <w:tcBorders>
              <w:top w:val="nil"/>
              <w:left w:val="nil"/>
              <w:bottom w:val="single" w:sz="4" w:space="0" w:color="auto"/>
              <w:right w:val="single" w:sz="4" w:space="0" w:color="auto"/>
            </w:tcBorders>
            <w:shd w:val="clear" w:color="auto" w:fill="auto"/>
            <w:noWrap/>
            <w:vAlign w:val="bottom"/>
            <w:hideMark/>
          </w:tcPr>
          <w:p w14:paraId="2DC588F1" w14:textId="77777777" w:rsidR="00C1568B" w:rsidRPr="00A52AEE" w:rsidRDefault="00C1568B" w:rsidP="00FE68E8">
            <w:pPr>
              <w:jc w:val="right"/>
              <w:rPr>
                <w:lang w:eastAsia="en-GB"/>
              </w:rPr>
            </w:pPr>
            <w:r w:rsidRPr="00A52AEE">
              <w:rPr>
                <w:lang w:eastAsia="en-GB"/>
              </w:rPr>
              <w:t>29%</w:t>
            </w:r>
          </w:p>
        </w:tc>
        <w:tc>
          <w:tcPr>
            <w:tcW w:w="741" w:type="pct"/>
            <w:tcBorders>
              <w:top w:val="nil"/>
              <w:left w:val="nil"/>
              <w:bottom w:val="single" w:sz="4" w:space="0" w:color="auto"/>
              <w:right w:val="single" w:sz="4" w:space="0" w:color="auto"/>
            </w:tcBorders>
            <w:shd w:val="clear" w:color="auto" w:fill="auto"/>
            <w:noWrap/>
            <w:vAlign w:val="bottom"/>
            <w:hideMark/>
          </w:tcPr>
          <w:p w14:paraId="0E234D56" w14:textId="77777777" w:rsidR="00C1568B" w:rsidRPr="00A52AEE" w:rsidRDefault="00C1568B" w:rsidP="00FE68E8">
            <w:pPr>
              <w:jc w:val="right"/>
              <w:rPr>
                <w:lang w:eastAsia="en-GB"/>
              </w:rPr>
            </w:pPr>
            <w:r w:rsidRPr="00A52AEE">
              <w:rPr>
                <w:lang w:eastAsia="en-GB"/>
              </w:rPr>
              <w:t>26%</w:t>
            </w:r>
          </w:p>
        </w:tc>
        <w:tc>
          <w:tcPr>
            <w:tcW w:w="492" w:type="pct"/>
            <w:tcBorders>
              <w:top w:val="nil"/>
              <w:left w:val="nil"/>
              <w:bottom w:val="single" w:sz="4" w:space="0" w:color="auto"/>
              <w:right w:val="single" w:sz="4" w:space="0" w:color="auto"/>
            </w:tcBorders>
            <w:shd w:val="clear" w:color="auto" w:fill="auto"/>
            <w:noWrap/>
            <w:vAlign w:val="bottom"/>
            <w:hideMark/>
          </w:tcPr>
          <w:p w14:paraId="7B5A902A"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5C5996BD" w14:textId="77777777" w:rsidR="00C1568B" w:rsidRPr="00A52AEE" w:rsidRDefault="00C1568B" w:rsidP="00FE68E8">
            <w:pPr>
              <w:jc w:val="right"/>
              <w:rPr>
                <w:lang w:eastAsia="en-GB"/>
              </w:rPr>
            </w:pPr>
            <w:r w:rsidRPr="00A52AEE">
              <w:rPr>
                <w:lang w:eastAsia="en-GB"/>
              </w:rPr>
              <w:t>22%</w:t>
            </w:r>
          </w:p>
        </w:tc>
      </w:tr>
      <w:tr w:rsidR="00C1568B" w:rsidRPr="00A52AEE" w14:paraId="0C1FB298"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7ABAB6A" w14:textId="77777777" w:rsidR="00C1568B" w:rsidRPr="00A52AEE" w:rsidRDefault="00C1568B" w:rsidP="00A52AEE">
            <w:pPr>
              <w:rPr>
                <w:lang w:eastAsia="en-GB"/>
              </w:rPr>
            </w:pPr>
            <w:r w:rsidRPr="00A52AEE">
              <w:rPr>
                <w:lang w:eastAsia="en-GB"/>
              </w:rPr>
              <w:t>Kensington and Chelsea</w:t>
            </w:r>
          </w:p>
        </w:tc>
        <w:tc>
          <w:tcPr>
            <w:tcW w:w="621" w:type="pct"/>
            <w:tcBorders>
              <w:top w:val="nil"/>
              <w:left w:val="nil"/>
              <w:bottom w:val="single" w:sz="4" w:space="0" w:color="auto"/>
              <w:right w:val="single" w:sz="4" w:space="0" w:color="auto"/>
            </w:tcBorders>
            <w:shd w:val="clear" w:color="auto" w:fill="auto"/>
            <w:noWrap/>
            <w:vAlign w:val="bottom"/>
            <w:hideMark/>
          </w:tcPr>
          <w:p w14:paraId="7FDBB847" w14:textId="77777777" w:rsidR="00C1568B" w:rsidRPr="00A52AEE" w:rsidRDefault="00C1568B" w:rsidP="00FE68E8">
            <w:pPr>
              <w:jc w:val="right"/>
              <w:rPr>
                <w:lang w:eastAsia="en-GB"/>
              </w:rPr>
            </w:pPr>
            <w:r w:rsidRPr="00A52AEE">
              <w:rPr>
                <w:lang w:eastAsia="en-GB"/>
              </w:rPr>
              <w:t>15%</w:t>
            </w:r>
          </w:p>
        </w:tc>
        <w:tc>
          <w:tcPr>
            <w:tcW w:w="576" w:type="pct"/>
            <w:tcBorders>
              <w:top w:val="nil"/>
              <w:left w:val="nil"/>
              <w:bottom w:val="single" w:sz="4" w:space="0" w:color="auto"/>
              <w:right w:val="single" w:sz="4" w:space="0" w:color="auto"/>
            </w:tcBorders>
            <w:shd w:val="clear" w:color="auto" w:fill="auto"/>
            <w:noWrap/>
            <w:vAlign w:val="bottom"/>
            <w:hideMark/>
          </w:tcPr>
          <w:p w14:paraId="2B397388" w14:textId="77777777" w:rsidR="00C1568B" w:rsidRPr="00A52AEE" w:rsidRDefault="00C1568B" w:rsidP="00FE68E8">
            <w:pPr>
              <w:jc w:val="right"/>
              <w:rPr>
                <w:lang w:eastAsia="en-GB"/>
              </w:rPr>
            </w:pPr>
            <w:r w:rsidRPr="00A52AEE">
              <w:rPr>
                <w:lang w:eastAsia="en-GB"/>
              </w:rPr>
              <w:t>30%</w:t>
            </w:r>
          </w:p>
        </w:tc>
        <w:tc>
          <w:tcPr>
            <w:tcW w:w="741" w:type="pct"/>
            <w:tcBorders>
              <w:top w:val="nil"/>
              <w:left w:val="nil"/>
              <w:bottom w:val="single" w:sz="4" w:space="0" w:color="auto"/>
              <w:right w:val="single" w:sz="4" w:space="0" w:color="auto"/>
            </w:tcBorders>
            <w:shd w:val="clear" w:color="auto" w:fill="auto"/>
            <w:noWrap/>
            <w:vAlign w:val="bottom"/>
            <w:hideMark/>
          </w:tcPr>
          <w:p w14:paraId="5611E612" w14:textId="77777777" w:rsidR="00C1568B" w:rsidRPr="00A52AEE" w:rsidRDefault="00C1568B" w:rsidP="00FE68E8">
            <w:pPr>
              <w:jc w:val="right"/>
              <w:rPr>
                <w:lang w:eastAsia="en-GB"/>
              </w:rPr>
            </w:pPr>
            <w:r w:rsidRPr="00A52AEE">
              <w:rPr>
                <w:lang w:eastAsia="en-GB"/>
              </w:rPr>
              <w:t>24%</w:t>
            </w:r>
          </w:p>
        </w:tc>
        <w:tc>
          <w:tcPr>
            <w:tcW w:w="492" w:type="pct"/>
            <w:tcBorders>
              <w:top w:val="nil"/>
              <w:left w:val="nil"/>
              <w:bottom w:val="single" w:sz="4" w:space="0" w:color="auto"/>
              <w:right w:val="single" w:sz="4" w:space="0" w:color="auto"/>
            </w:tcBorders>
            <w:shd w:val="clear" w:color="auto" w:fill="auto"/>
            <w:noWrap/>
            <w:vAlign w:val="bottom"/>
            <w:hideMark/>
          </w:tcPr>
          <w:p w14:paraId="07B42D30"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26364C74" w14:textId="77777777" w:rsidR="00C1568B" w:rsidRPr="00A52AEE" w:rsidRDefault="00C1568B" w:rsidP="00FE68E8">
            <w:pPr>
              <w:jc w:val="right"/>
              <w:rPr>
                <w:lang w:eastAsia="en-GB"/>
              </w:rPr>
            </w:pPr>
            <w:r w:rsidRPr="00A52AEE">
              <w:rPr>
                <w:lang w:eastAsia="en-GB"/>
              </w:rPr>
              <w:t>20%</w:t>
            </w:r>
          </w:p>
        </w:tc>
      </w:tr>
      <w:tr w:rsidR="00C1568B" w:rsidRPr="00A52AEE" w14:paraId="10719993"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7132A64" w14:textId="77777777" w:rsidR="00C1568B" w:rsidRPr="00A52AEE" w:rsidRDefault="00C1568B" w:rsidP="00A52AEE">
            <w:pPr>
              <w:rPr>
                <w:lang w:eastAsia="en-GB"/>
              </w:rPr>
            </w:pPr>
            <w:r w:rsidRPr="00A52AEE">
              <w:rPr>
                <w:lang w:eastAsia="en-GB"/>
              </w:rPr>
              <w:t>Kingston upon Thames</w:t>
            </w:r>
          </w:p>
        </w:tc>
        <w:tc>
          <w:tcPr>
            <w:tcW w:w="621" w:type="pct"/>
            <w:tcBorders>
              <w:top w:val="nil"/>
              <w:left w:val="nil"/>
              <w:bottom w:val="single" w:sz="4" w:space="0" w:color="auto"/>
              <w:right w:val="single" w:sz="4" w:space="0" w:color="auto"/>
            </w:tcBorders>
            <w:shd w:val="clear" w:color="auto" w:fill="auto"/>
            <w:noWrap/>
            <w:vAlign w:val="bottom"/>
            <w:hideMark/>
          </w:tcPr>
          <w:p w14:paraId="754E0881"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4DA93652" w14:textId="77777777" w:rsidR="00C1568B" w:rsidRPr="00A52AEE" w:rsidRDefault="00C1568B" w:rsidP="00FE68E8">
            <w:pPr>
              <w:jc w:val="right"/>
              <w:rPr>
                <w:lang w:eastAsia="en-GB"/>
              </w:rPr>
            </w:pPr>
            <w:r w:rsidRPr="00A52AEE">
              <w:rPr>
                <w:lang w:eastAsia="en-GB"/>
              </w:rPr>
              <w:t>26%</w:t>
            </w:r>
          </w:p>
        </w:tc>
        <w:tc>
          <w:tcPr>
            <w:tcW w:w="741" w:type="pct"/>
            <w:tcBorders>
              <w:top w:val="nil"/>
              <w:left w:val="nil"/>
              <w:bottom w:val="single" w:sz="4" w:space="0" w:color="auto"/>
              <w:right w:val="single" w:sz="4" w:space="0" w:color="auto"/>
            </w:tcBorders>
            <w:shd w:val="clear" w:color="auto" w:fill="auto"/>
            <w:noWrap/>
            <w:vAlign w:val="bottom"/>
            <w:hideMark/>
          </w:tcPr>
          <w:p w14:paraId="6F95D28F" w14:textId="77777777" w:rsidR="00C1568B" w:rsidRPr="00A52AEE" w:rsidRDefault="00C1568B" w:rsidP="00FE68E8">
            <w:pPr>
              <w:jc w:val="right"/>
              <w:rPr>
                <w:lang w:eastAsia="en-GB"/>
              </w:rPr>
            </w:pPr>
            <w:r w:rsidRPr="00A52AEE">
              <w:rPr>
                <w:lang w:eastAsia="en-GB"/>
              </w:rPr>
              <w:t>17%</w:t>
            </w:r>
          </w:p>
        </w:tc>
        <w:tc>
          <w:tcPr>
            <w:tcW w:w="492" w:type="pct"/>
            <w:tcBorders>
              <w:top w:val="nil"/>
              <w:left w:val="nil"/>
              <w:bottom w:val="single" w:sz="4" w:space="0" w:color="auto"/>
              <w:right w:val="single" w:sz="4" w:space="0" w:color="auto"/>
            </w:tcBorders>
            <w:shd w:val="clear" w:color="auto" w:fill="auto"/>
            <w:noWrap/>
            <w:vAlign w:val="bottom"/>
            <w:hideMark/>
          </w:tcPr>
          <w:p w14:paraId="61BBB1EE" w14:textId="77777777" w:rsidR="00C1568B" w:rsidRPr="00A52AEE" w:rsidRDefault="00C1568B" w:rsidP="00FE68E8">
            <w:pPr>
              <w:jc w:val="right"/>
              <w:rPr>
                <w:lang w:eastAsia="en-GB"/>
              </w:rPr>
            </w:pPr>
            <w:r w:rsidRPr="00A52AEE">
              <w:rPr>
                <w:lang w:eastAsia="en-GB"/>
              </w:rPr>
              <w:t>15%</w:t>
            </w:r>
          </w:p>
        </w:tc>
        <w:tc>
          <w:tcPr>
            <w:tcW w:w="905" w:type="pct"/>
            <w:tcBorders>
              <w:top w:val="nil"/>
              <w:left w:val="nil"/>
              <w:bottom w:val="single" w:sz="4" w:space="0" w:color="auto"/>
              <w:right w:val="single" w:sz="4" w:space="0" w:color="auto"/>
            </w:tcBorders>
            <w:shd w:val="clear" w:color="auto" w:fill="auto"/>
            <w:noWrap/>
            <w:vAlign w:val="bottom"/>
            <w:hideMark/>
          </w:tcPr>
          <w:p w14:paraId="78A5EC92" w14:textId="77777777" w:rsidR="00C1568B" w:rsidRPr="00A52AEE" w:rsidRDefault="00C1568B" w:rsidP="00FE68E8">
            <w:pPr>
              <w:jc w:val="right"/>
              <w:rPr>
                <w:lang w:eastAsia="en-GB"/>
              </w:rPr>
            </w:pPr>
            <w:r w:rsidRPr="00A52AEE">
              <w:rPr>
                <w:lang w:eastAsia="en-GB"/>
              </w:rPr>
              <w:t>31%</w:t>
            </w:r>
          </w:p>
        </w:tc>
      </w:tr>
      <w:tr w:rsidR="00C1568B" w:rsidRPr="00A52AEE" w14:paraId="75334B4E"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11D4BAE" w14:textId="77777777" w:rsidR="00C1568B" w:rsidRPr="00A52AEE" w:rsidRDefault="00C1568B" w:rsidP="00A52AEE">
            <w:pPr>
              <w:rPr>
                <w:lang w:eastAsia="en-GB"/>
              </w:rPr>
            </w:pPr>
            <w:r w:rsidRPr="00A52AEE">
              <w:rPr>
                <w:lang w:eastAsia="en-GB"/>
              </w:rPr>
              <w:t>Lambeth</w:t>
            </w:r>
          </w:p>
        </w:tc>
        <w:tc>
          <w:tcPr>
            <w:tcW w:w="621" w:type="pct"/>
            <w:tcBorders>
              <w:top w:val="nil"/>
              <w:left w:val="nil"/>
              <w:bottom w:val="single" w:sz="4" w:space="0" w:color="auto"/>
              <w:right w:val="single" w:sz="4" w:space="0" w:color="auto"/>
            </w:tcBorders>
            <w:shd w:val="clear" w:color="auto" w:fill="auto"/>
            <w:noWrap/>
            <w:vAlign w:val="bottom"/>
            <w:hideMark/>
          </w:tcPr>
          <w:p w14:paraId="0BED43A8"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284937CF" w14:textId="77777777" w:rsidR="00C1568B" w:rsidRPr="00A52AEE" w:rsidRDefault="00C1568B" w:rsidP="00FE68E8">
            <w:pPr>
              <w:jc w:val="right"/>
              <w:rPr>
                <w:lang w:eastAsia="en-GB"/>
              </w:rPr>
            </w:pPr>
            <w:r w:rsidRPr="00A52AEE">
              <w:rPr>
                <w:lang w:eastAsia="en-GB"/>
              </w:rPr>
              <w:t>32%</w:t>
            </w:r>
          </w:p>
        </w:tc>
        <w:tc>
          <w:tcPr>
            <w:tcW w:w="741" w:type="pct"/>
            <w:tcBorders>
              <w:top w:val="nil"/>
              <w:left w:val="nil"/>
              <w:bottom w:val="single" w:sz="4" w:space="0" w:color="auto"/>
              <w:right w:val="single" w:sz="4" w:space="0" w:color="auto"/>
            </w:tcBorders>
            <w:shd w:val="clear" w:color="auto" w:fill="auto"/>
            <w:noWrap/>
            <w:vAlign w:val="bottom"/>
            <w:hideMark/>
          </w:tcPr>
          <w:p w14:paraId="1BEEC762" w14:textId="77777777" w:rsidR="00C1568B" w:rsidRPr="00A52AEE" w:rsidRDefault="00C1568B" w:rsidP="00FE68E8">
            <w:pPr>
              <w:jc w:val="right"/>
              <w:rPr>
                <w:lang w:eastAsia="en-GB"/>
              </w:rPr>
            </w:pPr>
            <w:r w:rsidRPr="00A52AEE">
              <w:rPr>
                <w:lang w:eastAsia="en-GB"/>
              </w:rPr>
              <w:t>19%</w:t>
            </w:r>
          </w:p>
        </w:tc>
        <w:tc>
          <w:tcPr>
            <w:tcW w:w="492" w:type="pct"/>
            <w:tcBorders>
              <w:top w:val="nil"/>
              <w:left w:val="nil"/>
              <w:bottom w:val="single" w:sz="4" w:space="0" w:color="auto"/>
              <w:right w:val="single" w:sz="4" w:space="0" w:color="auto"/>
            </w:tcBorders>
            <w:shd w:val="clear" w:color="auto" w:fill="auto"/>
            <w:noWrap/>
            <w:vAlign w:val="bottom"/>
            <w:hideMark/>
          </w:tcPr>
          <w:p w14:paraId="3263C382" w14:textId="77777777" w:rsidR="00C1568B" w:rsidRPr="00A52AEE" w:rsidRDefault="00C1568B" w:rsidP="00FE68E8">
            <w:pPr>
              <w:jc w:val="right"/>
              <w:rPr>
                <w:lang w:eastAsia="en-GB"/>
              </w:rPr>
            </w:pPr>
            <w:r w:rsidRPr="00A52AEE">
              <w:rPr>
                <w:lang w:eastAsia="en-GB"/>
              </w:rPr>
              <w:t>12%</w:t>
            </w:r>
          </w:p>
        </w:tc>
        <w:tc>
          <w:tcPr>
            <w:tcW w:w="905" w:type="pct"/>
            <w:tcBorders>
              <w:top w:val="nil"/>
              <w:left w:val="nil"/>
              <w:bottom w:val="single" w:sz="4" w:space="0" w:color="auto"/>
              <w:right w:val="single" w:sz="4" w:space="0" w:color="auto"/>
            </w:tcBorders>
            <w:shd w:val="clear" w:color="auto" w:fill="auto"/>
            <w:noWrap/>
            <w:vAlign w:val="bottom"/>
            <w:hideMark/>
          </w:tcPr>
          <w:p w14:paraId="385021F3" w14:textId="77777777" w:rsidR="00C1568B" w:rsidRPr="00A52AEE" w:rsidRDefault="00C1568B" w:rsidP="00FE68E8">
            <w:pPr>
              <w:jc w:val="right"/>
              <w:rPr>
                <w:lang w:eastAsia="en-GB"/>
              </w:rPr>
            </w:pPr>
            <w:r w:rsidRPr="00A52AEE">
              <w:rPr>
                <w:lang w:eastAsia="en-GB"/>
              </w:rPr>
              <w:t>25%</w:t>
            </w:r>
          </w:p>
        </w:tc>
      </w:tr>
      <w:tr w:rsidR="00C1568B" w:rsidRPr="00A52AEE" w14:paraId="0B3C3485"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BDCDBFB" w14:textId="77777777" w:rsidR="00C1568B" w:rsidRPr="00A52AEE" w:rsidRDefault="00C1568B" w:rsidP="00A52AEE">
            <w:pPr>
              <w:rPr>
                <w:lang w:eastAsia="en-GB"/>
              </w:rPr>
            </w:pPr>
            <w:r w:rsidRPr="00A52AEE">
              <w:rPr>
                <w:lang w:eastAsia="en-GB"/>
              </w:rPr>
              <w:t>Lewisham</w:t>
            </w:r>
          </w:p>
        </w:tc>
        <w:tc>
          <w:tcPr>
            <w:tcW w:w="621" w:type="pct"/>
            <w:tcBorders>
              <w:top w:val="nil"/>
              <w:left w:val="nil"/>
              <w:bottom w:val="single" w:sz="4" w:space="0" w:color="auto"/>
              <w:right w:val="single" w:sz="4" w:space="0" w:color="auto"/>
            </w:tcBorders>
            <w:shd w:val="clear" w:color="auto" w:fill="auto"/>
            <w:noWrap/>
            <w:vAlign w:val="bottom"/>
            <w:hideMark/>
          </w:tcPr>
          <w:p w14:paraId="72F014B5" w14:textId="77777777" w:rsidR="00C1568B" w:rsidRPr="00A52AEE" w:rsidRDefault="00C1568B" w:rsidP="00FE68E8">
            <w:pPr>
              <w:jc w:val="right"/>
              <w:rPr>
                <w:lang w:eastAsia="en-GB"/>
              </w:rPr>
            </w:pPr>
            <w:r w:rsidRPr="00A52AEE">
              <w:rPr>
                <w:lang w:eastAsia="en-GB"/>
              </w:rPr>
              <w:t>13%</w:t>
            </w:r>
          </w:p>
        </w:tc>
        <w:tc>
          <w:tcPr>
            <w:tcW w:w="576" w:type="pct"/>
            <w:tcBorders>
              <w:top w:val="nil"/>
              <w:left w:val="nil"/>
              <w:bottom w:val="single" w:sz="4" w:space="0" w:color="auto"/>
              <w:right w:val="single" w:sz="4" w:space="0" w:color="auto"/>
            </w:tcBorders>
            <w:shd w:val="clear" w:color="auto" w:fill="auto"/>
            <w:noWrap/>
            <w:vAlign w:val="bottom"/>
            <w:hideMark/>
          </w:tcPr>
          <w:p w14:paraId="7F574C80" w14:textId="77777777" w:rsidR="00C1568B" w:rsidRPr="00A52AEE" w:rsidRDefault="00C1568B" w:rsidP="00FE68E8">
            <w:pPr>
              <w:jc w:val="right"/>
              <w:rPr>
                <w:lang w:eastAsia="en-GB"/>
              </w:rPr>
            </w:pPr>
            <w:r w:rsidRPr="00A52AEE">
              <w:rPr>
                <w:lang w:eastAsia="en-GB"/>
              </w:rPr>
              <w:t>28%</w:t>
            </w:r>
          </w:p>
        </w:tc>
        <w:tc>
          <w:tcPr>
            <w:tcW w:w="741" w:type="pct"/>
            <w:tcBorders>
              <w:top w:val="nil"/>
              <w:left w:val="nil"/>
              <w:bottom w:val="single" w:sz="4" w:space="0" w:color="auto"/>
              <w:right w:val="single" w:sz="4" w:space="0" w:color="auto"/>
            </w:tcBorders>
            <w:shd w:val="clear" w:color="auto" w:fill="auto"/>
            <w:noWrap/>
            <w:vAlign w:val="bottom"/>
            <w:hideMark/>
          </w:tcPr>
          <w:p w14:paraId="531EC84E" w14:textId="77777777" w:rsidR="00C1568B" w:rsidRPr="00A52AEE" w:rsidRDefault="00C1568B" w:rsidP="00FE68E8">
            <w:pPr>
              <w:jc w:val="right"/>
              <w:rPr>
                <w:lang w:eastAsia="en-GB"/>
              </w:rPr>
            </w:pPr>
            <w:r w:rsidRPr="00A52AEE">
              <w:rPr>
                <w:lang w:eastAsia="en-GB"/>
              </w:rPr>
              <w:t>24%</w:t>
            </w:r>
          </w:p>
        </w:tc>
        <w:tc>
          <w:tcPr>
            <w:tcW w:w="492" w:type="pct"/>
            <w:tcBorders>
              <w:top w:val="nil"/>
              <w:left w:val="nil"/>
              <w:bottom w:val="single" w:sz="4" w:space="0" w:color="auto"/>
              <w:right w:val="single" w:sz="4" w:space="0" w:color="auto"/>
            </w:tcBorders>
            <w:shd w:val="clear" w:color="auto" w:fill="auto"/>
            <w:noWrap/>
            <w:vAlign w:val="bottom"/>
            <w:hideMark/>
          </w:tcPr>
          <w:p w14:paraId="5EF73146" w14:textId="77777777" w:rsidR="00C1568B" w:rsidRPr="00A52AEE" w:rsidRDefault="00C1568B" w:rsidP="00FE68E8">
            <w:pPr>
              <w:jc w:val="right"/>
              <w:rPr>
                <w:lang w:eastAsia="en-GB"/>
              </w:rPr>
            </w:pPr>
            <w:r w:rsidRPr="00A52AEE">
              <w:rPr>
                <w:lang w:eastAsia="en-GB"/>
              </w:rPr>
              <w:t>14%</w:t>
            </w:r>
          </w:p>
        </w:tc>
        <w:tc>
          <w:tcPr>
            <w:tcW w:w="905" w:type="pct"/>
            <w:tcBorders>
              <w:top w:val="nil"/>
              <w:left w:val="nil"/>
              <w:bottom w:val="single" w:sz="4" w:space="0" w:color="auto"/>
              <w:right w:val="single" w:sz="4" w:space="0" w:color="auto"/>
            </w:tcBorders>
            <w:shd w:val="clear" w:color="auto" w:fill="auto"/>
            <w:noWrap/>
            <w:vAlign w:val="bottom"/>
            <w:hideMark/>
          </w:tcPr>
          <w:p w14:paraId="4C2A3B92" w14:textId="77777777" w:rsidR="00C1568B" w:rsidRPr="00A52AEE" w:rsidRDefault="00C1568B" w:rsidP="00FE68E8">
            <w:pPr>
              <w:jc w:val="right"/>
              <w:rPr>
                <w:lang w:eastAsia="en-GB"/>
              </w:rPr>
            </w:pPr>
            <w:r w:rsidRPr="00A52AEE">
              <w:rPr>
                <w:lang w:eastAsia="en-GB"/>
              </w:rPr>
              <w:t>22%</w:t>
            </w:r>
          </w:p>
        </w:tc>
      </w:tr>
      <w:tr w:rsidR="00C1568B" w:rsidRPr="00A52AEE" w14:paraId="614740B4"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FB79C0C" w14:textId="77777777" w:rsidR="00C1568B" w:rsidRPr="00A52AEE" w:rsidRDefault="00C1568B" w:rsidP="00A52AEE">
            <w:pPr>
              <w:rPr>
                <w:lang w:eastAsia="en-GB"/>
              </w:rPr>
            </w:pPr>
            <w:r w:rsidRPr="00A52AEE">
              <w:rPr>
                <w:lang w:eastAsia="en-GB"/>
              </w:rPr>
              <w:t>Merton</w:t>
            </w:r>
          </w:p>
        </w:tc>
        <w:tc>
          <w:tcPr>
            <w:tcW w:w="621" w:type="pct"/>
            <w:tcBorders>
              <w:top w:val="nil"/>
              <w:left w:val="nil"/>
              <w:bottom w:val="single" w:sz="4" w:space="0" w:color="auto"/>
              <w:right w:val="single" w:sz="4" w:space="0" w:color="auto"/>
            </w:tcBorders>
            <w:shd w:val="clear" w:color="auto" w:fill="auto"/>
            <w:noWrap/>
            <w:vAlign w:val="bottom"/>
            <w:hideMark/>
          </w:tcPr>
          <w:p w14:paraId="61EA4802"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73D951C9" w14:textId="77777777" w:rsidR="00C1568B" w:rsidRPr="00A52AEE" w:rsidRDefault="00C1568B" w:rsidP="00FE68E8">
            <w:pPr>
              <w:jc w:val="right"/>
              <w:rPr>
                <w:lang w:eastAsia="en-GB"/>
              </w:rPr>
            </w:pPr>
            <w:r w:rsidRPr="00A52AEE">
              <w:rPr>
                <w:lang w:eastAsia="en-GB"/>
              </w:rPr>
              <w:t>33%</w:t>
            </w:r>
          </w:p>
        </w:tc>
        <w:tc>
          <w:tcPr>
            <w:tcW w:w="741" w:type="pct"/>
            <w:tcBorders>
              <w:top w:val="nil"/>
              <w:left w:val="nil"/>
              <w:bottom w:val="single" w:sz="4" w:space="0" w:color="auto"/>
              <w:right w:val="single" w:sz="4" w:space="0" w:color="auto"/>
            </w:tcBorders>
            <w:shd w:val="clear" w:color="auto" w:fill="auto"/>
            <w:noWrap/>
            <w:vAlign w:val="bottom"/>
            <w:hideMark/>
          </w:tcPr>
          <w:p w14:paraId="73237CC9" w14:textId="77777777" w:rsidR="00C1568B" w:rsidRPr="00A52AEE" w:rsidRDefault="00C1568B" w:rsidP="00FE68E8">
            <w:pPr>
              <w:jc w:val="right"/>
              <w:rPr>
                <w:lang w:eastAsia="en-GB"/>
              </w:rPr>
            </w:pPr>
            <w:r w:rsidRPr="00A52AEE">
              <w:rPr>
                <w:lang w:eastAsia="en-GB"/>
              </w:rPr>
              <w:t>20%</w:t>
            </w:r>
          </w:p>
        </w:tc>
        <w:tc>
          <w:tcPr>
            <w:tcW w:w="492" w:type="pct"/>
            <w:tcBorders>
              <w:top w:val="nil"/>
              <w:left w:val="nil"/>
              <w:bottom w:val="single" w:sz="4" w:space="0" w:color="auto"/>
              <w:right w:val="single" w:sz="4" w:space="0" w:color="auto"/>
            </w:tcBorders>
            <w:shd w:val="clear" w:color="auto" w:fill="auto"/>
            <w:noWrap/>
            <w:vAlign w:val="bottom"/>
            <w:hideMark/>
          </w:tcPr>
          <w:p w14:paraId="33771319" w14:textId="77777777" w:rsidR="00C1568B" w:rsidRPr="00A52AEE" w:rsidRDefault="00C1568B" w:rsidP="00FE68E8">
            <w:pPr>
              <w:jc w:val="right"/>
              <w:rPr>
                <w:lang w:eastAsia="en-GB"/>
              </w:rPr>
            </w:pPr>
            <w:r w:rsidRPr="00A52AEE">
              <w:rPr>
                <w:lang w:eastAsia="en-GB"/>
              </w:rPr>
              <w:t>15%</w:t>
            </w:r>
          </w:p>
        </w:tc>
        <w:tc>
          <w:tcPr>
            <w:tcW w:w="905" w:type="pct"/>
            <w:tcBorders>
              <w:top w:val="nil"/>
              <w:left w:val="nil"/>
              <w:bottom w:val="single" w:sz="4" w:space="0" w:color="auto"/>
              <w:right w:val="single" w:sz="4" w:space="0" w:color="auto"/>
            </w:tcBorders>
            <w:shd w:val="clear" w:color="auto" w:fill="auto"/>
            <w:noWrap/>
            <w:vAlign w:val="bottom"/>
            <w:hideMark/>
          </w:tcPr>
          <w:p w14:paraId="7A246518" w14:textId="77777777" w:rsidR="00C1568B" w:rsidRPr="00A52AEE" w:rsidRDefault="00C1568B" w:rsidP="00FE68E8">
            <w:pPr>
              <w:jc w:val="right"/>
              <w:rPr>
                <w:lang w:eastAsia="en-GB"/>
              </w:rPr>
            </w:pPr>
            <w:r w:rsidRPr="00A52AEE">
              <w:rPr>
                <w:lang w:eastAsia="en-GB"/>
              </w:rPr>
              <w:t>21%</w:t>
            </w:r>
          </w:p>
        </w:tc>
      </w:tr>
      <w:tr w:rsidR="00C1568B" w:rsidRPr="00A52AEE" w14:paraId="0610FC3A"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58A2451" w14:textId="77777777" w:rsidR="00C1568B" w:rsidRPr="00A52AEE" w:rsidRDefault="00C1568B" w:rsidP="00A52AEE">
            <w:pPr>
              <w:rPr>
                <w:lang w:eastAsia="en-GB"/>
              </w:rPr>
            </w:pPr>
            <w:r w:rsidRPr="00A52AEE">
              <w:rPr>
                <w:lang w:eastAsia="en-GB"/>
              </w:rPr>
              <w:t>Newham</w:t>
            </w:r>
          </w:p>
        </w:tc>
        <w:tc>
          <w:tcPr>
            <w:tcW w:w="621" w:type="pct"/>
            <w:tcBorders>
              <w:top w:val="nil"/>
              <w:left w:val="nil"/>
              <w:bottom w:val="single" w:sz="4" w:space="0" w:color="auto"/>
              <w:right w:val="single" w:sz="4" w:space="0" w:color="auto"/>
            </w:tcBorders>
            <w:shd w:val="clear" w:color="auto" w:fill="auto"/>
            <w:noWrap/>
            <w:vAlign w:val="bottom"/>
            <w:hideMark/>
          </w:tcPr>
          <w:p w14:paraId="1F9FF29F" w14:textId="77777777" w:rsidR="00C1568B" w:rsidRPr="00A52AEE" w:rsidRDefault="00C1568B" w:rsidP="00FE68E8">
            <w:pPr>
              <w:jc w:val="right"/>
              <w:rPr>
                <w:lang w:eastAsia="en-GB"/>
              </w:rPr>
            </w:pPr>
            <w:r w:rsidRPr="00A52AEE">
              <w:rPr>
                <w:lang w:eastAsia="en-GB"/>
              </w:rPr>
              <w:t>11%</w:t>
            </w:r>
          </w:p>
        </w:tc>
        <w:tc>
          <w:tcPr>
            <w:tcW w:w="576" w:type="pct"/>
            <w:tcBorders>
              <w:top w:val="nil"/>
              <w:left w:val="nil"/>
              <w:bottom w:val="single" w:sz="4" w:space="0" w:color="auto"/>
              <w:right w:val="single" w:sz="4" w:space="0" w:color="auto"/>
            </w:tcBorders>
            <w:shd w:val="clear" w:color="auto" w:fill="auto"/>
            <w:noWrap/>
            <w:vAlign w:val="bottom"/>
            <w:hideMark/>
          </w:tcPr>
          <w:p w14:paraId="562B8445" w14:textId="77777777" w:rsidR="00C1568B" w:rsidRPr="00A52AEE" w:rsidRDefault="00C1568B" w:rsidP="00FE68E8">
            <w:pPr>
              <w:jc w:val="right"/>
              <w:rPr>
                <w:lang w:eastAsia="en-GB"/>
              </w:rPr>
            </w:pPr>
            <w:r w:rsidRPr="00A52AEE">
              <w:rPr>
                <w:lang w:eastAsia="en-GB"/>
              </w:rPr>
              <w:t>33%</w:t>
            </w:r>
          </w:p>
        </w:tc>
        <w:tc>
          <w:tcPr>
            <w:tcW w:w="741" w:type="pct"/>
            <w:tcBorders>
              <w:top w:val="nil"/>
              <w:left w:val="nil"/>
              <w:bottom w:val="single" w:sz="4" w:space="0" w:color="auto"/>
              <w:right w:val="single" w:sz="4" w:space="0" w:color="auto"/>
            </w:tcBorders>
            <w:shd w:val="clear" w:color="auto" w:fill="auto"/>
            <w:noWrap/>
            <w:vAlign w:val="bottom"/>
            <w:hideMark/>
          </w:tcPr>
          <w:p w14:paraId="5E7E21FB" w14:textId="77777777" w:rsidR="00C1568B" w:rsidRPr="00A52AEE" w:rsidRDefault="00C1568B" w:rsidP="00FE68E8">
            <w:pPr>
              <w:jc w:val="right"/>
              <w:rPr>
                <w:lang w:eastAsia="en-GB"/>
              </w:rPr>
            </w:pPr>
            <w:r w:rsidRPr="00A52AEE">
              <w:rPr>
                <w:lang w:eastAsia="en-GB"/>
              </w:rPr>
              <w:t>33%</w:t>
            </w:r>
          </w:p>
        </w:tc>
        <w:tc>
          <w:tcPr>
            <w:tcW w:w="492" w:type="pct"/>
            <w:tcBorders>
              <w:top w:val="nil"/>
              <w:left w:val="nil"/>
              <w:bottom w:val="single" w:sz="4" w:space="0" w:color="auto"/>
              <w:right w:val="single" w:sz="4" w:space="0" w:color="auto"/>
            </w:tcBorders>
            <w:shd w:val="clear" w:color="auto" w:fill="auto"/>
            <w:noWrap/>
            <w:vAlign w:val="bottom"/>
            <w:hideMark/>
          </w:tcPr>
          <w:p w14:paraId="27EA8F00" w14:textId="77777777" w:rsidR="00C1568B" w:rsidRPr="00A52AEE" w:rsidRDefault="00C1568B" w:rsidP="00FE68E8">
            <w:pPr>
              <w:jc w:val="right"/>
              <w:rPr>
                <w:lang w:eastAsia="en-GB"/>
              </w:rPr>
            </w:pPr>
            <w:r w:rsidRPr="00A52AEE">
              <w:rPr>
                <w:lang w:eastAsia="en-GB"/>
              </w:rPr>
              <w:t>8%</w:t>
            </w:r>
          </w:p>
        </w:tc>
        <w:tc>
          <w:tcPr>
            <w:tcW w:w="905" w:type="pct"/>
            <w:tcBorders>
              <w:top w:val="nil"/>
              <w:left w:val="nil"/>
              <w:bottom w:val="single" w:sz="4" w:space="0" w:color="auto"/>
              <w:right w:val="single" w:sz="4" w:space="0" w:color="auto"/>
            </w:tcBorders>
            <w:shd w:val="clear" w:color="auto" w:fill="auto"/>
            <w:noWrap/>
            <w:vAlign w:val="bottom"/>
            <w:hideMark/>
          </w:tcPr>
          <w:p w14:paraId="6C7CAD4B" w14:textId="77777777" w:rsidR="00C1568B" w:rsidRPr="00A52AEE" w:rsidRDefault="00C1568B" w:rsidP="00FE68E8">
            <w:pPr>
              <w:jc w:val="right"/>
              <w:rPr>
                <w:lang w:eastAsia="en-GB"/>
              </w:rPr>
            </w:pPr>
            <w:r w:rsidRPr="00A52AEE">
              <w:rPr>
                <w:lang w:eastAsia="en-GB"/>
              </w:rPr>
              <w:t>14%</w:t>
            </w:r>
          </w:p>
        </w:tc>
      </w:tr>
      <w:tr w:rsidR="00C1568B" w:rsidRPr="00A52AEE" w14:paraId="22B7271D"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4A8F8CA" w14:textId="77777777" w:rsidR="00C1568B" w:rsidRPr="00A52AEE" w:rsidRDefault="00C1568B" w:rsidP="00A52AEE">
            <w:pPr>
              <w:rPr>
                <w:lang w:eastAsia="en-GB"/>
              </w:rPr>
            </w:pPr>
            <w:r w:rsidRPr="00A52AEE">
              <w:rPr>
                <w:lang w:eastAsia="en-GB"/>
              </w:rPr>
              <w:t>Redbridge</w:t>
            </w:r>
          </w:p>
        </w:tc>
        <w:tc>
          <w:tcPr>
            <w:tcW w:w="621" w:type="pct"/>
            <w:tcBorders>
              <w:top w:val="nil"/>
              <w:left w:val="nil"/>
              <w:bottom w:val="single" w:sz="4" w:space="0" w:color="auto"/>
              <w:right w:val="single" w:sz="4" w:space="0" w:color="auto"/>
            </w:tcBorders>
            <w:shd w:val="clear" w:color="auto" w:fill="auto"/>
            <w:noWrap/>
            <w:vAlign w:val="bottom"/>
            <w:hideMark/>
          </w:tcPr>
          <w:p w14:paraId="715D2E4D"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1EC646C5" w14:textId="77777777" w:rsidR="00C1568B" w:rsidRPr="00A52AEE" w:rsidRDefault="00C1568B" w:rsidP="00FE68E8">
            <w:pPr>
              <w:jc w:val="right"/>
              <w:rPr>
                <w:lang w:eastAsia="en-GB"/>
              </w:rPr>
            </w:pPr>
            <w:r w:rsidRPr="00A52AEE">
              <w:rPr>
                <w:lang w:eastAsia="en-GB"/>
              </w:rPr>
              <w:t>36%</w:t>
            </w:r>
          </w:p>
        </w:tc>
        <w:tc>
          <w:tcPr>
            <w:tcW w:w="741" w:type="pct"/>
            <w:tcBorders>
              <w:top w:val="nil"/>
              <w:left w:val="nil"/>
              <w:bottom w:val="single" w:sz="4" w:space="0" w:color="auto"/>
              <w:right w:val="single" w:sz="4" w:space="0" w:color="auto"/>
            </w:tcBorders>
            <w:shd w:val="clear" w:color="auto" w:fill="auto"/>
            <w:noWrap/>
            <w:vAlign w:val="bottom"/>
            <w:hideMark/>
          </w:tcPr>
          <w:p w14:paraId="3795C4B7" w14:textId="77777777" w:rsidR="00C1568B" w:rsidRPr="00A52AEE" w:rsidRDefault="00C1568B" w:rsidP="00FE68E8">
            <w:pPr>
              <w:jc w:val="right"/>
              <w:rPr>
                <w:lang w:eastAsia="en-GB"/>
              </w:rPr>
            </w:pPr>
            <w:r w:rsidRPr="00A52AEE">
              <w:rPr>
                <w:lang w:eastAsia="en-GB"/>
              </w:rPr>
              <w:t>17%</w:t>
            </w:r>
          </w:p>
        </w:tc>
        <w:tc>
          <w:tcPr>
            <w:tcW w:w="492" w:type="pct"/>
            <w:tcBorders>
              <w:top w:val="nil"/>
              <w:left w:val="nil"/>
              <w:bottom w:val="single" w:sz="4" w:space="0" w:color="auto"/>
              <w:right w:val="single" w:sz="4" w:space="0" w:color="auto"/>
            </w:tcBorders>
            <w:shd w:val="clear" w:color="auto" w:fill="auto"/>
            <w:noWrap/>
            <w:vAlign w:val="bottom"/>
            <w:hideMark/>
          </w:tcPr>
          <w:p w14:paraId="07A86F75" w14:textId="77777777" w:rsidR="00C1568B" w:rsidRPr="00A52AEE" w:rsidRDefault="00C1568B" w:rsidP="00FE68E8">
            <w:pPr>
              <w:jc w:val="right"/>
              <w:rPr>
                <w:lang w:eastAsia="en-GB"/>
              </w:rPr>
            </w:pPr>
            <w:r w:rsidRPr="00A52AEE">
              <w:rPr>
                <w:lang w:eastAsia="en-GB"/>
              </w:rPr>
              <w:t>14%</w:t>
            </w:r>
          </w:p>
        </w:tc>
        <w:tc>
          <w:tcPr>
            <w:tcW w:w="905" w:type="pct"/>
            <w:tcBorders>
              <w:top w:val="nil"/>
              <w:left w:val="nil"/>
              <w:bottom w:val="single" w:sz="4" w:space="0" w:color="auto"/>
              <w:right w:val="single" w:sz="4" w:space="0" w:color="auto"/>
            </w:tcBorders>
            <w:shd w:val="clear" w:color="auto" w:fill="auto"/>
            <w:noWrap/>
            <w:vAlign w:val="bottom"/>
            <w:hideMark/>
          </w:tcPr>
          <w:p w14:paraId="63C8A036" w14:textId="77777777" w:rsidR="00C1568B" w:rsidRPr="00A52AEE" w:rsidRDefault="00C1568B" w:rsidP="00FE68E8">
            <w:pPr>
              <w:jc w:val="right"/>
              <w:rPr>
                <w:lang w:eastAsia="en-GB"/>
              </w:rPr>
            </w:pPr>
            <w:r w:rsidRPr="00A52AEE">
              <w:rPr>
                <w:lang w:eastAsia="en-GB"/>
              </w:rPr>
              <w:t>21%</w:t>
            </w:r>
          </w:p>
        </w:tc>
      </w:tr>
      <w:tr w:rsidR="00C1568B" w:rsidRPr="00A52AEE" w14:paraId="658CCDA6"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76441CC" w14:textId="77777777" w:rsidR="00C1568B" w:rsidRPr="00A52AEE" w:rsidRDefault="00C1568B" w:rsidP="00A52AEE">
            <w:pPr>
              <w:rPr>
                <w:lang w:eastAsia="en-GB"/>
              </w:rPr>
            </w:pPr>
            <w:r w:rsidRPr="00A52AEE">
              <w:rPr>
                <w:lang w:eastAsia="en-GB"/>
              </w:rPr>
              <w:t>Richmond upon Thames</w:t>
            </w:r>
          </w:p>
        </w:tc>
        <w:tc>
          <w:tcPr>
            <w:tcW w:w="621" w:type="pct"/>
            <w:tcBorders>
              <w:top w:val="nil"/>
              <w:left w:val="nil"/>
              <w:bottom w:val="single" w:sz="4" w:space="0" w:color="auto"/>
              <w:right w:val="single" w:sz="4" w:space="0" w:color="auto"/>
            </w:tcBorders>
            <w:shd w:val="clear" w:color="auto" w:fill="auto"/>
            <w:noWrap/>
            <w:vAlign w:val="bottom"/>
            <w:hideMark/>
          </w:tcPr>
          <w:p w14:paraId="0C3D2D24" w14:textId="77777777" w:rsidR="00C1568B" w:rsidRPr="00A52AEE" w:rsidRDefault="00C1568B" w:rsidP="00FE68E8">
            <w:pPr>
              <w:jc w:val="right"/>
              <w:rPr>
                <w:lang w:eastAsia="en-GB"/>
              </w:rPr>
            </w:pPr>
            <w:r w:rsidRPr="00A52AEE">
              <w:rPr>
                <w:lang w:eastAsia="en-GB"/>
              </w:rPr>
              <w:t>7%</w:t>
            </w:r>
          </w:p>
        </w:tc>
        <w:tc>
          <w:tcPr>
            <w:tcW w:w="576" w:type="pct"/>
            <w:tcBorders>
              <w:top w:val="nil"/>
              <w:left w:val="nil"/>
              <w:bottom w:val="single" w:sz="4" w:space="0" w:color="auto"/>
              <w:right w:val="single" w:sz="4" w:space="0" w:color="auto"/>
            </w:tcBorders>
            <w:shd w:val="clear" w:color="auto" w:fill="auto"/>
            <w:noWrap/>
            <w:vAlign w:val="bottom"/>
            <w:hideMark/>
          </w:tcPr>
          <w:p w14:paraId="21F9857D" w14:textId="77777777" w:rsidR="00C1568B" w:rsidRPr="00A52AEE" w:rsidRDefault="00C1568B" w:rsidP="00FE68E8">
            <w:pPr>
              <w:jc w:val="right"/>
              <w:rPr>
                <w:lang w:eastAsia="en-GB"/>
              </w:rPr>
            </w:pPr>
            <w:r w:rsidRPr="00A52AEE">
              <w:rPr>
                <w:lang w:eastAsia="en-GB"/>
              </w:rPr>
              <w:t>20%</w:t>
            </w:r>
          </w:p>
        </w:tc>
        <w:tc>
          <w:tcPr>
            <w:tcW w:w="741" w:type="pct"/>
            <w:tcBorders>
              <w:top w:val="nil"/>
              <w:left w:val="nil"/>
              <w:bottom w:val="single" w:sz="4" w:space="0" w:color="auto"/>
              <w:right w:val="single" w:sz="4" w:space="0" w:color="auto"/>
            </w:tcBorders>
            <w:shd w:val="clear" w:color="auto" w:fill="auto"/>
            <w:noWrap/>
            <w:vAlign w:val="bottom"/>
            <w:hideMark/>
          </w:tcPr>
          <w:p w14:paraId="7C82C3DB" w14:textId="77777777" w:rsidR="00C1568B" w:rsidRPr="00A52AEE" w:rsidRDefault="00C1568B" w:rsidP="00FE68E8">
            <w:pPr>
              <w:jc w:val="right"/>
              <w:rPr>
                <w:lang w:eastAsia="en-GB"/>
              </w:rPr>
            </w:pPr>
            <w:r w:rsidRPr="00A52AEE">
              <w:rPr>
                <w:lang w:eastAsia="en-GB"/>
              </w:rPr>
              <w:t>33%</w:t>
            </w:r>
          </w:p>
        </w:tc>
        <w:tc>
          <w:tcPr>
            <w:tcW w:w="492" w:type="pct"/>
            <w:tcBorders>
              <w:top w:val="nil"/>
              <w:left w:val="nil"/>
              <w:bottom w:val="single" w:sz="4" w:space="0" w:color="auto"/>
              <w:right w:val="single" w:sz="4" w:space="0" w:color="auto"/>
            </w:tcBorders>
            <w:shd w:val="clear" w:color="auto" w:fill="auto"/>
            <w:noWrap/>
            <w:vAlign w:val="bottom"/>
            <w:hideMark/>
          </w:tcPr>
          <w:p w14:paraId="3FA09248" w14:textId="77777777" w:rsidR="00C1568B" w:rsidRPr="00A52AEE" w:rsidRDefault="00C1568B" w:rsidP="00FE68E8">
            <w:pPr>
              <w:jc w:val="right"/>
              <w:rPr>
                <w:lang w:eastAsia="en-GB"/>
              </w:rPr>
            </w:pPr>
            <w:r w:rsidRPr="00A52AEE">
              <w:rPr>
                <w:lang w:eastAsia="en-GB"/>
              </w:rPr>
              <w:t>7%</w:t>
            </w:r>
          </w:p>
        </w:tc>
        <w:tc>
          <w:tcPr>
            <w:tcW w:w="905" w:type="pct"/>
            <w:tcBorders>
              <w:top w:val="nil"/>
              <w:left w:val="nil"/>
              <w:bottom w:val="single" w:sz="4" w:space="0" w:color="auto"/>
              <w:right w:val="single" w:sz="4" w:space="0" w:color="auto"/>
            </w:tcBorders>
            <w:shd w:val="clear" w:color="auto" w:fill="auto"/>
            <w:noWrap/>
            <w:vAlign w:val="bottom"/>
            <w:hideMark/>
          </w:tcPr>
          <w:p w14:paraId="0E18B963" w14:textId="77777777" w:rsidR="00C1568B" w:rsidRPr="00A52AEE" w:rsidRDefault="00C1568B" w:rsidP="00FE68E8">
            <w:pPr>
              <w:jc w:val="right"/>
              <w:rPr>
                <w:lang w:eastAsia="en-GB"/>
              </w:rPr>
            </w:pPr>
            <w:r w:rsidRPr="00A52AEE">
              <w:rPr>
                <w:lang w:eastAsia="en-GB"/>
              </w:rPr>
              <w:t>33%</w:t>
            </w:r>
          </w:p>
        </w:tc>
      </w:tr>
      <w:tr w:rsidR="00C1568B" w:rsidRPr="00A52AEE" w14:paraId="742ECB10"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5BA4C78" w14:textId="77777777" w:rsidR="00C1568B" w:rsidRPr="00A52AEE" w:rsidRDefault="00C1568B" w:rsidP="00A52AEE">
            <w:pPr>
              <w:rPr>
                <w:lang w:eastAsia="en-GB"/>
              </w:rPr>
            </w:pPr>
            <w:r w:rsidRPr="00A52AEE">
              <w:rPr>
                <w:lang w:eastAsia="en-GB"/>
              </w:rPr>
              <w:t>Southwark</w:t>
            </w:r>
          </w:p>
        </w:tc>
        <w:tc>
          <w:tcPr>
            <w:tcW w:w="621" w:type="pct"/>
            <w:tcBorders>
              <w:top w:val="nil"/>
              <w:left w:val="nil"/>
              <w:bottom w:val="single" w:sz="4" w:space="0" w:color="auto"/>
              <w:right w:val="single" w:sz="4" w:space="0" w:color="auto"/>
            </w:tcBorders>
            <w:shd w:val="clear" w:color="auto" w:fill="auto"/>
            <w:noWrap/>
            <w:vAlign w:val="bottom"/>
            <w:hideMark/>
          </w:tcPr>
          <w:p w14:paraId="37147867" w14:textId="77777777" w:rsidR="00C1568B" w:rsidRPr="00A52AEE" w:rsidRDefault="00C1568B" w:rsidP="00FE68E8">
            <w:pPr>
              <w:jc w:val="right"/>
              <w:rPr>
                <w:lang w:eastAsia="en-GB"/>
              </w:rPr>
            </w:pPr>
            <w:r w:rsidRPr="00A52AEE">
              <w:rPr>
                <w:lang w:eastAsia="en-GB"/>
              </w:rPr>
              <w:t>12%</w:t>
            </w:r>
          </w:p>
        </w:tc>
        <w:tc>
          <w:tcPr>
            <w:tcW w:w="576" w:type="pct"/>
            <w:tcBorders>
              <w:top w:val="nil"/>
              <w:left w:val="nil"/>
              <w:bottom w:val="single" w:sz="4" w:space="0" w:color="auto"/>
              <w:right w:val="single" w:sz="4" w:space="0" w:color="auto"/>
            </w:tcBorders>
            <w:shd w:val="clear" w:color="auto" w:fill="auto"/>
            <w:noWrap/>
            <w:vAlign w:val="bottom"/>
            <w:hideMark/>
          </w:tcPr>
          <w:p w14:paraId="275BD4F8" w14:textId="77777777" w:rsidR="00C1568B" w:rsidRPr="00A52AEE" w:rsidRDefault="00C1568B" w:rsidP="00FE68E8">
            <w:pPr>
              <w:jc w:val="right"/>
              <w:rPr>
                <w:lang w:eastAsia="en-GB"/>
              </w:rPr>
            </w:pPr>
            <w:r w:rsidRPr="00A52AEE">
              <w:rPr>
                <w:lang w:eastAsia="en-GB"/>
              </w:rPr>
              <w:t>30%</w:t>
            </w:r>
          </w:p>
        </w:tc>
        <w:tc>
          <w:tcPr>
            <w:tcW w:w="741" w:type="pct"/>
            <w:tcBorders>
              <w:top w:val="nil"/>
              <w:left w:val="nil"/>
              <w:bottom w:val="single" w:sz="4" w:space="0" w:color="auto"/>
              <w:right w:val="single" w:sz="4" w:space="0" w:color="auto"/>
            </w:tcBorders>
            <w:shd w:val="clear" w:color="auto" w:fill="auto"/>
            <w:noWrap/>
            <w:vAlign w:val="bottom"/>
            <w:hideMark/>
          </w:tcPr>
          <w:p w14:paraId="090607DD" w14:textId="77777777" w:rsidR="00C1568B" w:rsidRPr="00A52AEE" w:rsidRDefault="00C1568B" w:rsidP="00FE68E8">
            <w:pPr>
              <w:jc w:val="right"/>
              <w:rPr>
                <w:lang w:eastAsia="en-GB"/>
              </w:rPr>
            </w:pPr>
            <w:r w:rsidRPr="00A52AEE">
              <w:rPr>
                <w:lang w:eastAsia="en-GB"/>
              </w:rPr>
              <w:t>27%</w:t>
            </w:r>
          </w:p>
        </w:tc>
        <w:tc>
          <w:tcPr>
            <w:tcW w:w="492" w:type="pct"/>
            <w:tcBorders>
              <w:top w:val="nil"/>
              <w:left w:val="nil"/>
              <w:bottom w:val="single" w:sz="4" w:space="0" w:color="auto"/>
              <w:right w:val="single" w:sz="4" w:space="0" w:color="auto"/>
            </w:tcBorders>
            <w:shd w:val="clear" w:color="auto" w:fill="auto"/>
            <w:noWrap/>
            <w:vAlign w:val="bottom"/>
            <w:hideMark/>
          </w:tcPr>
          <w:p w14:paraId="47684DA0" w14:textId="77777777" w:rsidR="00C1568B" w:rsidRPr="00A52AEE" w:rsidRDefault="00C1568B" w:rsidP="00FE68E8">
            <w:pPr>
              <w:jc w:val="right"/>
              <w:rPr>
                <w:lang w:eastAsia="en-GB"/>
              </w:rPr>
            </w:pPr>
            <w:r w:rsidRPr="00A52AEE">
              <w:rPr>
                <w:lang w:eastAsia="en-GB"/>
              </w:rPr>
              <w:t>11%</w:t>
            </w:r>
          </w:p>
        </w:tc>
        <w:tc>
          <w:tcPr>
            <w:tcW w:w="905" w:type="pct"/>
            <w:tcBorders>
              <w:top w:val="nil"/>
              <w:left w:val="nil"/>
              <w:bottom w:val="single" w:sz="4" w:space="0" w:color="auto"/>
              <w:right w:val="single" w:sz="4" w:space="0" w:color="auto"/>
            </w:tcBorders>
            <w:shd w:val="clear" w:color="auto" w:fill="auto"/>
            <w:noWrap/>
            <w:vAlign w:val="bottom"/>
            <w:hideMark/>
          </w:tcPr>
          <w:p w14:paraId="0776D0A4" w14:textId="77777777" w:rsidR="00C1568B" w:rsidRPr="00A52AEE" w:rsidRDefault="00C1568B" w:rsidP="00FE68E8">
            <w:pPr>
              <w:jc w:val="right"/>
              <w:rPr>
                <w:lang w:eastAsia="en-GB"/>
              </w:rPr>
            </w:pPr>
            <w:r w:rsidRPr="00A52AEE">
              <w:rPr>
                <w:lang w:eastAsia="en-GB"/>
              </w:rPr>
              <w:t>20%</w:t>
            </w:r>
          </w:p>
        </w:tc>
      </w:tr>
      <w:tr w:rsidR="00C1568B" w:rsidRPr="00A52AEE" w14:paraId="48BE3613"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2311A73" w14:textId="77777777" w:rsidR="00C1568B" w:rsidRPr="00A52AEE" w:rsidRDefault="00C1568B" w:rsidP="00A52AEE">
            <w:pPr>
              <w:rPr>
                <w:lang w:eastAsia="en-GB"/>
              </w:rPr>
            </w:pPr>
            <w:r w:rsidRPr="00A52AEE">
              <w:rPr>
                <w:lang w:eastAsia="en-GB"/>
              </w:rPr>
              <w:t>Sutton</w:t>
            </w:r>
          </w:p>
        </w:tc>
        <w:tc>
          <w:tcPr>
            <w:tcW w:w="621" w:type="pct"/>
            <w:tcBorders>
              <w:top w:val="nil"/>
              <w:left w:val="nil"/>
              <w:bottom w:val="single" w:sz="4" w:space="0" w:color="auto"/>
              <w:right w:val="single" w:sz="4" w:space="0" w:color="auto"/>
            </w:tcBorders>
            <w:shd w:val="clear" w:color="auto" w:fill="auto"/>
            <w:noWrap/>
            <w:vAlign w:val="bottom"/>
            <w:hideMark/>
          </w:tcPr>
          <w:p w14:paraId="70D08E82" w14:textId="77777777" w:rsidR="00C1568B" w:rsidRPr="00A52AEE" w:rsidRDefault="00C1568B" w:rsidP="00FE68E8">
            <w:pPr>
              <w:jc w:val="right"/>
              <w:rPr>
                <w:lang w:eastAsia="en-GB"/>
              </w:rPr>
            </w:pPr>
            <w:r w:rsidRPr="00A52AEE">
              <w:rPr>
                <w:lang w:eastAsia="en-GB"/>
              </w:rPr>
              <w:t>9%</w:t>
            </w:r>
          </w:p>
        </w:tc>
        <w:tc>
          <w:tcPr>
            <w:tcW w:w="576" w:type="pct"/>
            <w:tcBorders>
              <w:top w:val="nil"/>
              <w:left w:val="nil"/>
              <w:bottom w:val="single" w:sz="4" w:space="0" w:color="auto"/>
              <w:right w:val="single" w:sz="4" w:space="0" w:color="auto"/>
            </w:tcBorders>
            <w:shd w:val="clear" w:color="auto" w:fill="auto"/>
            <w:noWrap/>
            <w:vAlign w:val="bottom"/>
            <w:hideMark/>
          </w:tcPr>
          <w:p w14:paraId="0BF7FE2D" w14:textId="77777777" w:rsidR="00C1568B" w:rsidRPr="00A52AEE" w:rsidRDefault="00C1568B" w:rsidP="00FE68E8">
            <w:pPr>
              <w:jc w:val="right"/>
              <w:rPr>
                <w:lang w:eastAsia="en-GB"/>
              </w:rPr>
            </w:pPr>
            <w:r w:rsidRPr="00A52AEE">
              <w:rPr>
                <w:lang w:eastAsia="en-GB"/>
              </w:rPr>
              <w:t>29%</w:t>
            </w:r>
          </w:p>
        </w:tc>
        <w:tc>
          <w:tcPr>
            <w:tcW w:w="741" w:type="pct"/>
            <w:tcBorders>
              <w:top w:val="nil"/>
              <w:left w:val="nil"/>
              <w:bottom w:val="single" w:sz="4" w:space="0" w:color="auto"/>
              <w:right w:val="single" w:sz="4" w:space="0" w:color="auto"/>
            </w:tcBorders>
            <w:shd w:val="clear" w:color="auto" w:fill="auto"/>
            <w:noWrap/>
            <w:vAlign w:val="bottom"/>
            <w:hideMark/>
          </w:tcPr>
          <w:p w14:paraId="43DEBC05" w14:textId="77777777" w:rsidR="00C1568B" w:rsidRPr="00A52AEE" w:rsidRDefault="00C1568B" w:rsidP="00FE68E8">
            <w:pPr>
              <w:jc w:val="right"/>
              <w:rPr>
                <w:lang w:eastAsia="en-GB"/>
              </w:rPr>
            </w:pPr>
            <w:r w:rsidRPr="00A52AEE">
              <w:rPr>
                <w:lang w:eastAsia="en-GB"/>
              </w:rPr>
              <w:t>8%</w:t>
            </w:r>
          </w:p>
        </w:tc>
        <w:tc>
          <w:tcPr>
            <w:tcW w:w="492" w:type="pct"/>
            <w:tcBorders>
              <w:top w:val="nil"/>
              <w:left w:val="nil"/>
              <w:bottom w:val="single" w:sz="4" w:space="0" w:color="auto"/>
              <w:right w:val="single" w:sz="4" w:space="0" w:color="auto"/>
            </w:tcBorders>
            <w:shd w:val="clear" w:color="auto" w:fill="auto"/>
            <w:noWrap/>
            <w:vAlign w:val="bottom"/>
            <w:hideMark/>
          </w:tcPr>
          <w:p w14:paraId="52DFE415" w14:textId="77777777" w:rsidR="00C1568B" w:rsidRPr="00A52AEE" w:rsidRDefault="00C1568B" w:rsidP="00FE68E8">
            <w:pPr>
              <w:jc w:val="right"/>
              <w:rPr>
                <w:lang w:eastAsia="en-GB"/>
              </w:rPr>
            </w:pPr>
            <w:r w:rsidRPr="00A52AEE">
              <w:rPr>
                <w:lang w:eastAsia="en-GB"/>
              </w:rPr>
              <w:t>23%</w:t>
            </w:r>
          </w:p>
        </w:tc>
        <w:tc>
          <w:tcPr>
            <w:tcW w:w="905" w:type="pct"/>
            <w:tcBorders>
              <w:top w:val="nil"/>
              <w:left w:val="nil"/>
              <w:bottom w:val="single" w:sz="4" w:space="0" w:color="auto"/>
              <w:right w:val="single" w:sz="4" w:space="0" w:color="auto"/>
            </w:tcBorders>
            <w:shd w:val="clear" w:color="auto" w:fill="auto"/>
            <w:noWrap/>
            <w:vAlign w:val="bottom"/>
            <w:hideMark/>
          </w:tcPr>
          <w:p w14:paraId="723DD26B" w14:textId="77777777" w:rsidR="00C1568B" w:rsidRPr="00A52AEE" w:rsidRDefault="00C1568B" w:rsidP="00FE68E8">
            <w:pPr>
              <w:jc w:val="right"/>
              <w:rPr>
                <w:lang w:eastAsia="en-GB"/>
              </w:rPr>
            </w:pPr>
            <w:r w:rsidRPr="00A52AEE">
              <w:rPr>
                <w:lang w:eastAsia="en-GB"/>
              </w:rPr>
              <w:t>31%</w:t>
            </w:r>
          </w:p>
        </w:tc>
      </w:tr>
      <w:tr w:rsidR="00C1568B" w:rsidRPr="00A52AEE" w14:paraId="28FD71BA"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42D63A0" w14:textId="77777777" w:rsidR="00C1568B" w:rsidRPr="00A52AEE" w:rsidRDefault="00C1568B" w:rsidP="00A52AEE">
            <w:pPr>
              <w:rPr>
                <w:lang w:eastAsia="en-GB"/>
              </w:rPr>
            </w:pPr>
            <w:r w:rsidRPr="00A52AEE">
              <w:rPr>
                <w:lang w:eastAsia="en-GB"/>
              </w:rPr>
              <w:t>Tower Hamlets</w:t>
            </w:r>
          </w:p>
        </w:tc>
        <w:tc>
          <w:tcPr>
            <w:tcW w:w="621" w:type="pct"/>
            <w:tcBorders>
              <w:top w:val="nil"/>
              <w:left w:val="nil"/>
              <w:bottom w:val="single" w:sz="4" w:space="0" w:color="auto"/>
              <w:right w:val="single" w:sz="4" w:space="0" w:color="auto"/>
            </w:tcBorders>
            <w:shd w:val="clear" w:color="auto" w:fill="auto"/>
            <w:noWrap/>
            <w:vAlign w:val="bottom"/>
            <w:hideMark/>
          </w:tcPr>
          <w:p w14:paraId="1C53BA1C" w14:textId="77777777" w:rsidR="00C1568B" w:rsidRPr="00A52AEE" w:rsidRDefault="00C1568B" w:rsidP="00FE68E8">
            <w:pPr>
              <w:jc w:val="right"/>
              <w:rPr>
                <w:lang w:eastAsia="en-GB"/>
              </w:rPr>
            </w:pPr>
            <w:r w:rsidRPr="00A52AEE">
              <w:rPr>
                <w:lang w:eastAsia="en-GB"/>
              </w:rPr>
              <w:t>13%</w:t>
            </w:r>
          </w:p>
        </w:tc>
        <w:tc>
          <w:tcPr>
            <w:tcW w:w="576" w:type="pct"/>
            <w:tcBorders>
              <w:top w:val="nil"/>
              <w:left w:val="nil"/>
              <w:bottom w:val="single" w:sz="4" w:space="0" w:color="auto"/>
              <w:right w:val="single" w:sz="4" w:space="0" w:color="auto"/>
            </w:tcBorders>
            <w:shd w:val="clear" w:color="auto" w:fill="auto"/>
            <w:noWrap/>
            <w:vAlign w:val="bottom"/>
            <w:hideMark/>
          </w:tcPr>
          <w:p w14:paraId="53177480" w14:textId="77777777" w:rsidR="00C1568B" w:rsidRPr="00A52AEE" w:rsidRDefault="00C1568B" w:rsidP="00FE68E8">
            <w:pPr>
              <w:jc w:val="right"/>
              <w:rPr>
                <w:lang w:eastAsia="en-GB"/>
              </w:rPr>
            </w:pPr>
            <w:r w:rsidRPr="00A52AEE">
              <w:rPr>
                <w:lang w:eastAsia="en-GB"/>
              </w:rPr>
              <w:t>26%</w:t>
            </w:r>
          </w:p>
        </w:tc>
        <w:tc>
          <w:tcPr>
            <w:tcW w:w="741" w:type="pct"/>
            <w:tcBorders>
              <w:top w:val="nil"/>
              <w:left w:val="nil"/>
              <w:bottom w:val="single" w:sz="4" w:space="0" w:color="auto"/>
              <w:right w:val="single" w:sz="4" w:space="0" w:color="auto"/>
            </w:tcBorders>
            <w:shd w:val="clear" w:color="auto" w:fill="auto"/>
            <w:noWrap/>
            <w:vAlign w:val="bottom"/>
            <w:hideMark/>
          </w:tcPr>
          <w:p w14:paraId="45DD3268" w14:textId="77777777" w:rsidR="00C1568B" w:rsidRPr="00A52AEE" w:rsidRDefault="00C1568B" w:rsidP="00FE68E8">
            <w:pPr>
              <w:jc w:val="right"/>
              <w:rPr>
                <w:lang w:eastAsia="en-GB"/>
              </w:rPr>
            </w:pPr>
            <w:r w:rsidRPr="00A52AEE">
              <w:rPr>
                <w:lang w:eastAsia="en-GB"/>
              </w:rPr>
              <w:t>31%</w:t>
            </w:r>
          </w:p>
        </w:tc>
        <w:tc>
          <w:tcPr>
            <w:tcW w:w="492" w:type="pct"/>
            <w:tcBorders>
              <w:top w:val="nil"/>
              <w:left w:val="nil"/>
              <w:bottom w:val="single" w:sz="4" w:space="0" w:color="auto"/>
              <w:right w:val="single" w:sz="4" w:space="0" w:color="auto"/>
            </w:tcBorders>
            <w:shd w:val="clear" w:color="auto" w:fill="auto"/>
            <w:noWrap/>
            <w:vAlign w:val="bottom"/>
            <w:hideMark/>
          </w:tcPr>
          <w:p w14:paraId="51E3ACCD" w14:textId="77777777" w:rsidR="00C1568B" w:rsidRPr="00A52AEE" w:rsidRDefault="00C1568B" w:rsidP="00FE68E8">
            <w:pPr>
              <w:jc w:val="right"/>
              <w:rPr>
                <w:lang w:eastAsia="en-GB"/>
              </w:rPr>
            </w:pPr>
            <w:r w:rsidRPr="00A52AEE">
              <w:rPr>
                <w:lang w:eastAsia="en-GB"/>
              </w:rPr>
              <w:t>9%</w:t>
            </w:r>
          </w:p>
        </w:tc>
        <w:tc>
          <w:tcPr>
            <w:tcW w:w="905" w:type="pct"/>
            <w:tcBorders>
              <w:top w:val="nil"/>
              <w:left w:val="nil"/>
              <w:bottom w:val="single" w:sz="4" w:space="0" w:color="auto"/>
              <w:right w:val="single" w:sz="4" w:space="0" w:color="auto"/>
            </w:tcBorders>
            <w:shd w:val="clear" w:color="auto" w:fill="auto"/>
            <w:noWrap/>
            <w:vAlign w:val="bottom"/>
            <w:hideMark/>
          </w:tcPr>
          <w:p w14:paraId="26691954" w14:textId="77777777" w:rsidR="00C1568B" w:rsidRPr="00A52AEE" w:rsidRDefault="00C1568B" w:rsidP="00FE68E8">
            <w:pPr>
              <w:jc w:val="right"/>
              <w:rPr>
                <w:lang w:eastAsia="en-GB"/>
              </w:rPr>
            </w:pPr>
            <w:r w:rsidRPr="00A52AEE">
              <w:rPr>
                <w:lang w:eastAsia="en-GB"/>
              </w:rPr>
              <w:t>21%</w:t>
            </w:r>
          </w:p>
        </w:tc>
      </w:tr>
      <w:tr w:rsidR="00C1568B" w:rsidRPr="00A52AEE" w14:paraId="6311752A"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E00A79E" w14:textId="77777777" w:rsidR="00C1568B" w:rsidRPr="00A52AEE" w:rsidRDefault="00C1568B" w:rsidP="00A52AEE">
            <w:pPr>
              <w:rPr>
                <w:lang w:eastAsia="en-GB"/>
              </w:rPr>
            </w:pPr>
            <w:r w:rsidRPr="00A52AEE">
              <w:rPr>
                <w:lang w:eastAsia="en-GB"/>
              </w:rPr>
              <w:t>Waltham Forest</w:t>
            </w:r>
          </w:p>
        </w:tc>
        <w:tc>
          <w:tcPr>
            <w:tcW w:w="621" w:type="pct"/>
            <w:tcBorders>
              <w:top w:val="nil"/>
              <w:left w:val="nil"/>
              <w:bottom w:val="single" w:sz="4" w:space="0" w:color="auto"/>
              <w:right w:val="single" w:sz="4" w:space="0" w:color="auto"/>
            </w:tcBorders>
            <w:shd w:val="clear" w:color="auto" w:fill="auto"/>
            <w:noWrap/>
            <w:vAlign w:val="bottom"/>
            <w:hideMark/>
          </w:tcPr>
          <w:p w14:paraId="1A2B10F9" w14:textId="77777777" w:rsidR="00C1568B" w:rsidRPr="00A52AEE" w:rsidRDefault="00C1568B" w:rsidP="00FE68E8">
            <w:pPr>
              <w:jc w:val="right"/>
              <w:rPr>
                <w:lang w:eastAsia="en-GB"/>
              </w:rPr>
            </w:pPr>
            <w:r w:rsidRPr="00A52AEE">
              <w:rPr>
                <w:lang w:eastAsia="en-GB"/>
              </w:rPr>
              <w:t>10%</w:t>
            </w:r>
          </w:p>
        </w:tc>
        <w:tc>
          <w:tcPr>
            <w:tcW w:w="576" w:type="pct"/>
            <w:tcBorders>
              <w:top w:val="nil"/>
              <w:left w:val="nil"/>
              <w:bottom w:val="single" w:sz="4" w:space="0" w:color="auto"/>
              <w:right w:val="single" w:sz="4" w:space="0" w:color="auto"/>
            </w:tcBorders>
            <w:shd w:val="clear" w:color="auto" w:fill="auto"/>
            <w:noWrap/>
            <w:vAlign w:val="bottom"/>
            <w:hideMark/>
          </w:tcPr>
          <w:p w14:paraId="0136D942" w14:textId="77777777" w:rsidR="00C1568B" w:rsidRPr="00A52AEE" w:rsidRDefault="00C1568B" w:rsidP="00FE68E8">
            <w:pPr>
              <w:jc w:val="right"/>
              <w:rPr>
                <w:lang w:eastAsia="en-GB"/>
              </w:rPr>
            </w:pPr>
            <w:r w:rsidRPr="00A52AEE">
              <w:rPr>
                <w:lang w:eastAsia="en-GB"/>
              </w:rPr>
              <w:t>32%</w:t>
            </w:r>
          </w:p>
        </w:tc>
        <w:tc>
          <w:tcPr>
            <w:tcW w:w="741" w:type="pct"/>
            <w:tcBorders>
              <w:top w:val="nil"/>
              <w:left w:val="nil"/>
              <w:bottom w:val="single" w:sz="4" w:space="0" w:color="auto"/>
              <w:right w:val="single" w:sz="4" w:space="0" w:color="auto"/>
            </w:tcBorders>
            <w:shd w:val="clear" w:color="auto" w:fill="auto"/>
            <w:noWrap/>
            <w:vAlign w:val="bottom"/>
            <w:hideMark/>
          </w:tcPr>
          <w:p w14:paraId="30396051" w14:textId="77777777" w:rsidR="00C1568B" w:rsidRPr="00A52AEE" w:rsidRDefault="00C1568B" w:rsidP="00FE68E8">
            <w:pPr>
              <w:jc w:val="right"/>
              <w:rPr>
                <w:lang w:eastAsia="en-GB"/>
              </w:rPr>
            </w:pPr>
            <w:r w:rsidRPr="00A52AEE">
              <w:rPr>
                <w:lang w:eastAsia="en-GB"/>
              </w:rPr>
              <w:t>30%</w:t>
            </w:r>
          </w:p>
        </w:tc>
        <w:tc>
          <w:tcPr>
            <w:tcW w:w="492" w:type="pct"/>
            <w:tcBorders>
              <w:top w:val="nil"/>
              <w:left w:val="nil"/>
              <w:bottom w:val="single" w:sz="4" w:space="0" w:color="auto"/>
              <w:right w:val="single" w:sz="4" w:space="0" w:color="auto"/>
            </w:tcBorders>
            <w:shd w:val="clear" w:color="auto" w:fill="auto"/>
            <w:noWrap/>
            <w:vAlign w:val="bottom"/>
            <w:hideMark/>
          </w:tcPr>
          <w:p w14:paraId="2430C4C4" w14:textId="77777777" w:rsidR="00C1568B" w:rsidRPr="00A52AEE" w:rsidRDefault="00C1568B" w:rsidP="00FE68E8">
            <w:pPr>
              <w:jc w:val="right"/>
              <w:rPr>
                <w:lang w:eastAsia="en-GB"/>
              </w:rPr>
            </w:pPr>
            <w:r w:rsidRPr="00A52AEE">
              <w:rPr>
                <w:lang w:eastAsia="en-GB"/>
              </w:rPr>
              <w:t>9%</w:t>
            </w:r>
          </w:p>
        </w:tc>
        <w:tc>
          <w:tcPr>
            <w:tcW w:w="905" w:type="pct"/>
            <w:tcBorders>
              <w:top w:val="nil"/>
              <w:left w:val="nil"/>
              <w:bottom w:val="single" w:sz="4" w:space="0" w:color="auto"/>
              <w:right w:val="single" w:sz="4" w:space="0" w:color="auto"/>
            </w:tcBorders>
            <w:shd w:val="clear" w:color="auto" w:fill="auto"/>
            <w:noWrap/>
            <w:vAlign w:val="bottom"/>
            <w:hideMark/>
          </w:tcPr>
          <w:p w14:paraId="7DF9612A" w14:textId="77777777" w:rsidR="00C1568B" w:rsidRPr="00A52AEE" w:rsidRDefault="00C1568B" w:rsidP="00FE68E8">
            <w:pPr>
              <w:jc w:val="right"/>
              <w:rPr>
                <w:lang w:eastAsia="en-GB"/>
              </w:rPr>
            </w:pPr>
            <w:r w:rsidRPr="00A52AEE">
              <w:rPr>
                <w:lang w:eastAsia="en-GB"/>
              </w:rPr>
              <w:t>18%</w:t>
            </w:r>
          </w:p>
        </w:tc>
      </w:tr>
      <w:tr w:rsidR="00C1568B" w:rsidRPr="00A52AEE" w14:paraId="01C2C7DB" w14:textId="77777777" w:rsidTr="002E286F">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FC8B9E1" w14:textId="77777777" w:rsidR="00C1568B" w:rsidRPr="00A52AEE" w:rsidRDefault="00C1568B" w:rsidP="00A52AEE">
            <w:pPr>
              <w:rPr>
                <w:lang w:eastAsia="en-GB"/>
              </w:rPr>
            </w:pPr>
            <w:r w:rsidRPr="00A52AEE">
              <w:rPr>
                <w:lang w:eastAsia="en-GB"/>
              </w:rPr>
              <w:t>Wandsworth</w:t>
            </w:r>
          </w:p>
        </w:tc>
        <w:tc>
          <w:tcPr>
            <w:tcW w:w="621" w:type="pct"/>
            <w:tcBorders>
              <w:top w:val="nil"/>
              <w:left w:val="nil"/>
              <w:bottom w:val="single" w:sz="4" w:space="0" w:color="auto"/>
              <w:right w:val="single" w:sz="4" w:space="0" w:color="auto"/>
            </w:tcBorders>
            <w:shd w:val="clear" w:color="auto" w:fill="auto"/>
            <w:noWrap/>
            <w:vAlign w:val="bottom"/>
            <w:hideMark/>
          </w:tcPr>
          <w:p w14:paraId="428FBC9D" w14:textId="77777777" w:rsidR="00C1568B" w:rsidRPr="00A52AEE" w:rsidRDefault="00C1568B" w:rsidP="00FE68E8">
            <w:pPr>
              <w:jc w:val="right"/>
              <w:rPr>
                <w:lang w:eastAsia="en-GB"/>
              </w:rPr>
            </w:pPr>
            <w:r w:rsidRPr="00A52AEE">
              <w:rPr>
                <w:lang w:eastAsia="en-GB"/>
              </w:rPr>
              <w:t>15%</w:t>
            </w:r>
          </w:p>
        </w:tc>
        <w:tc>
          <w:tcPr>
            <w:tcW w:w="576" w:type="pct"/>
            <w:tcBorders>
              <w:top w:val="nil"/>
              <w:left w:val="nil"/>
              <w:bottom w:val="single" w:sz="4" w:space="0" w:color="auto"/>
              <w:right w:val="single" w:sz="4" w:space="0" w:color="auto"/>
            </w:tcBorders>
            <w:shd w:val="clear" w:color="auto" w:fill="auto"/>
            <w:noWrap/>
            <w:vAlign w:val="bottom"/>
            <w:hideMark/>
          </w:tcPr>
          <w:p w14:paraId="1F439EA4" w14:textId="77777777" w:rsidR="00C1568B" w:rsidRPr="00A52AEE" w:rsidRDefault="00C1568B" w:rsidP="00FE68E8">
            <w:pPr>
              <w:jc w:val="right"/>
              <w:rPr>
                <w:lang w:eastAsia="en-GB"/>
              </w:rPr>
            </w:pPr>
            <w:r w:rsidRPr="00A52AEE">
              <w:rPr>
                <w:lang w:eastAsia="en-GB"/>
              </w:rPr>
              <w:t>28%</w:t>
            </w:r>
          </w:p>
        </w:tc>
        <w:tc>
          <w:tcPr>
            <w:tcW w:w="741" w:type="pct"/>
            <w:tcBorders>
              <w:top w:val="nil"/>
              <w:left w:val="nil"/>
              <w:bottom w:val="single" w:sz="4" w:space="0" w:color="auto"/>
              <w:right w:val="single" w:sz="4" w:space="0" w:color="auto"/>
            </w:tcBorders>
            <w:shd w:val="clear" w:color="auto" w:fill="auto"/>
            <w:noWrap/>
            <w:vAlign w:val="bottom"/>
            <w:hideMark/>
          </w:tcPr>
          <w:p w14:paraId="0029B79F" w14:textId="77777777" w:rsidR="00C1568B" w:rsidRPr="00A52AEE" w:rsidRDefault="00C1568B" w:rsidP="00FE68E8">
            <w:pPr>
              <w:jc w:val="right"/>
              <w:rPr>
                <w:lang w:eastAsia="en-GB"/>
              </w:rPr>
            </w:pPr>
            <w:r w:rsidRPr="00A52AEE">
              <w:rPr>
                <w:lang w:eastAsia="en-GB"/>
              </w:rPr>
              <w:t>15%</w:t>
            </w:r>
          </w:p>
        </w:tc>
        <w:tc>
          <w:tcPr>
            <w:tcW w:w="492" w:type="pct"/>
            <w:tcBorders>
              <w:top w:val="nil"/>
              <w:left w:val="nil"/>
              <w:bottom w:val="single" w:sz="4" w:space="0" w:color="auto"/>
              <w:right w:val="single" w:sz="4" w:space="0" w:color="auto"/>
            </w:tcBorders>
            <w:shd w:val="clear" w:color="auto" w:fill="auto"/>
            <w:noWrap/>
            <w:vAlign w:val="bottom"/>
            <w:hideMark/>
          </w:tcPr>
          <w:p w14:paraId="5B761185" w14:textId="77777777" w:rsidR="00C1568B" w:rsidRPr="00A52AEE" w:rsidRDefault="00C1568B" w:rsidP="00FE68E8">
            <w:pPr>
              <w:jc w:val="right"/>
              <w:rPr>
                <w:lang w:eastAsia="en-GB"/>
              </w:rPr>
            </w:pPr>
            <w:r w:rsidRPr="00A52AEE">
              <w:rPr>
                <w:lang w:eastAsia="en-GB"/>
              </w:rPr>
              <w:t>16%</w:t>
            </w:r>
          </w:p>
        </w:tc>
        <w:tc>
          <w:tcPr>
            <w:tcW w:w="905" w:type="pct"/>
            <w:tcBorders>
              <w:top w:val="nil"/>
              <w:left w:val="nil"/>
              <w:bottom w:val="single" w:sz="4" w:space="0" w:color="auto"/>
              <w:right w:val="single" w:sz="4" w:space="0" w:color="auto"/>
            </w:tcBorders>
            <w:shd w:val="clear" w:color="auto" w:fill="auto"/>
            <w:noWrap/>
            <w:vAlign w:val="bottom"/>
            <w:hideMark/>
          </w:tcPr>
          <w:p w14:paraId="5B8B1573" w14:textId="77777777" w:rsidR="00C1568B" w:rsidRPr="00A52AEE" w:rsidRDefault="00C1568B" w:rsidP="00FE68E8">
            <w:pPr>
              <w:jc w:val="right"/>
              <w:rPr>
                <w:lang w:eastAsia="en-GB"/>
              </w:rPr>
            </w:pPr>
            <w:r w:rsidRPr="00A52AEE">
              <w:rPr>
                <w:lang w:eastAsia="en-GB"/>
              </w:rPr>
              <w:t>25%</w:t>
            </w:r>
          </w:p>
        </w:tc>
      </w:tr>
      <w:tr w:rsidR="00FD05F1" w:rsidRPr="00A52AEE" w14:paraId="7847F107" w14:textId="77777777" w:rsidTr="00A63CC4">
        <w:trPr>
          <w:trHeight w:val="300"/>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D88686B" w14:textId="2B90656D" w:rsidR="00FD05F1" w:rsidRPr="00A52AEE" w:rsidRDefault="00FD05F1" w:rsidP="00A63CC4">
            <w:pPr>
              <w:rPr>
                <w:lang w:eastAsia="en-GB"/>
              </w:rPr>
            </w:pPr>
            <w:bookmarkStart w:id="85" w:name="_Toc411437018"/>
            <w:r w:rsidRPr="00A52AEE">
              <w:rPr>
                <w:lang w:eastAsia="en-GB"/>
              </w:rPr>
              <w:t>Westminster</w:t>
            </w:r>
          </w:p>
        </w:tc>
        <w:tc>
          <w:tcPr>
            <w:tcW w:w="621" w:type="pct"/>
            <w:tcBorders>
              <w:top w:val="nil"/>
              <w:left w:val="nil"/>
              <w:bottom w:val="single" w:sz="4" w:space="0" w:color="auto"/>
              <w:right w:val="single" w:sz="4" w:space="0" w:color="auto"/>
            </w:tcBorders>
            <w:shd w:val="clear" w:color="auto" w:fill="auto"/>
            <w:noWrap/>
            <w:vAlign w:val="bottom"/>
            <w:hideMark/>
          </w:tcPr>
          <w:p w14:paraId="151A93DC" w14:textId="77777777" w:rsidR="00FD05F1" w:rsidRPr="00A52AEE" w:rsidRDefault="00FD05F1" w:rsidP="00A63CC4">
            <w:pPr>
              <w:jc w:val="right"/>
              <w:rPr>
                <w:lang w:eastAsia="en-GB"/>
              </w:rPr>
            </w:pPr>
            <w:r w:rsidRPr="00A52AEE">
              <w:rPr>
                <w:lang w:eastAsia="en-GB"/>
              </w:rPr>
              <w:t>15%</w:t>
            </w:r>
          </w:p>
        </w:tc>
        <w:tc>
          <w:tcPr>
            <w:tcW w:w="576" w:type="pct"/>
            <w:tcBorders>
              <w:top w:val="nil"/>
              <w:left w:val="nil"/>
              <w:bottom w:val="single" w:sz="4" w:space="0" w:color="auto"/>
              <w:right w:val="single" w:sz="4" w:space="0" w:color="auto"/>
            </w:tcBorders>
            <w:shd w:val="clear" w:color="auto" w:fill="auto"/>
            <w:noWrap/>
            <w:vAlign w:val="bottom"/>
            <w:hideMark/>
          </w:tcPr>
          <w:p w14:paraId="37A7213C" w14:textId="77777777" w:rsidR="00FD05F1" w:rsidRPr="00A52AEE" w:rsidRDefault="00FD05F1" w:rsidP="00A63CC4">
            <w:pPr>
              <w:jc w:val="right"/>
              <w:rPr>
                <w:lang w:eastAsia="en-GB"/>
              </w:rPr>
            </w:pPr>
            <w:r w:rsidRPr="00A52AEE">
              <w:rPr>
                <w:lang w:eastAsia="en-GB"/>
              </w:rPr>
              <w:t>29%</w:t>
            </w:r>
          </w:p>
        </w:tc>
        <w:tc>
          <w:tcPr>
            <w:tcW w:w="741" w:type="pct"/>
            <w:tcBorders>
              <w:top w:val="nil"/>
              <w:left w:val="nil"/>
              <w:bottom w:val="single" w:sz="4" w:space="0" w:color="auto"/>
              <w:right w:val="single" w:sz="4" w:space="0" w:color="auto"/>
            </w:tcBorders>
            <w:shd w:val="clear" w:color="auto" w:fill="auto"/>
            <w:noWrap/>
            <w:vAlign w:val="bottom"/>
            <w:hideMark/>
          </w:tcPr>
          <w:p w14:paraId="21B2CB1F" w14:textId="77777777" w:rsidR="00FD05F1" w:rsidRPr="00A52AEE" w:rsidRDefault="00FD05F1" w:rsidP="00A63CC4">
            <w:pPr>
              <w:jc w:val="right"/>
              <w:rPr>
                <w:lang w:eastAsia="en-GB"/>
              </w:rPr>
            </w:pPr>
            <w:r w:rsidRPr="00A52AEE">
              <w:rPr>
                <w:lang w:eastAsia="en-GB"/>
              </w:rPr>
              <w:t>20%</w:t>
            </w:r>
          </w:p>
        </w:tc>
        <w:tc>
          <w:tcPr>
            <w:tcW w:w="492" w:type="pct"/>
            <w:tcBorders>
              <w:top w:val="nil"/>
              <w:left w:val="nil"/>
              <w:bottom w:val="single" w:sz="4" w:space="0" w:color="auto"/>
              <w:right w:val="single" w:sz="4" w:space="0" w:color="auto"/>
            </w:tcBorders>
            <w:shd w:val="clear" w:color="auto" w:fill="auto"/>
            <w:noWrap/>
            <w:vAlign w:val="bottom"/>
            <w:hideMark/>
          </w:tcPr>
          <w:p w14:paraId="6327334F" w14:textId="77777777" w:rsidR="00FD05F1" w:rsidRPr="00A52AEE" w:rsidRDefault="00FD05F1" w:rsidP="00A63CC4">
            <w:pPr>
              <w:jc w:val="right"/>
              <w:rPr>
                <w:lang w:eastAsia="en-GB"/>
              </w:rPr>
            </w:pPr>
            <w:r w:rsidRPr="00A52AEE">
              <w:rPr>
                <w:lang w:eastAsia="en-GB"/>
              </w:rPr>
              <w:t>12%</w:t>
            </w:r>
          </w:p>
        </w:tc>
        <w:tc>
          <w:tcPr>
            <w:tcW w:w="905" w:type="pct"/>
            <w:tcBorders>
              <w:top w:val="nil"/>
              <w:left w:val="nil"/>
              <w:bottom w:val="single" w:sz="4" w:space="0" w:color="auto"/>
              <w:right w:val="single" w:sz="4" w:space="0" w:color="auto"/>
            </w:tcBorders>
            <w:shd w:val="clear" w:color="auto" w:fill="auto"/>
            <w:noWrap/>
            <w:vAlign w:val="bottom"/>
            <w:hideMark/>
          </w:tcPr>
          <w:p w14:paraId="71E84FBD" w14:textId="77777777" w:rsidR="00FD05F1" w:rsidRPr="00A52AEE" w:rsidRDefault="00FD05F1" w:rsidP="00A63CC4">
            <w:pPr>
              <w:jc w:val="right"/>
              <w:rPr>
                <w:lang w:eastAsia="en-GB"/>
              </w:rPr>
            </w:pPr>
            <w:r w:rsidRPr="00A52AEE">
              <w:rPr>
                <w:lang w:eastAsia="en-GB"/>
              </w:rPr>
              <w:t>24%</w:t>
            </w:r>
          </w:p>
        </w:tc>
      </w:tr>
    </w:tbl>
    <w:p w14:paraId="7DF3C8B1" w14:textId="6D81E739" w:rsidR="002E286F" w:rsidRDefault="00FD05F1" w:rsidP="002E286F">
      <w:r>
        <w:t>* Percentages have been rounded</w:t>
      </w:r>
    </w:p>
    <w:p w14:paraId="3429B171" w14:textId="77777777" w:rsidR="00752E93" w:rsidRPr="00A52AEE" w:rsidRDefault="00752E93" w:rsidP="008D527A">
      <w:pPr>
        <w:pStyle w:val="Heading2"/>
        <w:rPr>
          <w:rFonts w:eastAsiaTheme="minorHAnsi"/>
        </w:rPr>
      </w:pPr>
    </w:p>
    <w:p w14:paraId="314B8338" w14:textId="65ACADD9" w:rsidR="00DD24BB" w:rsidRPr="003C0656" w:rsidRDefault="003C0656" w:rsidP="008D527A">
      <w:pPr>
        <w:pStyle w:val="Heading2"/>
      </w:pPr>
      <w:bookmarkStart w:id="86" w:name="_Toc429151315"/>
      <w:r w:rsidRPr="003C0656">
        <w:t>4.11</w:t>
      </w:r>
      <w:r w:rsidRPr="003C0656">
        <w:tab/>
      </w:r>
      <w:r w:rsidR="00752E93" w:rsidRPr="003C0656">
        <w:tab/>
      </w:r>
      <w:r w:rsidR="00167733" w:rsidRPr="003C0656">
        <w:t xml:space="preserve">Breakdown of the cohorts </w:t>
      </w:r>
      <w:r w:rsidR="00DD24BB" w:rsidRPr="003C0656">
        <w:t>by educational disadvantage</w:t>
      </w:r>
      <w:bookmarkEnd w:id="85"/>
      <w:bookmarkEnd w:id="86"/>
    </w:p>
    <w:p w14:paraId="159A3F84" w14:textId="2CFF48A1" w:rsidR="00167733" w:rsidRPr="00A52AEE" w:rsidRDefault="00DD24BB" w:rsidP="00A52AEE">
      <w:r w:rsidRPr="00855E4A">
        <w:t>Two measures of disadvantage are used in this report. Firstly, educational disadvantage is explored using HEFCE’s POLAR3 indicator</w:t>
      </w:r>
      <w:sdt>
        <w:sdtPr>
          <w:id w:val="-356037448"/>
          <w:citation/>
        </w:sdtPr>
        <w:sdtEndPr/>
        <w:sdtContent>
          <w:r w:rsidRPr="00855E4A">
            <w:fldChar w:fldCharType="begin"/>
          </w:r>
          <w:r w:rsidRPr="00855E4A">
            <w:instrText xml:space="preserve">CITATION HEF143 \l 2057 </w:instrText>
          </w:r>
          <w:r w:rsidRPr="00855E4A">
            <w:fldChar w:fldCharType="separate"/>
          </w:r>
          <w:r w:rsidR="004E52FE">
            <w:rPr>
              <w:noProof/>
            </w:rPr>
            <w:t xml:space="preserve"> (HEFCE, 2014b)</w:t>
          </w:r>
          <w:r w:rsidRPr="00855E4A">
            <w:fldChar w:fldCharType="end"/>
          </w:r>
        </w:sdtContent>
      </w:sdt>
      <w:r w:rsidRPr="00855E4A">
        <w:t xml:space="preserve"> where the tracked cohorts are profiled according to HE participation in their home neighbourhood.  POLAR3 data estimates how likely young people are to go into HE according to where they live at the age of 15. Students living in an area classified as POLAR3 Quintiles 1 and 2 </w:t>
      </w:r>
      <w:r w:rsidR="00435CBE" w:rsidRPr="00855E4A">
        <w:t xml:space="preserve">(Q1-Q2) </w:t>
      </w:r>
      <w:r w:rsidRPr="00855E4A">
        <w:t xml:space="preserve">are in the lowest 40% in the country in terms of HE participation rates and educational disadvantage. HEFCE research shows that young participation rates in London are the highest in the country and </w:t>
      </w:r>
      <w:r w:rsidR="0038127C" w:rsidRPr="00855E4A">
        <w:t>therefore, student</w:t>
      </w:r>
      <w:r w:rsidR="002E286F">
        <w:t>s</w:t>
      </w:r>
      <w:r w:rsidR="0038127C" w:rsidRPr="00855E4A">
        <w:t xml:space="preserve"> with economic disadvantage living in London may still have higher HE participation rates than their </w:t>
      </w:r>
      <w:r w:rsidR="00752E93" w:rsidRPr="00855E4A">
        <w:t>non-London</w:t>
      </w:r>
      <w:r w:rsidR="0038127C" w:rsidRPr="00855E4A">
        <w:t xml:space="preserve"> peers. This means that many disadvantaged students in London will not be classified as living in POLAR3 Q1 or Q2 area. Nevertheless, POLAR3 data is still a valid classification system in the sense that it classifies according to HE progression and London students living in Q1 and Q2 areas are</w:t>
      </w:r>
      <w:r w:rsidR="0038127C" w:rsidRPr="00A52AEE">
        <w:t xml:space="preserve"> much less likely </w:t>
      </w:r>
      <w:r w:rsidR="00167733" w:rsidRPr="00A52AEE">
        <w:t xml:space="preserve">to progress </w:t>
      </w:r>
      <w:r w:rsidR="0038127C" w:rsidRPr="00A52AEE">
        <w:t>than their London peers in Q4</w:t>
      </w:r>
      <w:r w:rsidR="00167733" w:rsidRPr="00A52AEE">
        <w:t xml:space="preserve"> and </w:t>
      </w:r>
      <w:r w:rsidR="0038127C" w:rsidRPr="00A52AEE">
        <w:t>5</w:t>
      </w:r>
      <w:r w:rsidR="00167733" w:rsidRPr="00A52AEE">
        <w:t xml:space="preserve"> areas</w:t>
      </w:r>
      <w:r w:rsidR="0038127C" w:rsidRPr="00A52AEE">
        <w:t xml:space="preserve">. </w:t>
      </w:r>
    </w:p>
    <w:p w14:paraId="2411A25D" w14:textId="77777777" w:rsidR="00167733" w:rsidRPr="00A52AEE" w:rsidRDefault="00167733" w:rsidP="00A52AEE"/>
    <w:p w14:paraId="269B97EA" w14:textId="472F3A22" w:rsidR="0038127C" w:rsidRPr="00A52AEE" w:rsidRDefault="00167733" w:rsidP="00A52AEE">
      <w:pPr>
        <w:rPr>
          <w:rFonts w:cs="Arial"/>
        </w:rPr>
      </w:pPr>
      <w:r w:rsidRPr="00A52AEE">
        <w:rPr>
          <w:rFonts w:cs="Arial"/>
        </w:rPr>
        <w:t>A second</w:t>
      </w:r>
      <w:r w:rsidR="0038127C" w:rsidRPr="00A52AEE">
        <w:rPr>
          <w:rFonts w:cs="Arial"/>
        </w:rPr>
        <w:t xml:space="preserve"> measure is also used, the IDACI </w:t>
      </w:r>
      <w:r w:rsidR="00DD24BB" w:rsidRPr="00A52AEE">
        <w:rPr>
          <w:rFonts w:cs="Arial"/>
        </w:rPr>
        <w:t xml:space="preserve">metric provides an indicator of Income Deprivation Affecting Children. </w:t>
      </w:r>
      <w:r w:rsidR="0038127C" w:rsidRPr="00A52AEE">
        <w:t xml:space="preserve">By examining IDACI and POLAR3 data together HEFCE showed that 42% of children affected by income deprivation were classified as POLAR3 quintile 3. This measure provides a better indication of overall disadvantage for London students. </w:t>
      </w:r>
    </w:p>
    <w:p w14:paraId="493706CC" w14:textId="77777777" w:rsidR="00DD24BB" w:rsidRPr="00A52AEE" w:rsidRDefault="00DD24BB" w:rsidP="00A52AEE"/>
    <w:p w14:paraId="5F0CAD6E" w14:textId="01B22C96" w:rsidR="00DD24BB" w:rsidRPr="00A52AEE" w:rsidRDefault="00DD24BB" w:rsidP="00A52AEE">
      <w:r w:rsidRPr="00A52AEE">
        <w:t xml:space="preserve">Table </w:t>
      </w:r>
      <w:r w:rsidR="00B03413">
        <w:t>11</w:t>
      </w:r>
      <w:r w:rsidRPr="00A52AEE">
        <w:t xml:space="preserve"> shows that the proportion of </w:t>
      </w:r>
      <w:r w:rsidR="00435CBE" w:rsidRPr="00A52AEE">
        <w:t xml:space="preserve">London </w:t>
      </w:r>
      <w:r w:rsidRPr="00A52AEE">
        <w:t xml:space="preserve">FE and Sixth Form College </w:t>
      </w:r>
      <w:r w:rsidR="0021637B" w:rsidRPr="00A52AEE">
        <w:t>Level</w:t>
      </w:r>
      <w:r w:rsidRPr="00A52AEE">
        <w:t xml:space="preserve"> 3 cohort classified as living </w:t>
      </w:r>
      <w:r w:rsidR="00435CBE" w:rsidRPr="00A52AEE">
        <w:t>in</w:t>
      </w:r>
      <w:r w:rsidRPr="00A52AEE">
        <w:t xml:space="preserve"> the most educationally disadvantaged areas in </w:t>
      </w:r>
      <w:r w:rsidR="00435CBE" w:rsidRPr="00A52AEE">
        <w:t>England using POLAR3 (Q1-Q2)</w:t>
      </w:r>
      <w:r w:rsidRPr="00A52AEE">
        <w:t xml:space="preserve"> </w:t>
      </w:r>
      <w:r w:rsidR="00435CBE" w:rsidRPr="00A52AEE">
        <w:t>is around 13-14%</w:t>
      </w:r>
      <w:r w:rsidRPr="00A52AEE">
        <w:t xml:space="preserve">, while students classified as living in an educationally advantaged area (Q5) </w:t>
      </w:r>
      <w:r w:rsidR="00435CBE" w:rsidRPr="00A52AEE">
        <w:t>is between 27%-29%. This compares to a national profile of FE college students where around 41% are classified as Q1-Q2 and 17%-19%</w:t>
      </w:r>
      <w:r w:rsidRPr="00A52AEE">
        <w:t xml:space="preserve"> </w:t>
      </w:r>
      <w:r w:rsidR="00435CBE" w:rsidRPr="00A52AEE">
        <w:t xml:space="preserve">are classified as Q5 </w:t>
      </w:r>
      <w:r w:rsidRPr="00A52AEE">
        <w:t xml:space="preserve">in the same period. </w:t>
      </w:r>
    </w:p>
    <w:p w14:paraId="04662F54" w14:textId="77777777" w:rsidR="00DD24BB" w:rsidRPr="00A52AEE" w:rsidRDefault="00DD24BB" w:rsidP="00A52AEE"/>
    <w:p w14:paraId="5F325F3D" w14:textId="4D19BC60" w:rsidR="00DD24BB" w:rsidRPr="00855E4A" w:rsidRDefault="00DD24BB" w:rsidP="00A52AEE">
      <w:pPr>
        <w:rPr>
          <w:b/>
        </w:rPr>
      </w:pPr>
      <w:r w:rsidRPr="00855E4A">
        <w:rPr>
          <w:b/>
        </w:rPr>
        <w:t xml:space="preserve">Table </w:t>
      </w:r>
      <w:r w:rsidR="004D2866">
        <w:rPr>
          <w:b/>
        </w:rPr>
        <w:t>11</w:t>
      </w:r>
      <w:r w:rsidRPr="00855E4A">
        <w:rPr>
          <w:b/>
        </w:rPr>
        <w:t>: Breakdown of the college cohorts by educational disadvantage (POLAR3)</w:t>
      </w:r>
    </w:p>
    <w:p w14:paraId="4A1EDDB8" w14:textId="77777777" w:rsidR="00752E93" w:rsidRPr="00A52AEE" w:rsidRDefault="00752E93" w:rsidP="00A52AEE"/>
    <w:tbl>
      <w:tblPr>
        <w:tblW w:w="5043" w:type="pct"/>
        <w:tblLook w:val="04A0" w:firstRow="1" w:lastRow="0" w:firstColumn="1" w:lastColumn="0" w:noHBand="0" w:noVBand="1"/>
      </w:tblPr>
      <w:tblGrid>
        <w:gridCol w:w="1700"/>
        <w:gridCol w:w="825"/>
        <w:gridCol w:w="753"/>
        <w:gridCol w:w="825"/>
        <w:gridCol w:w="753"/>
        <w:gridCol w:w="825"/>
        <w:gridCol w:w="753"/>
        <w:gridCol w:w="825"/>
        <w:gridCol w:w="816"/>
        <w:gridCol w:w="825"/>
        <w:gridCol w:w="753"/>
      </w:tblGrid>
      <w:tr w:rsidR="00855E4A" w:rsidRPr="00855E4A" w14:paraId="1AE0DDD4" w14:textId="77777777" w:rsidTr="00855E4A">
        <w:trPr>
          <w:trHeight w:val="524"/>
        </w:trPr>
        <w:tc>
          <w:tcPr>
            <w:tcW w:w="889"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A7C8A11" w14:textId="77777777" w:rsidR="00DD24BB" w:rsidRPr="00855E4A" w:rsidRDefault="00DD24BB" w:rsidP="00A52AEE">
            <w:pPr>
              <w:rPr>
                <w:b/>
                <w:color w:val="FFFFFF" w:themeColor="background1"/>
              </w:rPr>
            </w:pPr>
            <w:r w:rsidRPr="00855E4A">
              <w:rPr>
                <w:b/>
                <w:color w:val="FFFFFF" w:themeColor="background1"/>
              </w:rPr>
              <w:t>POLAR3 quintiles</w:t>
            </w:r>
          </w:p>
        </w:tc>
        <w:tc>
          <w:tcPr>
            <w:tcW w:w="814"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6C97F07" w14:textId="77777777" w:rsidR="00DD24BB" w:rsidRPr="00855E4A" w:rsidRDefault="00DD24BB" w:rsidP="00855E4A">
            <w:pPr>
              <w:jc w:val="center"/>
              <w:rPr>
                <w:b/>
                <w:color w:val="FFFFFF" w:themeColor="background1"/>
              </w:rPr>
            </w:pPr>
            <w:r w:rsidRPr="00855E4A">
              <w:rPr>
                <w:b/>
                <w:color w:val="FFFFFF" w:themeColor="background1"/>
              </w:rPr>
              <w:t>2007-08</w:t>
            </w:r>
          </w:p>
        </w:tc>
        <w:tc>
          <w:tcPr>
            <w:tcW w:w="813"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B1AE2A4" w14:textId="77777777" w:rsidR="00DD24BB" w:rsidRPr="00855E4A" w:rsidRDefault="00DD24BB" w:rsidP="00855E4A">
            <w:pPr>
              <w:jc w:val="center"/>
              <w:rPr>
                <w:b/>
                <w:color w:val="FFFFFF" w:themeColor="background1"/>
              </w:rPr>
            </w:pPr>
            <w:r w:rsidRPr="00855E4A">
              <w:rPr>
                <w:b/>
                <w:color w:val="FFFFFF" w:themeColor="background1"/>
              </w:rPr>
              <w:t>2008-09</w:t>
            </w:r>
          </w:p>
        </w:tc>
        <w:tc>
          <w:tcPr>
            <w:tcW w:w="813"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5175A922" w14:textId="77777777" w:rsidR="00DD24BB" w:rsidRPr="00855E4A" w:rsidRDefault="00DD24BB" w:rsidP="00855E4A">
            <w:pPr>
              <w:jc w:val="center"/>
              <w:rPr>
                <w:b/>
                <w:color w:val="FFFFFF" w:themeColor="background1"/>
              </w:rPr>
            </w:pPr>
            <w:r w:rsidRPr="00855E4A">
              <w:rPr>
                <w:b/>
                <w:color w:val="FFFFFF" w:themeColor="background1"/>
              </w:rPr>
              <w:t>2009-10</w:t>
            </w:r>
          </w:p>
        </w:tc>
        <w:tc>
          <w:tcPr>
            <w:tcW w:w="857"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9E66B6C" w14:textId="77777777" w:rsidR="00DD24BB" w:rsidRPr="00855E4A" w:rsidRDefault="00DD24BB" w:rsidP="00855E4A">
            <w:pPr>
              <w:jc w:val="center"/>
              <w:rPr>
                <w:b/>
                <w:color w:val="FFFFFF" w:themeColor="background1"/>
              </w:rPr>
            </w:pPr>
            <w:r w:rsidRPr="00855E4A">
              <w:rPr>
                <w:b/>
                <w:color w:val="FFFFFF" w:themeColor="background1"/>
              </w:rPr>
              <w:t>2010-11</w:t>
            </w:r>
          </w:p>
        </w:tc>
        <w:tc>
          <w:tcPr>
            <w:tcW w:w="813" w:type="pct"/>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7B3E18F" w14:textId="77777777" w:rsidR="00DD24BB" w:rsidRPr="00855E4A" w:rsidRDefault="00DD24BB" w:rsidP="00855E4A">
            <w:pPr>
              <w:jc w:val="center"/>
              <w:rPr>
                <w:b/>
                <w:color w:val="FFFFFF" w:themeColor="background1"/>
              </w:rPr>
            </w:pPr>
            <w:r w:rsidRPr="00855E4A">
              <w:rPr>
                <w:b/>
                <w:color w:val="FFFFFF" w:themeColor="background1"/>
              </w:rPr>
              <w:t>2011-12</w:t>
            </w:r>
          </w:p>
        </w:tc>
      </w:tr>
      <w:tr w:rsidR="00855E4A" w:rsidRPr="00855E4A" w14:paraId="416F98B9" w14:textId="77777777" w:rsidTr="006101C5">
        <w:trPr>
          <w:trHeight w:val="1522"/>
        </w:trPr>
        <w:tc>
          <w:tcPr>
            <w:tcW w:w="88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FAACE4E" w14:textId="77777777" w:rsidR="00DD24BB" w:rsidRPr="00855E4A" w:rsidRDefault="00DD24BB" w:rsidP="00A52AEE">
            <w:pPr>
              <w:rPr>
                <w:b/>
                <w:color w:val="FFFFFF" w:themeColor="background1"/>
              </w:rPr>
            </w:pPr>
          </w:p>
        </w:tc>
        <w:tc>
          <w:tcPr>
            <w:tcW w:w="420"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16B95A55" w14:textId="77777777" w:rsidR="00DD24BB" w:rsidRPr="00855E4A" w:rsidRDefault="00DD24BB" w:rsidP="00855E4A">
            <w:pPr>
              <w:jc w:val="center"/>
              <w:rPr>
                <w:b/>
                <w:color w:val="FFFFFF" w:themeColor="background1"/>
              </w:rPr>
            </w:pPr>
            <w:r w:rsidRPr="00855E4A">
              <w:rPr>
                <w:b/>
                <w:color w:val="FFFFFF" w:themeColor="background1"/>
              </w:rPr>
              <w:t>Population</w:t>
            </w:r>
          </w:p>
        </w:tc>
        <w:tc>
          <w:tcPr>
            <w:tcW w:w="394"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5FCB3A1B" w14:textId="77777777" w:rsidR="00DD24BB" w:rsidRPr="00855E4A" w:rsidRDefault="00DD24BB" w:rsidP="00855E4A">
            <w:pPr>
              <w:jc w:val="center"/>
              <w:rPr>
                <w:b/>
                <w:color w:val="FFFFFF" w:themeColor="background1"/>
              </w:rPr>
            </w:pPr>
            <w:r w:rsidRPr="00855E4A">
              <w:rPr>
                <w:b/>
                <w:color w:val="FFFFFF" w:themeColor="background1"/>
              </w:rPr>
              <w:t>% of population</w:t>
            </w:r>
          </w:p>
        </w:tc>
        <w:tc>
          <w:tcPr>
            <w:tcW w:w="419"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128105BD" w14:textId="77777777" w:rsidR="00DD24BB" w:rsidRPr="00855E4A" w:rsidRDefault="00DD24BB" w:rsidP="00855E4A">
            <w:pPr>
              <w:jc w:val="center"/>
              <w:rPr>
                <w:b/>
                <w:color w:val="FFFFFF" w:themeColor="background1"/>
              </w:rPr>
            </w:pPr>
            <w:r w:rsidRPr="00855E4A">
              <w:rPr>
                <w:b/>
                <w:color w:val="FFFFFF" w:themeColor="background1"/>
              </w:rPr>
              <w:t>Population</w:t>
            </w:r>
          </w:p>
        </w:tc>
        <w:tc>
          <w:tcPr>
            <w:tcW w:w="394"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7AC5D4A9" w14:textId="77777777" w:rsidR="00DD24BB" w:rsidRPr="00855E4A" w:rsidRDefault="00DD24BB" w:rsidP="00855E4A">
            <w:pPr>
              <w:jc w:val="center"/>
              <w:rPr>
                <w:b/>
                <w:color w:val="FFFFFF" w:themeColor="background1"/>
              </w:rPr>
            </w:pPr>
            <w:r w:rsidRPr="00855E4A">
              <w:rPr>
                <w:b/>
                <w:color w:val="FFFFFF" w:themeColor="background1"/>
              </w:rPr>
              <w:t>% of population</w:t>
            </w:r>
          </w:p>
        </w:tc>
        <w:tc>
          <w:tcPr>
            <w:tcW w:w="419"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127C4FA8" w14:textId="77777777" w:rsidR="00DD24BB" w:rsidRPr="00855E4A" w:rsidRDefault="00DD24BB" w:rsidP="00855E4A">
            <w:pPr>
              <w:jc w:val="center"/>
              <w:rPr>
                <w:b/>
                <w:color w:val="FFFFFF" w:themeColor="background1"/>
              </w:rPr>
            </w:pPr>
            <w:r w:rsidRPr="00855E4A">
              <w:rPr>
                <w:b/>
                <w:color w:val="FFFFFF" w:themeColor="background1"/>
              </w:rPr>
              <w:t>Population</w:t>
            </w:r>
          </w:p>
        </w:tc>
        <w:tc>
          <w:tcPr>
            <w:tcW w:w="394"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4608A80A" w14:textId="77777777" w:rsidR="00DD24BB" w:rsidRPr="00855E4A" w:rsidRDefault="00DD24BB" w:rsidP="00855E4A">
            <w:pPr>
              <w:jc w:val="center"/>
              <w:rPr>
                <w:b/>
                <w:color w:val="FFFFFF" w:themeColor="background1"/>
              </w:rPr>
            </w:pPr>
            <w:r w:rsidRPr="00855E4A">
              <w:rPr>
                <w:b/>
                <w:color w:val="FFFFFF" w:themeColor="background1"/>
              </w:rPr>
              <w:t>% of population</w:t>
            </w:r>
          </w:p>
        </w:tc>
        <w:tc>
          <w:tcPr>
            <w:tcW w:w="419"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55235076" w14:textId="77777777" w:rsidR="00DD24BB" w:rsidRPr="00855E4A" w:rsidRDefault="00DD24BB" w:rsidP="00855E4A">
            <w:pPr>
              <w:jc w:val="center"/>
              <w:rPr>
                <w:b/>
                <w:color w:val="FFFFFF" w:themeColor="background1"/>
              </w:rPr>
            </w:pPr>
            <w:r w:rsidRPr="00855E4A">
              <w:rPr>
                <w:b/>
                <w:color w:val="FFFFFF" w:themeColor="background1"/>
              </w:rPr>
              <w:t>Population</w:t>
            </w:r>
          </w:p>
        </w:tc>
        <w:tc>
          <w:tcPr>
            <w:tcW w:w="438"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46D2ADFC" w14:textId="77777777" w:rsidR="00DD24BB" w:rsidRPr="00855E4A" w:rsidRDefault="00DD24BB" w:rsidP="00855E4A">
            <w:pPr>
              <w:jc w:val="center"/>
              <w:rPr>
                <w:b/>
                <w:color w:val="FFFFFF" w:themeColor="background1"/>
              </w:rPr>
            </w:pPr>
            <w:r w:rsidRPr="00855E4A">
              <w:rPr>
                <w:b/>
                <w:color w:val="FFFFFF" w:themeColor="background1"/>
              </w:rPr>
              <w:t>% of population</w:t>
            </w:r>
          </w:p>
        </w:tc>
        <w:tc>
          <w:tcPr>
            <w:tcW w:w="419"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1B6984B3" w14:textId="77777777" w:rsidR="00DD24BB" w:rsidRPr="00855E4A" w:rsidRDefault="00DD24BB" w:rsidP="00855E4A">
            <w:pPr>
              <w:jc w:val="center"/>
              <w:rPr>
                <w:b/>
                <w:color w:val="FFFFFF" w:themeColor="background1"/>
              </w:rPr>
            </w:pPr>
            <w:r w:rsidRPr="00855E4A">
              <w:rPr>
                <w:b/>
                <w:color w:val="FFFFFF" w:themeColor="background1"/>
              </w:rPr>
              <w:t>Population</w:t>
            </w:r>
          </w:p>
        </w:tc>
        <w:tc>
          <w:tcPr>
            <w:tcW w:w="394"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3A148CF0" w14:textId="77777777" w:rsidR="00DD24BB" w:rsidRPr="00855E4A" w:rsidRDefault="00DD24BB" w:rsidP="00855E4A">
            <w:pPr>
              <w:jc w:val="center"/>
              <w:rPr>
                <w:b/>
                <w:color w:val="FFFFFF" w:themeColor="background1"/>
              </w:rPr>
            </w:pPr>
            <w:r w:rsidRPr="00855E4A">
              <w:rPr>
                <w:b/>
                <w:color w:val="FFFFFF" w:themeColor="background1"/>
              </w:rPr>
              <w:t>% of population</w:t>
            </w:r>
          </w:p>
        </w:tc>
      </w:tr>
      <w:tr w:rsidR="0038127C" w:rsidRPr="00A52AEE" w14:paraId="1B4FB0FE" w14:textId="77777777" w:rsidTr="00752E93">
        <w:trPr>
          <w:trHeight w:val="333"/>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7142BA42" w14:textId="77777777" w:rsidR="0038127C" w:rsidRPr="005E08C9" w:rsidRDefault="0038127C" w:rsidP="00A52AEE">
            <w:pPr>
              <w:rPr>
                <w:b/>
              </w:rPr>
            </w:pPr>
            <w:r w:rsidRPr="005E08C9">
              <w:rPr>
                <w:b/>
              </w:rPr>
              <w:t>Q1 - most disadvantaged</w:t>
            </w:r>
          </w:p>
        </w:tc>
        <w:tc>
          <w:tcPr>
            <w:tcW w:w="420" w:type="pct"/>
            <w:tcBorders>
              <w:top w:val="nil"/>
              <w:left w:val="nil"/>
              <w:bottom w:val="single" w:sz="4" w:space="0" w:color="auto"/>
              <w:right w:val="single" w:sz="4" w:space="0" w:color="auto"/>
            </w:tcBorders>
            <w:shd w:val="clear" w:color="000000" w:fill="FFFFFF"/>
            <w:vAlign w:val="center"/>
            <w:hideMark/>
          </w:tcPr>
          <w:p w14:paraId="27F07A01" w14:textId="3E32C3E3" w:rsidR="0038127C" w:rsidRPr="00A52AEE" w:rsidRDefault="0038127C" w:rsidP="00FE68E8">
            <w:pPr>
              <w:jc w:val="right"/>
            </w:pPr>
            <w:r w:rsidRPr="00A52AEE">
              <w:t>1635</w:t>
            </w:r>
          </w:p>
        </w:tc>
        <w:tc>
          <w:tcPr>
            <w:tcW w:w="394" w:type="pct"/>
            <w:tcBorders>
              <w:top w:val="nil"/>
              <w:left w:val="nil"/>
              <w:bottom w:val="single" w:sz="4" w:space="0" w:color="auto"/>
              <w:right w:val="single" w:sz="4" w:space="0" w:color="auto"/>
            </w:tcBorders>
            <w:shd w:val="clear" w:color="000000" w:fill="FFFFFF"/>
            <w:vAlign w:val="center"/>
            <w:hideMark/>
          </w:tcPr>
          <w:p w14:paraId="4F852DF0" w14:textId="39E2E5AB" w:rsidR="0038127C" w:rsidRPr="00A52AEE" w:rsidRDefault="0038127C" w:rsidP="00FE68E8">
            <w:pPr>
              <w:jc w:val="right"/>
            </w:pPr>
            <w:r w:rsidRPr="00A52AEE">
              <w:t>4%</w:t>
            </w:r>
          </w:p>
        </w:tc>
        <w:tc>
          <w:tcPr>
            <w:tcW w:w="419" w:type="pct"/>
            <w:tcBorders>
              <w:top w:val="nil"/>
              <w:left w:val="nil"/>
              <w:bottom w:val="single" w:sz="4" w:space="0" w:color="auto"/>
              <w:right w:val="single" w:sz="4" w:space="0" w:color="auto"/>
            </w:tcBorders>
            <w:shd w:val="clear" w:color="000000" w:fill="FFFFFF"/>
            <w:vAlign w:val="center"/>
            <w:hideMark/>
          </w:tcPr>
          <w:p w14:paraId="43402528" w14:textId="7E10BFC7" w:rsidR="0038127C" w:rsidRPr="00A52AEE" w:rsidRDefault="0038127C" w:rsidP="00FE68E8">
            <w:pPr>
              <w:jc w:val="right"/>
            </w:pPr>
            <w:r w:rsidRPr="00A52AEE">
              <w:t>1925</w:t>
            </w:r>
          </w:p>
        </w:tc>
        <w:tc>
          <w:tcPr>
            <w:tcW w:w="394" w:type="pct"/>
            <w:tcBorders>
              <w:top w:val="nil"/>
              <w:left w:val="nil"/>
              <w:bottom w:val="single" w:sz="4" w:space="0" w:color="auto"/>
              <w:right w:val="single" w:sz="4" w:space="0" w:color="auto"/>
            </w:tcBorders>
            <w:shd w:val="clear" w:color="000000" w:fill="FFFFFF"/>
            <w:vAlign w:val="center"/>
            <w:hideMark/>
          </w:tcPr>
          <w:p w14:paraId="0EDE48A0" w14:textId="2F5C0B5E" w:rsidR="0038127C" w:rsidRPr="00A52AEE" w:rsidRDefault="0038127C" w:rsidP="00FE68E8">
            <w:pPr>
              <w:jc w:val="right"/>
            </w:pPr>
            <w:r w:rsidRPr="00A52AEE">
              <w:t>4%</w:t>
            </w:r>
          </w:p>
        </w:tc>
        <w:tc>
          <w:tcPr>
            <w:tcW w:w="419" w:type="pct"/>
            <w:tcBorders>
              <w:top w:val="nil"/>
              <w:left w:val="nil"/>
              <w:bottom w:val="single" w:sz="4" w:space="0" w:color="auto"/>
              <w:right w:val="single" w:sz="4" w:space="0" w:color="auto"/>
            </w:tcBorders>
            <w:shd w:val="clear" w:color="000000" w:fill="FFFFFF"/>
            <w:vAlign w:val="center"/>
            <w:hideMark/>
          </w:tcPr>
          <w:p w14:paraId="0094D47B" w14:textId="47B4814E" w:rsidR="0038127C" w:rsidRPr="00A52AEE" w:rsidRDefault="0038127C" w:rsidP="00FE68E8">
            <w:pPr>
              <w:jc w:val="right"/>
            </w:pPr>
            <w:r w:rsidRPr="00A52AEE">
              <w:t>2225</w:t>
            </w:r>
          </w:p>
        </w:tc>
        <w:tc>
          <w:tcPr>
            <w:tcW w:w="394" w:type="pct"/>
            <w:tcBorders>
              <w:top w:val="nil"/>
              <w:left w:val="nil"/>
              <w:bottom w:val="single" w:sz="4" w:space="0" w:color="auto"/>
              <w:right w:val="single" w:sz="4" w:space="0" w:color="auto"/>
            </w:tcBorders>
            <w:shd w:val="clear" w:color="000000" w:fill="FFFFFF"/>
            <w:vAlign w:val="center"/>
            <w:hideMark/>
          </w:tcPr>
          <w:p w14:paraId="68A8288E" w14:textId="644DD397" w:rsidR="0038127C" w:rsidRPr="00A52AEE" w:rsidRDefault="0038127C" w:rsidP="00FE68E8">
            <w:pPr>
              <w:jc w:val="right"/>
            </w:pPr>
            <w:r w:rsidRPr="00A52AEE">
              <w:t>5%</w:t>
            </w:r>
          </w:p>
        </w:tc>
        <w:tc>
          <w:tcPr>
            <w:tcW w:w="419" w:type="pct"/>
            <w:tcBorders>
              <w:top w:val="nil"/>
              <w:left w:val="nil"/>
              <w:bottom w:val="single" w:sz="4" w:space="0" w:color="auto"/>
              <w:right w:val="single" w:sz="4" w:space="0" w:color="auto"/>
            </w:tcBorders>
            <w:shd w:val="clear" w:color="000000" w:fill="FFFFFF"/>
            <w:vAlign w:val="center"/>
            <w:hideMark/>
          </w:tcPr>
          <w:p w14:paraId="1628C06F" w14:textId="6052E0F4" w:rsidR="0038127C" w:rsidRPr="00A52AEE" w:rsidRDefault="0038127C" w:rsidP="00FE68E8">
            <w:pPr>
              <w:jc w:val="right"/>
            </w:pPr>
            <w:r w:rsidRPr="00A52AEE">
              <w:t>1810</w:t>
            </w:r>
          </w:p>
        </w:tc>
        <w:tc>
          <w:tcPr>
            <w:tcW w:w="438" w:type="pct"/>
            <w:tcBorders>
              <w:top w:val="nil"/>
              <w:left w:val="nil"/>
              <w:bottom w:val="single" w:sz="4" w:space="0" w:color="auto"/>
              <w:right w:val="single" w:sz="4" w:space="0" w:color="auto"/>
            </w:tcBorders>
            <w:shd w:val="clear" w:color="000000" w:fill="FFFFFF"/>
            <w:vAlign w:val="center"/>
            <w:hideMark/>
          </w:tcPr>
          <w:p w14:paraId="346B1008" w14:textId="42ADDD71" w:rsidR="0038127C" w:rsidRPr="00A52AEE" w:rsidRDefault="0038127C" w:rsidP="00FE68E8">
            <w:pPr>
              <w:jc w:val="right"/>
            </w:pPr>
            <w:r w:rsidRPr="00A52AEE">
              <w:t>4%</w:t>
            </w:r>
          </w:p>
        </w:tc>
        <w:tc>
          <w:tcPr>
            <w:tcW w:w="419" w:type="pct"/>
            <w:tcBorders>
              <w:top w:val="nil"/>
              <w:left w:val="nil"/>
              <w:bottom w:val="single" w:sz="4" w:space="0" w:color="auto"/>
              <w:right w:val="single" w:sz="4" w:space="0" w:color="auto"/>
            </w:tcBorders>
            <w:shd w:val="clear" w:color="000000" w:fill="FFFFFF"/>
            <w:vAlign w:val="center"/>
            <w:hideMark/>
          </w:tcPr>
          <w:p w14:paraId="0A52D51B" w14:textId="79D22FB4" w:rsidR="0038127C" w:rsidRPr="00A52AEE" w:rsidRDefault="0038127C" w:rsidP="00FE68E8">
            <w:pPr>
              <w:jc w:val="right"/>
            </w:pPr>
            <w:r w:rsidRPr="00A52AEE">
              <w:t>1935</w:t>
            </w:r>
          </w:p>
        </w:tc>
        <w:tc>
          <w:tcPr>
            <w:tcW w:w="394" w:type="pct"/>
            <w:tcBorders>
              <w:top w:val="nil"/>
              <w:left w:val="nil"/>
              <w:bottom w:val="single" w:sz="4" w:space="0" w:color="auto"/>
              <w:right w:val="single" w:sz="4" w:space="0" w:color="auto"/>
            </w:tcBorders>
            <w:shd w:val="clear" w:color="000000" w:fill="FFFFFF"/>
            <w:vAlign w:val="center"/>
            <w:hideMark/>
          </w:tcPr>
          <w:p w14:paraId="26C62A40" w14:textId="4C2DAB65" w:rsidR="0038127C" w:rsidRPr="00A52AEE" w:rsidRDefault="0038127C" w:rsidP="00FE68E8">
            <w:pPr>
              <w:jc w:val="right"/>
            </w:pPr>
            <w:r w:rsidRPr="00A52AEE">
              <w:t>4%</w:t>
            </w:r>
          </w:p>
        </w:tc>
      </w:tr>
      <w:tr w:rsidR="0038127C" w:rsidRPr="00A52AEE" w14:paraId="7454D011" w14:textId="77777777" w:rsidTr="00752E93">
        <w:trPr>
          <w:trHeight w:val="356"/>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5B45CEA6" w14:textId="77777777" w:rsidR="0038127C" w:rsidRPr="005E08C9" w:rsidRDefault="0038127C" w:rsidP="00A52AEE">
            <w:pPr>
              <w:rPr>
                <w:b/>
              </w:rPr>
            </w:pPr>
            <w:r w:rsidRPr="005E08C9">
              <w:rPr>
                <w:b/>
              </w:rPr>
              <w:t>Q2</w:t>
            </w:r>
          </w:p>
        </w:tc>
        <w:tc>
          <w:tcPr>
            <w:tcW w:w="420" w:type="pct"/>
            <w:tcBorders>
              <w:top w:val="nil"/>
              <w:left w:val="nil"/>
              <w:bottom w:val="single" w:sz="4" w:space="0" w:color="auto"/>
              <w:right w:val="single" w:sz="4" w:space="0" w:color="auto"/>
            </w:tcBorders>
            <w:shd w:val="clear" w:color="000000" w:fill="FFFFFF"/>
            <w:vAlign w:val="center"/>
            <w:hideMark/>
          </w:tcPr>
          <w:p w14:paraId="20158FFF" w14:textId="3912D377" w:rsidR="0038127C" w:rsidRPr="00A52AEE" w:rsidRDefault="0038127C" w:rsidP="00FE68E8">
            <w:pPr>
              <w:jc w:val="right"/>
            </w:pPr>
            <w:r w:rsidRPr="00A52AEE">
              <w:t>3630</w:t>
            </w:r>
          </w:p>
        </w:tc>
        <w:tc>
          <w:tcPr>
            <w:tcW w:w="394" w:type="pct"/>
            <w:tcBorders>
              <w:top w:val="nil"/>
              <w:left w:val="nil"/>
              <w:bottom w:val="single" w:sz="4" w:space="0" w:color="auto"/>
              <w:right w:val="single" w:sz="4" w:space="0" w:color="auto"/>
            </w:tcBorders>
            <w:shd w:val="clear" w:color="000000" w:fill="FFFFFF"/>
            <w:vAlign w:val="center"/>
            <w:hideMark/>
          </w:tcPr>
          <w:p w14:paraId="7641ED5E" w14:textId="24E06C2C" w:rsidR="0038127C" w:rsidRPr="00A52AEE" w:rsidRDefault="0038127C" w:rsidP="00FE68E8">
            <w:pPr>
              <w:jc w:val="right"/>
            </w:pPr>
            <w:r w:rsidRPr="00A52AEE">
              <w:t>9%</w:t>
            </w:r>
          </w:p>
        </w:tc>
        <w:tc>
          <w:tcPr>
            <w:tcW w:w="419" w:type="pct"/>
            <w:tcBorders>
              <w:top w:val="nil"/>
              <w:left w:val="nil"/>
              <w:bottom w:val="single" w:sz="4" w:space="0" w:color="auto"/>
              <w:right w:val="single" w:sz="4" w:space="0" w:color="auto"/>
            </w:tcBorders>
            <w:shd w:val="clear" w:color="000000" w:fill="FFFFFF"/>
            <w:vAlign w:val="center"/>
            <w:hideMark/>
          </w:tcPr>
          <w:p w14:paraId="5A3C3724" w14:textId="07B1DA58" w:rsidR="0038127C" w:rsidRPr="00A52AEE" w:rsidRDefault="0038127C" w:rsidP="00FE68E8">
            <w:pPr>
              <w:jc w:val="right"/>
            </w:pPr>
            <w:r w:rsidRPr="00A52AEE">
              <w:t>4025</w:t>
            </w:r>
          </w:p>
        </w:tc>
        <w:tc>
          <w:tcPr>
            <w:tcW w:w="394" w:type="pct"/>
            <w:tcBorders>
              <w:top w:val="nil"/>
              <w:left w:val="nil"/>
              <w:bottom w:val="single" w:sz="4" w:space="0" w:color="auto"/>
              <w:right w:val="single" w:sz="4" w:space="0" w:color="auto"/>
            </w:tcBorders>
            <w:shd w:val="clear" w:color="000000" w:fill="FFFFFF"/>
            <w:vAlign w:val="center"/>
            <w:hideMark/>
          </w:tcPr>
          <w:p w14:paraId="531C53FE" w14:textId="4815BBDF" w:rsidR="0038127C" w:rsidRPr="00A52AEE" w:rsidRDefault="0038127C" w:rsidP="00FE68E8">
            <w:pPr>
              <w:jc w:val="right"/>
            </w:pPr>
            <w:r w:rsidRPr="00A52AEE">
              <w:t>9%</w:t>
            </w:r>
          </w:p>
        </w:tc>
        <w:tc>
          <w:tcPr>
            <w:tcW w:w="419" w:type="pct"/>
            <w:tcBorders>
              <w:top w:val="nil"/>
              <w:left w:val="nil"/>
              <w:bottom w:val="single" w:sz="4" w:space="0" w:color="auto"/>
              <w:right w:val="single" w:sz="4" w:space="0" w:color="auto"/>
            </w:tcBorders>
            <w:shd w:val="clear" w:color="000000" w:fill="FFFFFF"/>
            <w:vAlign w:val="center"/>
            <w:hideMark/>
          </w:tcPr>
          <w:p w14:paraId="00CF110B" w14:textId="04A2C7CF" w:rsidR="0038127C" w:rsidRPr="00A52AEE" w:rsidRDefault="0038127C" w:rsidP="00FE68E8">
            <w:pPr>
              <w:jc w:val="right"/>
            </w:pPr>
            <w:r w:rsidRPr="00A52AEE">
              <w:t>4400</w:t>
            </w:r>
          </w:p>
        </w:tc>
        <w:tc>
          <w:tcPr>
            <w:tcW w:w="394" w:type="pct"/>
            <w:tcBorders>
              <w:top w:val="nil"/>
              <w:left w:val="nil"/>
              <w:bottom w:val="single" w:sz="4" w:space="0" w:color="auto"/>
              <w:right w:val="single" w:sz="4" w:space="0" w:color="auto"/>
            </w:tcBorders>
            <w:shd w:val="clear" w:color="000000" w:fill="FFFFFF"/>
            <w:vAlign w:val="center"/>
            <w:hideMark/>
          </w:tcPr>
          <w:p w14:paraId="22CD7757" w14:textId="3F378ADC" w:rsidR="0038127C" w:rsidRPr="00A52AEE" w:rsidRDefault="0038127C" w:rsidP="00FE68E8">
            <w:pPr>
              <w:jc w:val="right"/>
            </w:pPr>
            <w:r w:rsidRPr="00A52AEE">
              <w:t>10%</w:t>
            </w:r>
          </w:p>
        </w:tc>
        <w:tc>
          <w:tcPr>
            <w:tcW w:w="419" w:type="pct"/>
            <w:tcBorders>
              <w:top w:val="nil"/>
              <w:left w:val="nil"/>
              <w:bottom w:val="single" w:sz="4" w:space="0" w:color="auto"/>
              <w:right w:val="single" w:sz="4" w:space="0" w:color="auto"/>
            </w:tcBorders>
            <w:shd w:val="clear" w:color="000000" w:fill="FFFFFF"/>
            <w:vAlign w:val="center"/>
            <w:hideMark/>
          </w:tcPr>
          <w:p w14:paraId="3F67FBC1" w14:textId="5FAEA464" w:rsidR="0038127C" w:rsidRPr="00A52AEE" w:rsidRDefault="0038127C" w:rsidP="00FE68E8">
            <w:pPr>
              <w:jc w:val="right"/>
            </w:pPr>
            <w:r w:rsidRPr="00A52AEE">
              <w:t>3850</w:t>
            </w:r>
          </w:p>
        </w:tc>
        <w:tc>
          <w:tcPr>
            <w:tcW w:w="438" w:type="pct"/>
            <w:tcBorders>
              <w:top w:val="nil"/>
              <w:left w:val="nil"/>
              <w:bottom w:val="single" w:sz="4" w:space="0" w:color="auto"/>
              <w:right w:val="single" w:sz="4" w:space="0" w:color="auto"/>
            </w:tcBorders>
            <w:shd w:val="clear" w:color="000000" w:fill="FFFFFF"/>
            <w:vAlign w:val="center"/>
            <w:hideMark/>
          </w:tcPr>
          <w:p w14:paraId="1331F478" w14:textId="050398CF" w:rsidR="0038127C" w:rsidRPr="00A52AEE" w:rsidRDefault="0038127C" w:rsidP="00FE68E8">
            <w:pPr>
              <w:jc w:val="right"/>
            </w:pPr>
            <w:r w:rsidRPr="00A52AEE">
              <w:t>9%</w:t>
            </w:r>
          </w:p>
        </w:tc>
        <w:tc>
          <w:tcPr>
            <w:tcW w:w="419" w:type="pct"/>
            <w:tcBorders>
              <w:top w:val="nil"/>
              <w:left w:val="nil"/>
              <w:bottom w:val="single" w:sz="4" w:space="0" w:color="auto"/>
              <w:right w:val="single" w:sz="4" w:space="0" w:color="auto"/>
            </w:tcBorders>
            <w:shd w:val="clear" w:color="000000" w:fill="FFFFFF"/>
            <w:vAlign w:val="center"/>
            <w:hideMark/>
          </w:tcPr>
          <w:p w14:paraId="7E7C5730" w14:textId="7696AC30" w:rsidR="0038127C" w:rsidRPr="00A52AEE" w:rsidRDefault="0038127C" w:rsidP="00FE68E8">
            <w:pPr>
              <w:jc w:val="right"/>
            </w:pPr>
            <w:r w:rsidRPr="00A52AEE">
              <w:t>4450</w:t>
            </w:r>
          </w:p>
        </w:tc>
        <w:tc>
          <w:tcPr>
            <w:tcW w:w="394" w:type="pct"/>
            <w:tcBorders>
              <w:top w:val="nil"/>
              <w:left w:val="nil"/>
              <w:bottom w:val="single" w:sz="4" w:space="0" w:color="auto"/>
              <w:right w:val="single" w:sz="4" w:space="0" w:color="auto"/>
            </w:tcBorders>
            <w:shd w:val="clear" w:color="000000" w:fill="FFFFFF"/>
            <w:vAlign w:val="center"/>
            <w:hideMark/>
          </w:tcPr>
          <w:p w14:paraId="0329C41A" w14:textId="1E5ABAB5" w:rsidR="0038127C" w:rsidRPr="00A52AEE" w:rsidRDefault="0038127C" w:rsidP="00FE68E8">
            <w:pPr>
              <w:jc w:val="right"/>
            </w:pPr>
            <w:r w:rsidRPr="00A52AEE">
              <w:t>10%</w:t>
            </w:r>
          </w:p>
        </w:tc>
      </w:tr>
      <w:tr w:rsidR="0038127C" w:rsidRPr="00A52AEE" w14:paraId="54BB38F3" w14:textId="77777777" w:rsidTr="00752E93">
        <w:trPr>
          <w:trHeight w:val="300"/>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74BF05F9" w14:textId="77777777" w:rsidR="0038127C" w:rsidRPr="005E08C9" w:rsidRDefault="0038127C" w:rsidP="00A52AEE">
            <w:pPr>
              <w:rPr>
                <w:b/>
              </w:rPr>
            </w:pPr>
            <w:r w:rsidRPr="005E08C9">
              <w:rPr>
                <w:b/>
              </w:rPr>
              <w:t>Q3</w:t>
            </w:r>
          </w:p>
        </w:tc>
        <w:tc>
          <w:tcPr>
            <w:tcW w:w="420" w:type="pct"/>
            <w:tcBorders>
              <w:top w:val="nil"/>
              <w:left w:val="nil"/>
              <w:bottom w:val="single" w:sz="4" w:space="0" w:color="auto"/>
              <w:right w:val="single" w:sz="4" w:space="0" w:color="auto"/>
            </w:tcBorders>
            <w:shd w:val="clear" w:color="000000" w:fill="FFFFFF"/>
            <w:vAlign w:val="center"/>
            <w:hideMark/>
          </w:tcPr>
          <w:p w14:paraId="5F5524A8" w14:textId="795BEF5E" w:rsidR="0038127C" w:rsidRPr="00A52AEE" w:rsidRDefault="0038127C" w:rsidP="00FE68E8">
            <w:pPr>
              <w:jc w:val="right"/>
            </w:pPr>
            <w:r w:rsidRPr="00A52AEE">
              <w:t>12280</w:t>
            </w:r>
          </w:p>
        </w:tc>
        <w:tc>
          <w:tcPr>
            <w:tcW w:w="394" w:type="pct"/>
            <w:tcBorders>
              <w:top w:val="nil"/>
              <w:left w:val="nil"/>
              <w:bottom w:val="single" w:sz="4" w:space="0" w:color="auto"/>
              <w:right w:val="single" w:sz="4" w:space="0" w:color="auto"/>
            </w:tcBorders>
            <w:shd w:val="clear" w:color="000000" w:fill="FFFFFF"/>
            <w:vAlign w:val="center"/>
            <w:hideMark/>
          </w:tcPr>
          <w:p w14:paraId="606C1CF7" w14:textId="73414E94" w:rsidR="0038127C" w:rsidRPr="00A52AEE" w:rsidRDefault="0038127C" w:rsidP="00FE68E8">
            <w:pPr>
              <w:jc w:val="right"/>
            </w:pPr>
            <w:r w:rsidRPr="00A52AEE">
              <w:t>29%</w:t>
            </w:r>
          </w:p>
        </w:tc>
        <w:tc>
          <w:tcPr>
            <w:tcW w:w="419" w:type="pct"/>
            <w:tcBorders>
              <w:top w:val="nil"/>
              <w:left w:val="nil"/>
              <w:bottom w:val="single" w:sz="4" w:space="0" w:color="auto"/>
              <w:right w:val="single" w:sz="4" w:space="0" w:color="auto"/>
            </w:tcBorders>
            <w:shd w:val="clear" w:color="000000" w:fill="FFFFFF"/>
            <w:vAlign w:val="center"/>
            <w:hideMark/>
          </w:tcPr>
          <w:p w14:paraId="2EA02B10" w14:textId="1697B203" w:rsidR="0038127C" w:rsidRPr="00A52AEE" w:rsidRDefault="0038127C" w:rsidP="00FE68E8">
            <w:pPr>
              <w:jc w:val="right"/>
            </w:pPr>
            <w:r w:rsidRPr="00A52AEE">
              <w:t>13065</w:t>
            </w:r>
          </w:p>
        </w:tc>
        <w:tc>
          <w:tcPr>
            <w:tcW w:w="394" w:type="pct"/>
            <w:tcBorders>
              <w:top w:val="nil"/>
              <w:left w:val="nil"/>
              <w:bottom w:val="single" w:sz="4" w:space="0" w:color="auto"/>
              <w:right w:val="single" w:sz="4" w:space="0" w:color="auto"/>
            </w:tcBorders>
            <w:shd w:val="clear" w:color="000000" w:fill="FFFFFF"/>
            <w:vAlign w:val="center"/>
            <w:hideMark/>
          </w:tcPr>
          <w:p w14:paraId="51A0DDE7" w14:textId="6F8494A4" w:rsidR="0038127C" w:rsidRPr="00A52AEE" w:rsidRDefault="0038127C" w:rsidP="00FE68E8">
            <w:pPr>
              <w:jc w:val="right"/>
            </w:pPr>
            <w:r w:rsidRPr="00A52AEE">
              <w:t>30%</w:t>
            </w:r>
          </w:p>
        </w:tc>
        <w:tc>
          <w:tcPr>
            <w:tcW w:w="419" w:type="pct"/>
            <w:tcBorders>
              <w:top w:val="nil"/>
              <w:left w:val="nil"/>
              <w:bottom w:val="single" w:sz="4" w:space="0" w:color="auto"/>
              <w:right w:val="single" w:sz="4" w:space="0" w:color="auto"/>
            </w:tcBorders>
            <w:shd w:val="clear" w:color="000000" w:fill="FFFFFF"/>
            <w:vAlign w:val="center"/>
            <w:hideMark/>
          </w:tcPr>
          <w:p w14:paraId="236DBFA3" w14:textId="680DC4AE" w:rsidR="0038127C" w:rsidRPr="00A52AEE" w:rsidRDefault="0038127C" w:rsidP="00FE68E8">
            <w:pPr>
              <w:jc w:val="right"/>
            </w:pPr>
            <w:r w:rsidRPr="00A52AEE">
              <w:t>13750</w:t>
            </w:r>
          </w:p>
        </w:tc>
        <w:tc>
          <w:tcPr>
            <w:tcW w:w="394" w:type="pct"/>
            <w:tcBorders>
              <w:top w:val="nil"/>
              <w:left w:val="nil"/>
              <w:bottom w:val="single" w:sz="4" w:space="0" w:color="auto"/>
              <w:right w:val="single" w:sz="4" w:space="0" w:color="auto"/>
            </w:tcBorders>
            <w:shd w:val="clear" w:color="000000" w:fill="FFFFFF"/>
            <w:vAlign w:val="center"/>
            <w:hideMark/>
          </w:tcPr>
          <w:p w14:paraId="445D8617" w14:textId="5A7BC385" w:rsidR="0038127C" w:rsidRPr="00A52AEE" w:rsidRDefault="0038127C" w:rsidP="00FE68E8">
            <w:pPr>
              <w:jc w:val="right"/>
            </w:pPr>
            <w:r w:rsidRPr="00A52AEE">
              <w:t>30%</w:t>
            </w:r>
          </w:p>
        </w:tc>
        <w:tc>
          <w:tcPr>
            <w:tcW w:w="419" w:type="pct"/>
            <w:tcBorders>
              <w:top w:val="nil"/>
              <w:left w:val="nil"/>
              <w:bottom w:val="single" w:sz="4" w:space="0" w:color="auto"/>
              <w:right w:val="single" w:sz="4" w:space="0" w:color="auto"/>
            </w:tcBorders>
            <w:shd w:val="clear" w:color="000000" w:fill="FFFFFF"/>
            <w:vAlign w:val="center"/>
            <w:hideMark/>
          </w:tcPr>
          <w:p w14:paraId="52EDEAD5" w14:textId="3BD14790" w:rsidR="0038127C" w:rsidRPr="00A52AEE" w:rsidRDefault="0038127C" w:rsidP="00FE68E8">
            <w:pPr>
              <w:jc w:val="right"/>
            </w:pPr>
            <w:r w:rsidRPr="00A52AEE">
              <w:t>13215</w:t>
            </w:r>
          </w:p>
        </w:tc>
        <w:tc>
          <w:tcPr>
            <w:tcW w:w="438" w:type="pct"/>
            <w:tcBorders>
              <w:top w:val="nil"/>
              <w:left w:val="nil"/>
              <w:bottom w:val="single" w:sz="4" w:space="0" w:color="auto"/>
              <w:right w:val="single" w:sz="4" w:space="0" w:color="auto"/>
            </w:tcBorders>
            <w:shd w:val="clear" w:color="000000" w:fill="FFFFFF"/>
            <w:vAlign w:val="center"/>
            <w:hideMark/>
          </w:tcPr>
          <w:p w14:paraId="0C56DC5A" w14:textId="067BC9A2" w:rsidR="0038127C" w:rsidRPr="00A52AEE" w:rsidRDefault="0038127C" w:rsidP="00FE68E8">
            <w:pPr>
              <w:jc w:val="right"/>
            </w:pPr>
            <w:r w:rsidRPr="00A52AEE">
              <w:t>31%</w:t>
            </w:r>
          </w:p>
        </w:tc>
        <w:tc>
          <w:tcPr>
            <w:tcW w:w="419" w:type="pct"/>
            <w:tcBorders>
              <w:top w:val="nil"/>
              <w:left w:val="nil"/>
              <w:bottom w:val="single" w:sz="4" w:space="0" w:color="auto"/>
              <w:right w:val="single" w:sz="4" w:space="0" w:color="auto"/>
            </w:tcBorders>
            <w:shd w:val="clear" w:color="000000" w:fill="FFFFFF"/>
            <w:vAlign w:val="center"/>
            <w:hideMark/>
          </w:tcPr>
          <w:p w14:paraId="7B501C8B" w14:textId="685C329D" w:rsidR="0038127C" w:rsidRPr="00A52AEE" w:rsidRDefault="0038127C" w:rsidP="00FE68E8">
            <w:pPr>
              <w:jc w:val="right"/>
            </w:pPr>
            <w:r w:rsidRPr="00A52AEE">
              <w:t>14270</w:t>
            </w:r>
          </w:p>
        </w:tc>
        <w:tc>
          <w:tcPr>
            <w:tcW w:w="394" w:type="pct"/>
            <w:tcBorders>
              <w:top w:val="nil"/>
              <w:left w:val="nil"/>
              <w:bottom w:val="single" w:sz="4" w:space="0" w:color="auto"/>
              <w:right w:val="single" w:sz="4" w:space="0" w:color="auto"/>
            </w:tcBorders>
            <w:shd w:val="clear" w:color="000000" w:fill="FFFFFF"/>
            <w:vAlign w:val="center"/>
            <w:hideMark/>
          </w:tcPr>
          <w:p w14:paraId="4B63F502" w14:textId="30455EC5" w:rsidR="0038127C" w:rsidRPr="00A52AEE" w:rsidRDefault="0038127C" w:rsidP="00FE68E8">
            <w:pPr>
              <w:jc w:val="right"/>
            </w:pPr>
            <w:r w:rsidRPr="00A52AEE">
              <w:t>31%</w:t>
            </w:r>
          </w:p>
        </w:tc>
      </w:tr>
      <w:tr w:rsidR="0038127C" w:rsidRPr="00A52AEE" w14:paraId="2C793D68" w14:textId="77777777" w:rsidTr="00752E93">
        <w:trPr>
          <w:trHeight w:val="300"/>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2D849958" w14:textId="77777777" w:rsidR="0038127C" w:rsidRPr="005E08C9" w:rsidRDefault="0038127C" w:rsidP="00A52AEE">
            <w:pPr>
              <w:rPr>
                <w:b/>
              </w:rPr>
            </w:pPr>
            <w:r w:rsidRPr="005E08C9">
              <w:rPr>
                <w:b/>
              </w:rPr>
              <w:t>Q4</w:t>
            </w:r>
          </w:p>
        </w:tc>
        <w:tc>
          <w:tcPr>
            <w:tcW w:w="420" w:type="pct"/>
            <w:tcBorders>
              <w:top w:val="nil"/>
              <w:left w:val="nil"/>
              <w:bottom w:val="single" w:sz="4" w:space="0" w:color="auto"/>
              <w:right w:val="single" w:sz="4" w:space="0" w:color="auto"/>
            </w:tcBorders>
            <w:shd w:val="clear" w:color="000000" w:fill="FFFFFF"/>
            <w:vAlign w:val="center"/>
            <w:hideMark/>
          </w:tcPr>
          <w:p w14:paraId="52FBA15B" w14:textId="7DD1ADFE" w:rsidR="0038127C" w:rsidRPr="00A52AEE" w:rsidRDefault="0038127C" w:rsidP="00FE68E8">
            <w:pPr>
              <w:jc w:val="right"/>
            </w:pPr>
            <w:r w:rsidRPr="00A52AEE">
              <w:t>11990</w:t>
            </w:r>
          </w:p>
        </w:tc>
        <w:tc>
          <w:tcPr>
            <w:tcW w:w="394" w:type="pct"/>
            <w:tcBorders>
              <w:top w:val="nil"/>
              <w:left w:val="nil"/>
              <w:bottom w:val="single" w:sz="4" w:space="0" w:color="auto"/>
              <w:right w:val="single" w:sz="4" w:space="0" w:color="auto"/>
            </w:tcBorders>
            <w:shd w:val="clear" w:color="000000" w:fill="FFFFFF"/>
            <w:vAlign w:val="center"/>
            <w:hideMark/>
          </w:tcPr>
          <w:p w14:paraId="1A69F87A" w14:textId="374C62C3" w:rsidR="0038127C" w:rsidRPr="00A52AEE" w:rsidRDefault="0038127C" w:rsidP="00FE68E8">
            <w:pPr>
              <w:jc w:val="right"/>
            </w:pPr>
            <w:r w:rsidRPr="00A52AEE">
              <w:t>29%</w:t>
            </w:r>
          </w:p>
        </w:tc>
        <w:tc>
          <w:tcPr>
            <w:tcW w:w="419" w:type="pct"/>
            <w:tcBorders>
              <w:top w:val="nil"/>
              <w:left w:val="nil"/>
              <w:bottom w:val="single" w:sz="4" w:space="0" w:color="auto"/>
              <w:right w:val="single" w:sz="4" w:space="0" w:color="auto"/>
            </w:tcBorders>
            <w:shd w:val="clear" w:color="000000" w:fill="FFFFFF"/>
            <w:vAlign w:val="center"/>
            <w:hideMark/>
          </w:tcPr>
          <w:p w14:paraId="6E6E20AE" w14:textId="2465ECC8" w:rsidR="0038127C" w:rsidRPr="00A52AEE" w:rsidRDefault="0038127C" w:rsidP="00FE68E8">
            <w:pPr>
              <w:jc w:val="right"/>
            </w:pPr>
            <w:r w:rsidRPr="00A52AEE">
              <w:t>12430</w:t>
            </w:r>
          </w:p>
        </w:tc>
        <w:tc>
          <w:tcPr>
            <w:tcW w:w="394" w:type="pct"/>
            <w:tcBorders>
              <w:top w:val="nil"/>
              <w:left w:val="nil"/>
              <w:bottom w:val="single" w:sz="4" w:space="0" w:color="auto"/>
              <w:right w:val="single" w:sz="4" w:space="0" w:color="auto"/>
            </w:tcBorders>
            <w:shd w:val="clear" w:color="000000" w:fill="FFFFFF"/>
            <w:vAlign w:val="center"/>
            <w:hideMark/>
          </w:tcPr>
          <w:p w14:paraId="11E8B48A" w14:textId="3B5EB858" w:rsidR="0038127C" w:rsidRPr="00A52AEE" w:rsidRDefault="0038127C" w:rsidP="00FE68E8">
            <w:pPr>
              <w:jc w:val="right"/>
            </w:pPr>
            <w:r w:rsidRPr="00A52AEE">
              <w:t>28%</w:t>
            </w:r>
          </w:p>
        </w:tc>
        <w:tc>
          <w:tcPr>
            <w:tcW w:w="419" w:type="pct"/>
            <w:tcBorders>
              <w:top w:val="nil"/>
              <w:left w:val="nil"/>
              <w:bottom w:val="single" w:sz="4" w:space="0" w:color="auto"/>
              <w:right w:val="single" w:sz="4" w:space="0" w:color="auto"/>
            </w:tcBorders>
            <w:shd w:val="clear" w:color="000000" w:fill="FFFFFF"/>
            <w:vAlign w:val="center"/>
            <w:hideMark/>
          </w:tcPr>
          <w:p w14:paraId="2762D964" w14:textId="24A08EB3" w:rsidR="0038127C" w:rsidRPr="00A52AEE" w:rsidRDefault="0038127C" w:rsidP="00FE68E8">
            <w:pPr>
              <w:jc w:val="right"/>
            </w:pPr>
            <w:r w:rsidRPr="00A52AEE">
              <w:t>12955</w:t>
            </w:r>
          </w:p>
        </w:tc>
        <w:tc>
          <w:tcPr>
            <w:tcW w:w="394" w:type="pct"/>
            <w:tcBorders>
              <w:top w:val="nil"/>
              <w:left w:val="nil"/>
              <w:bottom w:val="single" w:sz="4" w:space="0" w:color="auto"/>
              <w:right w:val="single" w:sz="4" w:space="0" w:color="auto"/>
            </w:tcBorders>
            <w:shd w:val="clear" w:color="000000" w:fill="FFFFFF"/>
            <w:vAlign w:val="center"/>
            <w:hideMark/>
          </w:tcPr>
          <w:p w14:paraId="163AA134" w14:textId="173EE4C2" w:rsidR="0038127C" w:rsidRPr="00A52AEE" w:rsidRDefault="0038127C" w:rsidP="00FE68E8">
            <w:pPr>
              <w:jc w:val="right"/>
            </w:pPr>
            <w:r w:rsidRPr="00A52AEE">
              <w:t>28%</w:t>
            </w:r>
          </w:p>
        </w:tc>
        <w:tc>
          <w:tcPr>
            <w:tcW w:w="419" w:type="pct"/>
            <w:tcBorders>
              <w:top w:val="nil"/>
              <w:left w:val="nil"/>
              <w:bottom w:val="single" w:sz="4" w:space="0" w:color="auto"/>
              <w:right w:val="single" w:sz="4" w:space="0" w:color="auto"/>
            </w:tcBorders>
            <w:shd w:val="clear" w:color="000000" w:fill="FFFFFF"/>
            <w:vAlign w:val="center"/>
            <w:hideMark/>
          </w:tcPr>
          <w:p w14:paraId="6247137E" w14:textId="771779E5" w:rsidR="0038127C" w:rsidRPr="00A52AEE" w:rsidRDefault="0038127C" w:rsidP="00FE68E8">
            <w:pPr>
              <w:jc w:val="right"/>
            </w:pPr>
            <w:r w:rsidRPr="00A52AEE">
              <w:t>12025</w:t>
            </w:r>
          </w:p>
        </w:tc>
        <w:tc>
          <w:tcPr>
            <w:tcW w:w="438" w:type="pct"/>
            <w:tcBorders>
              <w:top w:val="nil"/>
              <w:left w:val="nil"/>
              <w:bottom w:val="single" w:sz="4" w:space="0" w:color="auto"/>
              <w:right w:val="single" w:sz="4" w:space="0" w:color="auto"/>
            </w:tcBorders>
            <w:shd w:val="clear" w:color="000000" w:fill="FFFFFF"/>
            <w:vAlign w:val="center"/>
            <w:hideMark/>
          </w:tcPr>
          <w:p w14:paraId="5BC3AD2D" w14:textId="1EDE9963" w:rsidR="0038127C" w:rsidRPr="00A52AEE" w:rsidRDefault="0038127C" w:rsidP="00FE68E8">
            <w:pPr>
              <w:jc w:val="right"/>
            </w:pPr>
            <w:r w:rsidRPr="00A52AEE">
              <w:t>28%</w:t>
            </w:r>
          </w:p>
        </w:tc>
        <w:tc>
          <w:tcPr>
            <w:tcW w:w="419" w:type="pct"/>
            <w:tcBorders>
              <w:top w:val="nil"/>
              <w:left w:val="nil"/>
              <w:bottom w:val="single" w:sz="4" w:space="0" w:color="auto"/>
              <w:right w:val="single" w:sz="4" w:space="0" w:color="auto"/>
            </w:tcBorders>
            <w:shd w:val="clear" w:color="000000" w:fill="FFFFFF"/>
            <w:vAlign w:val="center"/>
            <w:hideMark/>
          </w:tcPr>
          <w:p w14:paraId="7CD78078" w14:textId="48ECDBA8" w:rsidR="0038127C" w:rsidRPr="00A52AEE" w:rsidRDefault="0038127C" w:rsidP="00FE68E8">
            <w:pPr>
              <w:jc w:val="right"/>
            </w:pPr>
            <w:r w:rsidRPr="00A52AEE">
              <w:t>13115</w:t>
            </w:r>
          </w:p>
        </w:tc>
        <w:tc>
          <w:tcPr>
            <w:tcW w:w="394" w:type="pct"/>
            <w:tcBorders>
              <w:top w:val="nil"/>
              <w:left w:val="nil"/>
              <w:bottom w:val="single" w:sz="4" w:space="0" w:color="auto"/>
              <w:right w:val="single" w:sz="4" w:space="0" w:color="auto"/>
            </w:tcBorders>
            <w:shd w:val="clear" w:color="000000" w:fill="FFFFFF"/>
            <w:vAlign w:val="center"/>
            <w:hideMark/>
          </w:tcPr>
          <w:p w14:paraId="726875B9" w14:textId="22C86F55" w:rsidR="0038127C" w:rsidRPr="00A52AEE" w:rsidRDefault="0038127C" w:rsidP="00FE68E8">
            <w:pPr>
              <w:jc w:val="right"/>
            </w:pPr>
            <w:r w:rsidRPr="00A52AEE">
              <w:t>28%</w:t>
            </w:r>
          </w:p>
        </w:tc>
      </w:tr>
      <w:tr w:rsidR="0038127C" w:rsidRPr="00A52AEE" w14:paraId="52CDA437" w14:textId="77777777" w:rsidTr="00752E93">
        <w:trPr>
          <w:trHeight w:val="300"/>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42359AB8" w14:textId="77777777" w:rsidR="0038127C" w:rsidRPr="005E08C9" w:rsidRDefault="0038127C" w:rsidP="00A52AEE">
            <w:pPr>
              <w:rPr>
                <w:b/>
              </w:rPr>
            </w:pPr>
            <w:r w:rsidRPr="005E08C9">
              <w:rPr>
                <w:b/>
              </w:rPr>
              <w:t>Q5 - most advantaged</w:t>
            </w:r>
          </w:p>
        </w:tc>
        <w:tc>
          <w:tcPr>
            <w:tcW w:w="420" w:type="pct"/>
            <w:tcBorders>
              <w:top w:val="nil"/>
              <w:left w:val="nil"/>
              <w:bottom w:val="single" w:sz="4" w:space="0" w:color="auto"/>
              <w:right w:val="single" w:sz="4" w:space="0" w:color="auto"/>
            </w:tcBorders>
            <w:shd w:val="clear" w:color="000000" w:fill="FFFFFF"/>
            <w:vAlign w:val="center"/>
            <w:hideMark/>
          </w:tcPr>
          <w:p w14:paraId="1D7D59D1" w14:textId="54A92776" w:rsidR="0038127C" w:rsidRPr="00A52AEE" w:rsidRDefault="0038127C" w:rsidP="00FE68E8">
            <w:pPr>
              <w:jc w:val="right"/>
            </w:pPr>
            <w:r w:rsidRPr="00A52AEE">
              <w:t>12395</w:t>
            </w:r>
          </w:p>
        </w:tc>
        <w:tc>
          <w:tcPr>
            <w:tcW w:w="394" w:type="pct"/>
            <w:tcBorders>
              <w:top w:val="nil"/>
              <w:left w:val="nil"/>
              <w:bottom w:val="single" w:sz="4" w:space="0" w:color="auto"/>
              <w:right w:val="single" w:sz="4" w:space="0" w:color="auto"/>
            </w:tcBorders>
            <w:shd w:val="clear" w:color="000000" w:fill="FFFFFF"/>
            <w:vAlign w:val="center"/>
            <w:hideMark/>
          </w:tcPr>
          <w:p w14:paraId="6CEB59A6" w14:textId="73995AF0" w:rsidR="0038127C" w:rsidRPr="00A52AEE" w:rsidRDefault="0038127C" w:rsidP="00FE68E8">
            <w:pPr>
              <w:jc w:val="right"/>
            </w:pPr>
            <w:r w:rsidRPr="00A52AEE">
              <w:t>29%</w:t>
            </w:r>
          </w:p>
        </w:tc>
        <w:tc>
          <w:tcPr>
            <w:tcW w:w="419" w:type="pct"/>
            <w:tcBorders>
              <w:top w:val="nil"/>
              <w:left w:val="nil"/>
              <w:bottom w:val="single" w:sz="4" w:space="0" w:color="auto"/>
              <w:right w:val="single" w:sz="4" w:space="0" w:color="auto"/>
            </w:tcBorders>
            <w:shd w:val="clear" w:color="000000" w:fill="FFFFFF"/>
            <w:vAlign w:val="center"/>
            <w:hideMark/>
          </w:tcPr>
          <w:p w14:paraId="1BDB3463" w14:textId="5E89542E" w:rsidR="0038127C" w:rsidRPr="00A52AEE" w:rsidRDefault="0038127C" w:rsidP="00FE68E8">
            <w:pPr>
              <w:jc w:val="right"/>
            </w:pPr>
            <w:r w:rsidRPr="00A52AEE">
              <w:t>12590</w:t>
            </w:r>
          </w:p>
        </w:tc>
        <w:tc>
          <w:tcPr>
            <w:tcW w:w="394" w:type="pct"/>
            <w:tcBorders>
              <w:top w:val="nil"/>
              <w:left w:val="nil"/>
              <w:bottom w:val="single" w:sz="4" w:space="0" w:color="auto"/>
              <w:right w:val="single" w:sz="4" w:space="0" w:color="auto"/>
            </w:tcBorders>
            <w:shd w:val="clear" w:color="000000" w:fill="FFFFFF"/>
            <w:vAlign w:val="center"/>
            <w:hideMark/>
          </w:tcPr>
          <w:p w14:paraId="43756FD7" w14:textId="2C32E08A" w:rsidR="0038127C" w:rsidRPr="00A52AEE" w:rsidRDefault="0038127C" w:rsidP="00FE68E8">
            <w:pPr>
              <w:jc w:val="right"/>
            </w:pPr>
            <w:r w:rsidRPr="00A52AEE">
              <w:t>29%</w:t>
            </w:r>
          </w:p>
        </w:tc>
        <w:tc>
          <w:tcPr>
            <w:tcW w:w="419" w:type="pct"/>
            <w:tcBorders>
              <w:top w:val="nil"/>
              <w:left w:val="nil"/>
              <w:bottom w:val="single" w:sz="4" w:space="0" w:color="auto"/>
              <w:right w:val="single" w:sz="4" w:space="0" w:color="auto"/>
            </w:tcBorders>
            <w:shd w:val="clear" w:color="000000" w:fill="FFFFFF"/>
            <w:vAlign w:val="center"/>
            <w:hideMark/>
          </w:tcPr>
          <w:p w14:paraId="0B505596" w14:textId="4ECE25E7" w:rsidR="0038127C" w:rsidRPr="00A52AEE" w:rsidRDefault="0038127C" w:rsidP="00FE68E8">
            <w:pPr>
              <w:jc w:val="right"/>
            </w:pPr>
            <w:r w:rsidRPr="00A52AEE">
              <w:t>12640</w:t>
            </w:r>
          </w:p>
        </w:tc>
        <w:tc>
          <w:tcPr>
            <w:tcW w:w="394" w:type="pct"/>
            <w:tcBorders>
              <w:top w:val="nil"/>
              <w:left w:val="nil"/>
              <w:bottom w:val="single" w:sz="4" w:space="0" w:color="auto"/>
              <w:right w:val="single" w:sz="4" w:space="0" w:color="auto"/>
            </w:tcBorders>
            <w:shd w:val="clear" w:color="000000" w:fill="FFFFFF"/>
            <w:vAlign w:val="center"/>
            <w:hideMark/>
          </w:tcPr>
          <w:p w14:paraId="23F0241A" w14:textId="3415C273" w:rsidR="0038127C" w:rsidRPr="00A52AEE" w:rsidRDefault="0038127C" w:rsidP="00FE68E8">
            <w:pPr>
              <w:jc w:val="right"/>
            </w:pPr>
            <w:r w:rsidRPr="00A52AEE">
              <w:t>27%</w:t>
            </w:r>
          </w:p>
        </w:tc>
        <w:tc>
          <w:tcPr>
            <w:tcW w:w="419" w:type="pct"/>
            <w:tcBorders>
              <w:top w:val="nil"/>
              <w:left w:val="nil"/>
              <w:bottom w:val="single" w:sz="4" w:space="0" w:color="auto"/>
              <w:right w:val="single" w:sz="4" w:space="0" w:color="auto"/>
            </w:tcBorders>
            <w:shd w:val="clear" w:color="000000" w:fill="FFFFFF"/>
            <w:vAlign w:val="center"/>
            <w:hideMark/>
          </w:tcPr>
          <w:p w14:paraId="4EA5AD4C" w14:textId="1F1AD699" w:rsidR="0038127C" w:rsidRPr="00A52AEE" w:rsidRDefault="0038127C" w:rsidP="00FE68E8">
            <w:pPr>
              <w:jc w:val="right"/>
            </w:pPr>
            <w:r w:rsidRPr="00A52AEE">
              <w:t>11845</w:t>
            </w:r>
          </w:p>
        </w:tc>
        <w:tc>
          <w:tcPr>
            <w:tcW w:w="438" w:type="pct"/>
            <w:tcBorders>
              <w:top w:val="nil"/>
              <w:left w:val="nil"/>
              <w:bottom w:val="single" w:sz="4" w:space="0" w:color="auto"/>
              <w:right w:val="single" w:sz="4" w:space="0" w:color="auto"/>
            </w:tcBorders>
            <w:shd w:val="clear" w:color="000000" w:fill="FFFFFF"/>
            <w:vAlign w:val="center"/>
            <w:hideMark/>
          </w:tcPr>
          <w:p w14:paraId="44F60AC2" w14:textId="2B438297" w:rsidR="0038127C" w:rsidRPr="00A52AEE" w:rsidRDefault="0038127C" w:rsidP="00FE68E8">
            <w:pPr>
              <w:jc w:val="right"/>
            </w:pPr>
            <w:r w:rsidRPr="00A52AEE">
              <w:t>28%</w:t>
            </w:r>
          </w:p>
        </w:tc>
        <w:tc>
          <w:tcPr>
            <w:tcW w:w="419" w:type="pct"/>
            <w:tcBorders>
              <w:top w:val="nil"/>
              <w:left w:val="nil"/>
              <w:bottom w:val="single" w:sz="4" w:space="0" w:color="auto"/>
              <w:right w:val="single" w:sz="4" w:space="0" w:color="auto"/>
            </w:tcBorders>
            <w:shd w:val="clear" w:color="000000" w:fill="FFFFFF"/>
            <w:vAlign w:val="center"/>
            <w:hideMark/>
          </w:tcPr>
          <w:p w14:paraId="2E079FA0" w14:textId="073ECC8E" w:rsidR="0038127C" w:rsidRPr="00A52AEE" w:rsidRDefault="0038127C" w:rsidP="00FE68E8">
            <w:pPr>
              <w:jc w:val="right"/>
            </w:pPr>
            <w:r w:rsidRPr="00A52AEE">
              <w:t>12540</w:t>
            </w:r>
          </w:p>
        </w:tc>
        <w:tc>
          <w:tcPr>
            <w:tcW w:w="394" w:type="pct"/>
            <w:tcBorders>
              <w:top w:val="nil"/>
              <w:left w:val="nil"/>
              <w:bottom w:val="single" w:sz="4" w:space="0" w:color="auto"/>
              <w:right w:val="single" w:sz="4" w:space="0" w:color="auto"/>
            </w:tcBorders>
            <w:shd w:val="clear" w:color="000000" w:fill="FFFFFF"/>
            <w:vAlign w:val="center"/>
            <w:hideMark/>
          </w:tcPr>
          <w:p w14:paraId="75838D38" w14:textId="454E130F" w:rsidR="0038127C" w:rsidRPr="00A52AEE" w:rsidRDefault="0038127C" w:rsidP="00FE68E8">
            <w:pPr>
              <w:jc w:val="right"/>
            </w:pPr>
            <w:r w:rsidRPr="00A52AEE">
              <w:t>27%</w:t>
            </w:r>
          </w:p>
        </w:tc>
      </w:tr>
      <w:tr w:rsidR="0038127C" w:rsidRPr="00A52AEE" w14:paraId="269A7F17" w14:textId="77777777" w:rsidTr="00752E93">
        <w:trPr>
          <w:trHeight w:val="300"/>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3621AA06" w14:textId="77777777" w:rsidR="0038127C" w:rsidRPr="005E08C9" w:rsidRDefault="0038127C" w:rsidP="00A52AEE">
            <w:pPr>
              <w:rPr>
                <w:b/>
              </w:rPr>
            </w:pPr>
            <w:r w:rsidRPr="005E08C9">
              <w:rPr>
                <w:b/>
              </w:rPr>
              <w:t>Unknown</w:t>
            </w:r>
          </w:p>
        </w:tc>
        <w:tc>
          <w:tcPr>
            <w:tcW w:w="420" w:type="pct"/>
            <w:tcBorders>
              <w:top w:val="nil"/>
              <w:left w:val="nil"/>
              <w:bottom w:val="single" w:sz="4" w:space="0" w:color="auto"/>
              <w:right w:val="single" w:sz="4" w:space="0" w:color="auto"/>
            </w:tcBorders>
            <w:shd w:val="clear" w:color="000000" w:fill="FFFFFF"/>
            <w:vAlign w:val="center"/>
            <w:hideMark/>
          </w:tcPr>
          <w:p w14:paraId="44846C11" w14:textId="67F4502F" w:rsidR="0038127C" w:rsidRPr="00A52AEE" w:rsidRDefault="0038127C" w:rsidP="00FE68E8">
            <w:pPr>
              <w:jc w:val="right"/>
            </w:pPr>
            <w:r w:rsidRPr="00A52AEE">
              <w:t>130</w:t>
            </w:r>
          </w:p>
        </w:tc>
        <w:tc>
          <w:tcPr>
            <w:tcW w:w="394" w:type="pct"/>
            <w:tcBorders>
              <w:top w:val="nil"/>
              <w:left w:val="nil"/>
              <w:bottom w:val="single" w:sz="4" w:space="0" w:color="auto"/>
              <w:right w:val="single" w:sz="4" w:space="0" w:color="auto"/>
            </w:tcBorders>
            <w:shd w:val="clear" w:color="000000" w:fill="FFFFFF"/>
            <w:vAlign w:val="center"/>
            <w:hideMark/>
          </w:tcPr>
          <w:p w14:paraId="27329162" w14:textId="15049116" w:rsidR="0038127C" w:rsidRPr="00A52AEE" w:rsidRDefault="0038127C" w:rsidP="00FE68E8">
            <w:pPr>
              <w:jc w:val="right"/>
            </w:pPr>
            <w:r w:rsidRPr="00A52AEE">
              <w:t>0%</w:t>
            </w:r>
          </w:p>
        </w:tc>
        <w:tc>
          <w:tcPr>
            <w:tcW w:w="419" w:type="pct"/>
            <w:tcBorders>
              <w:top w:val="nil"/>
              <w:left w:val="nil"/>
              <w:bottom w:val="single" w:sz="4" w:space="0" w:color="auto"/>
              <w:right w:val="single" w:sz="4" w:space="0" w:color="auto"/>
            </w:tcBorders>
            <w:shd w:val="clear" w:color="000000" w:fill="FFFFFF"/>
            <w:vAlign w:val="center"/>
            <w:hideMark/>
          </w:tcPr>
          <w:p w14:paraId="5A0021D6" w14:textId="5EB32608" w:rsidR="0038127C" w:rsidRPr="00A52AEE" w:rsidRDefault="0038127C" w:rsidP="00FE68E8">
            <w:pPr>
              <w:jc w:val="right"/>
            </w:pPr>
            <w:r w:rsidRPr="00A52AEE">
              <w:t>110</w:t>
            </w:r>
          </w:p>
        </w:tc>
        <w:tc>
          <w:tcPr>
            <w:tcW w:w="394" w:type="pct"/>
            <w:tcBorders>
              <w:top w:val="nil"/>
              <w:left w:val="nil"/>
              <w:bottom w:val="single" w:sz="4" w:space="0" w:color="auto"/>
              <w:right w:val="single" w:sz="4" w:space="0" w:color="auto"/>
            </w:tcBorders>
            <w:shd w:val="clear" w:color="000000" w:fill="FFFFFF"/>
            <w:vAlign w:val="center"/>
            <w:hideMark/>
          </w:tcPr>
          <w:p w14:paraId="521EE249" w14:textId="7E830EE1" w:rsidR="0038127C" w:rsidRPr="00A52AEE" w:rsidRDefault="0038127C" w:rsidP="00FE68E8">
            <w:pPr>
              <w:jc w:val="right"/>
            </w:pPr>
            <w:r w:rsidRPr="00A52AEE">
              <w:t>0%</w:t>
            </w:r>
          </w:p>
        </w:tc>
        <w:tc>
          <w:tcPr>
            <w:tcW w:w="419" w:type="pct"/>
            <w:tcBorders>
              <w:top w:val="nil"/>
              <w:left w:val="nil"/>
              <w:bottom w:val="single" w:sz="4" w:space="0" w:color="auto"/>
              <w:right w:val="single" w:sz="4" w:space="0" w:color="auto"/>
            </w:tcBorders>
            <w:shd w:val="clear" w:color="000000" w:fill="FFFFFF"/>
            <w:vAlign w:val="center"/>
            <w:hideMark/>
          </w:tcPr>
          <w:p w14:paraId="05DBF8AB" w14:textId="73E29909" w:rsidR="0038127C" w:rsidRPr="00A52AEE" w:rsidRDefault="0038127C" w:rsidP="00FE68E8">
            <w:pPr>
              <w:jc w:val="right"/>
            </w:pPr>
            <w:r w:rsidRPr="00A52AEE">
              <w:t>115</w:t>
            </w:r>
          </w:p>
        </w:tc>
        <w:tc>
          <w:tcPr>
            <w:tcW w:w="394" w:type="pct"/>
            <w:tcBorders>
              <w:top w:val="nil"/>
              <w:left w:val="nil"/>
              <w:bottom w:val="single" w:sz="4" w:space="0" w:color="auto"/>
              <w:right w:val="single" w:sz="4" w:space="0" w:color="auto"/>
            </w:tcBorders>
            <w:shd w:val="clear" w:color="000000" w:fill="FFFFFF"/>
            <w:vAlign w:val="center"/>
            <w:hideMark/>
          </w:tcPr>
          <w:p w14:paraId="62DF6C0B" w14:textId="7C81EB1F" w:rsidR="0038127C" w:rsidRPr="00A52AEE" w:rsidRDefault="0038127C" w:rsidP="00FE68E8">
            <w:pPr>
              <w:jc w:val="right"/>
            </w:pPr>
            <w:r w:rsidRPr="00A52AEE">
              <w:t>0%</w:t>
            </w:r>
          </w:p>
        </w:tc>
        <w:tc>
          <w:tcPr>
            <w:tcW w:w="419" w:type="pct"/>
            <w:tcBorders>
              <w:top w:val="nil"/>
              <w:left w:val="nil"/>
              <w:bottom w:val="single" w:sz="4" w:space="0" w:color="auto"/>
              <w:right w:val="single" w:sz="4" w:space="0" w:color="auto"/>
            </w:tcBorders>
            <w:shd w:val="clear" w:color="000000" w:fill="FFFFFF"/>
            <w:vAlign w:val="center"/>
            <w:hideMark/>
          </w:tcPr>
          <w:p w14:paraId="3040DD7B" w14:textId="0F6F479A" w:rsidR="0038127C" w:rsidRPr="00A52AEE" w:rsidRDefault="0038127C" w:rsidP="00FE68E8">
            <w:pPr>
              <w:jc w:val="right"/>
            </w:pPr>
            <w:r w:rsidRPr="00A52AEE">
              <w:t>90</w:t>
            </w:r>
          </w:p>
        </w:tc>
        <w:tc>
          <w:tcPr>
            <w:tcW w:w="438" w:type="pct"/>
            <w:tcBorders>
              <w:top w:val="nil"/>
              <w:left w:val="nil"/>
              <w:bottom w:val="single" w:sz="4" w:space="0" w:color="auto"/>
              <w:right w:val="single" w:sz="4" w:space="0" w:color="auto"/>
            </w:tcBorders>
            <w:shd w:val="clear" w:color="000000" w:fill="FFFFFF"/>
            <w:vAlign w:val="center"/>
            <w:hideMark/>
          </w:tcPr>
          <w:p w14:paraId="437D7859" w14:textId="041FBA0B" w:rsidR="0038127C" w:rsidRPr="00A52AEE" w:rsidRDefault="0038127C" w:rsidP="00FE68E8">
            <w:pPr>
              <w:jc w:val="right"/>
            </w:pPr>
            <w:r w:rsidRPr="00A52AEE">
              <w:t>0%</w:t>
            </w:r>
          </w:p>
        </w:tc>
        <w:tc>
          <w:tcPr>
            <w:tcW w:w="419" w:type="pct"/>
            <w:tcBorders>
              <w:top w:val="nil"/>
              <w:left w:val="nil"/>
              <w:bottom w:val="single" w:sz="4" w:space="0" w:color="auto"/>
              <w:right w:val="single" w:sz="4" w:space="0" w:color="auto"/>
            </w:tcBorders>
            <w:shd w:val="clear" w:color="000000" w:fill="FFFFFF"/>
            <w:vAlign w:val="center"/>
            <w:hideMark/>
          </w:tcPr>
          <w:p w14:paraId="3F7EBECE" w14:textId="7D39CFFC" w:rsidR="0038127C" w:rsidRPr="00A52AEE" w:rsidRDefault="0038127C" w:rsidP="00FE68E8">
            <w:pPr>
              <w:jc w:val="right"/>
            </w:pPr>
            <w:r w:rsidRPr="00A52AEE">
              <w:t>70</w:t>
            </w:r>
          </w:p>
        </w:tc>
        <w:tc>
          <w:tcPr>
            <w:tcW w:w="394" w:type="pct"/>
            <w:tcBorders>
              <w:top w:val="nil"/>
              <w:left w:val="nil"/>
              <w:bottom w:val="single" w:sz="4" w:space="0" w:color="auto"/>
              <w:right w:val="single" w:sz="4" w:space="0" w:color="auto"/>
            </w:tcBorders>
            <w:shd w:val="clear" w:color="000000" w:fill="FFFFFF"/>
            <w:vAlign w:val="center"/>
            <w:hideMark/>
          </w:tcPr>
          <w:p w14:paraId="7C6AC1D2" w14:textId="73283F15" w:rsidR="0038127C" w:rsidRPr="00A52AEE" w:rsidRDefault="0038127C" w:rsidP="00FE68E8">
            <w:pPr>
              <w:jc w:val="right"/>
            </w:pPr>
            <w:r w:rsidRPr="00A52AEE">
              <w:t>0%</w:t>
            </w:r>
          </w:p>
        </w:tc>
      </w:tr>
      <w:tr w:rsidR="0038127C" w:rsidRPr="00A52AEE" w14:paraId="7F09FA70" w14:textId="77777777" w:rsidTr="00752E93">
        <w:trPr>
          <w:trHeight w:val="300"/>
        </w:trPr>
        <w:tc>
          <w:tcPr>
            <w:tcW w:w="889" w:type="pct"/>
            <w:tcBorders>
              <w:top w:val="nil"/>
              <w:left w:val="single" w:sz="4" w:space="0" w:color="auto"/>
              <w:bottom w:val="single" w:sz="4" w:space="0" w:color="auto"/>
              <w:right w:val="single" w:sz="4" w:space="0" w:color="auto"/>
            </w:tcBorders>
            <w:shd w:val="clear" w:color="000000" w:fill="FFFFFF"/>
            <w:vAlign w:val="center"/>
            <w:hideMark/>
          </w:tcPr>
          <w:p w14:paraId="100A5B1E" w14:textId="77777777" w:rsidR="0038127C" w:rsidRPr="005E08C9" w:rsidRDefault="0038127C" w:rsidP="00A52AEE">
            <w:pPr>
              <w:rPr>
                <w:b/>
              </w:rPr>
            </w:pPr>
            <w:r w:rsidRPr="005E08C9">
              <w:rPr>
                <w:b/>
              </w:rPr>
              <w:t>Total</w:t>
            </w:r>
          </w:p>
        </w:tc>
        <w:tc>
          <w:tcPr>
            <w:tcW w:w="420" w:type="pct"/>
            <w:tcBorders>
              <w:top w:val="nil"/>
              <w:left w:val="nil"/>
              <w:bottom w:val="single" w:sz="4" w:space="0" w:color="auto"/>
              <w:right w:val="single" w:sz="4" w:space="0" w:color="auto"/>
            </w:tcBorders>
            <w:shd w:val="clear" w:color="000000" w:fill="FFFFFF"/>
            <w:vAlign w:val="center"/>
            <w:hideMark/>
          </w:tcPr>
          <w:p w14:paraId="7856457E" w14:textId="76B05031" w:rsidR="0038127C" w:rsidRPr="00A52AEE" w:rsidRDefault="0038127C" w:rsidP="00FE68E8">
            <w:pPr>
              <w:jc w:val="right"/>
            </w:pPr>
            <w:r w:rsidRPr="00A52AEE">
              <w:t>42060</w:t>
            </w:r>
          </w:p>
        </w:tc>
        <w:tc>
          <w:tcPr>
            <w:tcW w:w="394" w:type="pct"/>
            <w:tcBorders>
              <w:top w:val="nil"/>
              <w:left w:val="nil"/>
              <w:bottom w:val="single" w:sz="4" w:space="0" w:color="auto"/>
              <w:right w:val="single" w:sz="4" w:space="0" w:color="auto"/>
            </w:tcBorders>
            <w:shd w:val="clear" w:color="000000" w:fill="FFFFFF"/>
            <w:vAlign w:val="center"/>
            <w:hideMark/>
          </w:tcPr>
          <w:p w14:paraId="20B4EA70" w14:textId="65015425" w:rsidR="0038127C" w:rsidRPr="00A52AEE" w:rsidRDefault="0038127C" w:rsidP="00FE68E8">
            <w:pPr>
              <w:jc w:val="right"/>
            </w:pPr>
            <w:r w:rsidRPr="00A52AEE">
              <w:t>100%</w:t>
            </w:r>
          </w:p>
        </w:tc>
        <w:tc>
          <w:tcPr>
            <w:tcW w:w="419" w:type="pct"/>
            <w:tcBorders>
              <w:top w:val="nil"/>
              <w:left w:val="nil"/>
              <w:bottom w:val="single" w:sz="4" w:space="0" w:color="auto"/>
              <w:right w:val="single" w:sz="4" w:space="0" w:color="auto"/>
            </w:tcBorders>
            <w:shd w:val="clear" w:color="000000" w:fill="FFFFFF"/>
            <w:vAlign w:val="center"/>
            <w:hideMark/>
          </w:tcPr>
          <w:p w14:paraId="5792814F" w14:textId="42C89484" w:rsidR="0038127C" w:rsidRPr="00A52AEE" w:rsidRDefault="002E286F" w:rsidP="002E286F">
            <w:pPr>
              <w:jc w:val="right"/>
            </w:pPr>
            <w:r>
              <w:fldChar w:fldCharType="begin"/>
            </w:r>
            <w:r>
              <w:instrText xml:space="preserve"> =SUM(ABOVE) </w:instrText>
            </w:r>
            <w:r>
              <w:fldChar w:fldCharType="separate"/>
            </w:r>
            <w:r>
              <w:rPr>
                <w:noProof/>
              </w:rPr>
              <w:t>44145</w:t>
            </w:r>
            <w:r>
              <w:fldChar w:fldCharType="end"/>
            </w:r>
          </w:p>
        </w:tc>
        <w:tc>
          <w:tcPr>
            <w:tcW w:w="394" w:type="pct"/>
            <w:tcBorders>
              <w:top w:val="nil"/>
              <w:left w:val="nil"/>
              <w:bottom w:val="single" w:sz="4" w:space="0" w:color="auto"/>
              <w:right w:val="single" w:sz="4" w:space="0" w:color="auto"/>
            </w:tcBorders>
            <w:shd w:val="clear" w:color="000000" w:fill="FFFFFF"/>
            <w:vAlign w:val="center"/>
            <w:hideMark/>
          </w:tcPr>
          <w:p w14:paraId="2A779D80" w14:textId="1FD5D9D2" w:rsidR="0038127C" w:rsidRPr="00A52AEE" w:rsidRDefault="0038127C" w:rsidP="00FE68E8">
            <w:pPr>
              <w:jc w:val="right"/>
            </w:pPr>
            <w:r w:rsidRPr="00A52AEE">
              <w:t>100%</w:t>
            </w:r>
          </w:p>
        </w:tc>
        <w:tc>
          <w:tcPr>
            <w:tcW w:w="419" w:type="pct"/>
            <w:tcBorders>
              <w:top w:val="nil"/>
              <w:left w:val="nil"/>
              <w:bottom w:val="single" w:sz="4" w:space="0" w:color="auto"/>
              <w:right w:val="single" w:sz="4" w:space="0" w:color="auto"/>
            </w:tcBorders>
            <w:shd w:val="clear" w:color="000000" w:fill="FFFFFF"/>
            <w:vAlign w:val="center"/>
            <w:hideMark/>
          </w:tcPr>
          <w:p w14:paraId="49E1FD42" w14:textId="51AB3A3E" w:rsidR="0038127C" w:rsidRPr="00A52AEE" w:rsidRDefault="0038127C" w:rsidP="00FE68E8">
            <w:pPr>
              <w:jc w:val="right"/>
            </w:pPr>
            <w:r w:rsidRPr="00A52AEE">
              <w:t>46085</w:t>
            </w:r>
          </w:p>
        </w:tc>
        <w:tc>
          <w:tcPr>
            <w:tcW w:w="394" w:type="pct"/>
            <w:tcBorders>
              <w:top w:val="nil"/>
              <w:left w:val="nil"/>
              <w:bottom w:val="single" w:sz="4" w:space="0" w:color="auto"/>
              <w:right w:val="single" w:sz="4" w:space="0" w:color="auto"/>
            </w:tcBorders>
            <w:shd w:val="clear" w:color="000000" w:fill="FFFFFF"/>
            <w:vAlign w:val="center"/>
            <w:hideMark/>
          </w:tcPr>
          <w:p w14:paraId="7DBDAAEF" w14:textId="30E63DA2" w:rsidR="0038127C" w:rsidRPr="00A52AEE" w:rsidRDefault="0038127C" w:rsidP="00FE68E8">
            <w:pPr>
              <w:jc w:val="right"/>
            </w:pPr>
            <w:r w:rsidRPr="00A52AEE">
              <w:t>100%</w:t>
            </w:r>
          </w:p>
        </w:tc>
        <w:tc>
          <w:tcPr>
            <w:tcW w:w="419" w:type="pct"/>
            <w:tcBorders>
              <w:top w:val="nil"/>
              <w:left w:val="nil"/>
              <w:bottom w:val="single" w:sz="4" w:space="0" w:color="auto"/>
              <w:right w:val="single" w:sz="4" w:space="0" w:color="auto"/>
            </w:tcBorders>
            <w:shd w:val="clear" w:color="000000" w:fill="FFFFFF"/>
            <w:vAlign w:val="center"/>
            <w:hideMark/>
          </w:tcPr>
          <w:p w14:paraId="70538A7B" w14:textId="59C90449" w:rsidR="0038127C" w:rsidRPr="00A52AEE" w:rsidRDefault="0038127C" w:rsidP="00FE68E8">
            <w:pPr>
              <w:jc w:val="right"/>
            </w:pPr>
            <w:r w:rsidRPr="00A52AEE">
              <w:t>42835</w:t>
            </w:r>
          </w:p>
        </w:tc>
        <w:tc>
          <w:tcPr>
            <w:tcW w:w="438" w:type="pct"/>
            <w:tcBorders>
              <w:top w:val="nil"/>
              <w:left w:val="nil"/>
              <w:bottom w:val="single" w:sz="4" w:space="0" w:color="auto"/>
              <w:right w:val="single" w:sz="4" w:space="0" w:color="auto"/>
            </w:tcBorders>
            <w:shd w:val="clear" w:color="000000" w:fill="FFFFFF"/>
            <w:vAlign w:val="center"/>
            <w:hideMark/>
          </w:tcPr>
          <w:p w14:paraId="4FF49408" w14:textId="0FB65717" w:rsidR="0038127C" w:rsidRPr="00A52AEE" w:rsidRDefault="0038127C" w:rsidP="00FE68E8">
            <w:pPr>
              <w:jc w:val="right"/>
            </w:pPr>
            <w:r w:rsidRPr="00A52AEE">
              <w:t>100%</w:t>
            </w:r>
          </w:p>
        </w:tc>
        <w:tc>
          <w:tcPr>
            <w:tcW w:w="419" w:type="pct"/>
            <w:tcBorders>
              <w:top w:val="nil"/>
              <w:left w:val="nil"/>
              <w:bottom w:val="single" w:sz="4" w:space="0" w:color="auto"/>
              <w:right w:val="single" w:sz="4" w:space="0" w:color="auto"/>
            </w:tcBorders>
            <w:shd w:val="clear" w:color="000000" w:fill="FFFFFF"/>
            <w:vAlign w:val="center"/>
            <w:hideMark/>
          </w:tcPr>
          <w:p w14:paraId="74DFE0C7" w14:textId="315DEF07" w:rsidR="0038127C" w:rsidRPr="00A52AEE" w:rsidRDefault="0038127C" w:rsidP="00FE68E8">
            <w:pPr>
              <w:jc w:val="right"/>
            </w:pPr>
            <w:r w:rsidRPr="00A52AEE">
              <w:t>46380</w:t>
            </w:r>
          </w:p>
        </w:tc>
        <w:tc>
          <w:tcPr>
            <w:tcW w:w="394" w:type="pct"/>
            <w:tcBorders>
              <w:top w:val="nil"/>
              <w:left w:val="nil"/>
              <w:bottom w:val="single" w:sz="4" w:space="0" w:color="auto"/>
              <w:right w:val="single" w:sz="4" w:space="0" w:color="auto"/>
            </w:tcBorders>
            <w:shd w:val="clear" w:color="000000" w:fill="FFFFFF"/>
            <w:vAlign w:val="center"/>
            <w:hideMark/>
          </w:tcPr>
          <w:p w14:paraId="4BBF2562" w14:textId="6C09DB93" w:rsidR="0038127C" w:rsidRPr="00A52AEE" w:rsidRDefault="0038127C" w:rsidP="00FE68E8">
            <w:pPr>
              <w:jc w:val="right"/>
            </w:pPr>
            <w:r w:rsidRPr="00A52AEE">
              <w:t>100%</w:t>
            </w:r>
          </w:p>
        </w:tc>
      </w:tr>
    </w:tbl>
    <w:p w14:paraId="3CD992B9" w14:textId="77777777" w:rsidR="00DD24BB" w:rsidRPr="00A52AEE" w:rsidRDefault="00DD24BB" w:rsidP="00A52AEE"/>
    <w:p w14:paraId="01561C72" w14:textId="4BB007FA" w:rsidR="00E0039B" w:rsidRPr="00A52AEE" w:rsidRDefault="00B03413" w:rsidP="00A52AEE">
      <w:r>
        <w:t>Table 12</w:t>
      </w:r>
      <w:r w:rsidR="00E0039B" w:rsidRPr="00A52AEE">
        <w:t xml:space="preserve"> shows that the proportion of </w:t>
      </w:r>
      <w:r w:rsidR="002E286F">
        <w:t xml:space="preserve">the </w:t>
      </w:r>
      <w:r w:rsidR="00E0039B" w:rsidRPr="00A52AEE">
        <w:t xml:space="preserve">London FE and Sixth Form College </w:t>
      </w:r>
      <w:r w:rsidR="0021637B" w:rsidRPr="00A52AEE">
        <w:t>Level</w:t>
      </w:r>
      <w:r w:rsidR="00E0039B" w:rsidRPr="00A52AEE">
        <w:t xml:space="preserve"> 3 cohort classified as living in disadvantage using the </w:t>
      </w:r>
      <w:r w:rsidR="00855E4A">
        <w:t>IDACI</w:t>
      </w:r>
      <w:r w:rsidR="00E0039B" w:rsidRPr="00A52AEE">
        <w:t xml:space="preserve"> metric (Q1-Q2) was </w:t>
      </w:r>
      <w:r w:rsidR="00E0039B" w:rsidRPr="00855E4A">
        <w:rPr>
          <w:b/>
        </w:rPr>
        <w:t>73-77%</w:t>
      </w:r>
      <w:r w:rsidR="00E0039B" w:rsidRPr="00A52AEE">
        <w:t>.  This means that seven out of ten students studying in FE colleges were classified as disadvantaged.</w:t>
      </w:r>
    </w:p>
    <w:p w14:paraId="5F8DF364" w14:textId="77777777" w:rsidR="00E0039B" w:rsidRPr="00A52AEE" w:rsidRDefault="00E0039B" w:rsidP="00A52AEE"/>
    <w:p w14:paraId="4226ED26" w14:textId="6073651E" w:rsidR="00E0039B" w:rsidRPr="00855E4A" w:rsidRDefault="004D2866" w:rsidP="00A52AEE">
      <w:pPr>
        <w:rPr>
          <w:b/>
        </w:rPr>
      </w:pPr>
      <w:r>
        <w:rPr>
          <w:b/>
        </w:rPr>
        <w:t>Table 12</w:t>
      </w:r>
      <w:r w:rsidR="00E0039B" w:rsidRPr="00855E4A">
        <w:rPr>
          <w:b/>
        </w:rPr>
        <w:t xml:space="preserve">: Breakdown of the college cohorts by </w:t>
      </w:r>
      <w:r w:rsidR="003C0656">
        <w:rPr>
          <w:b/>
        </w:rPr>
        <w:t xml:space="preserve">the </w:t>
      </w:r>
      <w:r w:rsidR="00E0039B" w:rsidRPr="00855E4A">
        <w:rPr>
          <w:b/>
        </w:rPr>
        <w:t>Income Deprivation Affecting Children (IDACI)</w:t>
      </w:r>
    </w:p>
    <w:p w14:paraId="0A2F5718" w14:textId="77777777" w:rsidR="002C6E12" w:rsidRPr="00A52AEE" w:rsidRDefault="002C6E12" w:rsidP="00A52AEE">
      <w:pPr>
        <w:rPr>
          <w:lang w:eastAsia="en-GB"/>
        </w:rPr>
      </w:pPr>
    </w:p>
    <w:tbl>
      <w:tblPr>
        <w:tblW w:w="5120" w:type="pct"/>
        <w:tblLook w:val="04A0" w:firstRow="1" w:lastRow="0" w:firstColumn="1" w:lastColumn="0" w:noHBand="0" w:noVBand="1"/>
      </w:tblPr>
      <w:tblGrid>
        <w:gridCol w:w="1673"/>
        <w:gridCol w:w="825"/>
        <w:gridCol w:w="753"/>
        <w:gridCol w:w="825"/>
        <w:gridCol w:w="753"/>
        <w:gridCol w:w="825"/>
        <w:gridCol w:w="753"/>
        <w:gridCol w:w="825"/>
        <w:gridCol w:w="753"/>
        <w:gridCol w:w="825"/>
        <w:gridCol w:w="980"/>
      </w:tblGrid>
      <w:tr w:rsidR="003C0656" w:rsidRPr="003C0656" w14:paraId="5D621D91" w14:textId="77777777" w:rsidTr="006101C5">
        <w:trPr>
          <w:trHeight w:val="492"/>
          <w:tblHeader/>
        </w:trPr>
        <w:tc>
          <w:tcPr>
            <w:tcW w:w="815"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528BDE0B" w14:textId="77777777" w:rsidR="00E0039B" w:rsidRPr="003C0656" w:rsidRDefault="00E0039B" w:rsidP="00A52AEE">
            <w:pPr>
              <w:rPr>
                <w:b/>
                <w:color w:val="FFFFFF" w:themeColor="background1"/>
                <w:lang w:eastAsia="en-GB"/>
              </w:rPr>
            </w:pPr>
            <w:r w:rsidRPr="003C0656">
              <w:rPr>
                <w:b/>
                <w:color w:val="FFFFFF" w:themeColor="background1"/>
                <w:lang w:eastAsia="en-GB"/>
              </w:rPr>
              <w:t>IDACI quintiles</w:t>
            </w:r>
          </w:p>
        </w:tc>
        <w:tc>
          <w:tcPr>
            <w:tcW w:w="813" w:type="pct"/>
            <w:gridSpan w:val="2"/>
            <w:tcBorders>
              <w:top w:val="single" w:sz="8" w:space="0" w:color="auto"/>
              <w:left w:val="nil"/>
              <w:bottom w:val="single" w:sz="8" w:space="0" w:color="auto"/>
              <w:right w:val="single" w:sz="8" w:space="0" w:color="000000"/>
            </w:tcBorders>
            <w:shd w:val="clear" w:color="auto" w:fill="1F4E79" w:themeFill="accent1" w:themeFillShade="80"/>
            <w:vAlign w:val="center"/>
            <w:hideMark/>
          </w:tcPr>
          <w:p w14:paraId="5AD23CC3"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2007-08</w:t>
            </w:r>
          </w:p>
        </w:tc>
        <w:tc>
          <w:tcPr>
            <w:tcW w:w="813" w:type="pct"/>
            <w:gridSpan w:val="2"/>
            <w:tcBorders>
              <w:top w:val="single" w:sz="8" w:space="0" w:color="auto"/>
              <w:left w:val="nil"/>
              <w:bottom w:val="single" w:sz="8" w:space="0" w:color="auto"/>
              <w:right w:val="single" w:sz="8" w:space="0" w:color="000000"/>
            </w:tcBorders>
            <w:shd w:val="clear" w:color="auto" w:fill="1F4E79" w:themeFill="accent1" w:themeFillShade="80"/>
            <w:vAlign w:val="center"/>
            <w:hideMark/>
          </w:tcPr>
          <w:p w14:paraId="4E71ECD7"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2008-09</w:t>
            </w:r>
          </w:p>
        </w:tc>
        <w:tc>
          <w:tcPr>
            <w:tcW w:w="814" w:type="pct"/>
            <w:gridSpan w:val="2"/>
            <w:tcBorders>
              <w:top w:val="single" w:sz="8" w:space="0" w:color="auto"/>
              <w:left w:val="nil"/>
              <w:bottom w:val="single" w:sz="8" w:space="0" w:color="auto"/>
              <w:right w:val="single" w:sz="8" w:space="0" w:color="000000"/>
            </w:tcBorders>
            <w:shd w:val="clear" w:color="auto" w:fill="1F4E79" w:themeFill="accent1" w:themeFillShade="80"/>
            <w:vAlign w:val="center"/>
            <w:hideMark/>
          </w:tcPr>
          <w:p w14:paraId="0397D272"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2009-10</w:t>
            </w:r>
          </w:p>
        </w:tc>
        <w:tc>
          <w:tcPr>
            <w:tcW w:w="814" w:type="pct"/>
            <w:gridSpan w:val="2"/>
            <w:tcBorders>
              <w:top w:val="single" w:sz="8" w:space="0" w:color="auto"/>
              <w:left w:val="nil"/>
              <w:bottom w:val="single" w:sz="8" w:space="0" w:color="auto"/>
              <w:right w:val="single" w:sz="8" w:space="0" w:color="000000"/>
            </w:tcBorders>
            <w:shd w:val="clear" w:color="auto" w:fill="1F4E79" w:themeFill="accent1" w:themeFillShade="80"/>
            <w:vAlign w:val="center"/>
            <w:hideMark/>
          </w:tcPr>
          <w:p w14:paraId="727106D3"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2010-11</w:t>
            </w:r>
          </w:p>
        </w:tc>
        <w:tc>
          <w:tcPr>
            <w:tcW w:w="929" w:type="pct"/>
            <w:gridSpan w:val="2"/>
            <w:tcBorders>
              <w:top w:val="single" w:sz="8" w:space="0" w:color="auto"/>
              <w:left w:val="nil"/>
              <w:bottom w:val="single" w:sz="8" w:space="0" w:color="auto"/>
              <w:right w:val="single" w:sz="8" w:space="0" w:color="000000"/>
            </w:tcBorders>
            <w:shd w:val="clear" w:color="auto" w:fill="1F4E79" w:themeFill="accent1" w:themeFillShade="80"/>
            <w:vAlign w:val="center"/>
            <w:hideMark/>
          </w:tcPr>
          <w:p w14:paraId="751FBB52"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2011-12</w:t>
            </w:r>
          </w:p>
        </w:tc>
      </w:tr>
      <w:tr w:rsidR="003C0656" w:rsidRPr="003C0656" w14:paraId="0BDAA606" w14:textId="77777777" w:rsidTr="002E286F">
        <w:trPr>
          <w:trHeight w:val="1395"/>
          <w:tblHeader/>
        </w:trPr>
        <w:tc>
          <w:tcPr>
            <w:tcW w:w="815"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1815295B" w14:textId="77777777" w:rsidR="00E0039B" w:rsidRPr="003C0656" w:rsidRDefault="00E0039B" w:rsidP="00A52AEE">
            <w:pPr>
              <w:rPr>
                <w:b/>
                <w:color w:val="FFFFFF" w:themeColor="background1"/>
                <w:lang w:eastAsia="en-GB"/>
              </w:rPr>
            </w:pPr>
          </w:p>
        </w:tc>
        <w:tc>
          <w:tcPr>
            <w:tcW w:w="419"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7EE04E30"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Population</w:t>
            </w:r>
          </w:p>
        </w:tc>
        <w:tc>
          <w:tcPr>
            <w:tcW w:w="39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7E24883C"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 of Population</w:t>
            </w:r>
          </w:p>
        </w:tc>
        <w:tc>
          <w:tcPr>
            <w:tcW w:w="419"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5A8B6F4A"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Population</w:t>
            </w:r>
          </w:p>
        </w:tc>
        <w:tc>
          <w:tcPr>
            <w:tcW w:w="39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32394FB6"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 of Population</w:t>
            </w:r>
          </w:p>
        </w:tc>
        <w:tc>
          <w:tcPr>
            <w:tcW w:w="419"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5BB3CD2F"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Population</w:t>
            </w:r>
          </w:p>
        </w:tc>
        <w:tc>
          <w:tcPr>
            <w:tcW w:w="39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1BD37CA3"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 of Population</w:t>
            </w:r>
          </w:p>
        </w:tc>
        <w:tc>
          <w:tcPr>
            <w:tcW w:w="419"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1B6136A9"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Population</w:t>
            </w:r>
          </w:p>
        </w:tc>
        <w:tc>
          <w:tcPr>
            <w:tcW w:w="395"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7B7AA2C5"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 of Population</w:t>
            </w:r>
          </w:p>
        </w:tc>
        <w:tc>
          <w:tcPr>
            <w:tcW w:w="419"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2AC3544E"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Population</w:t>
            </w:r>
          </w:p>
        </w:tc>
        <w:tc>
          <w:tcPr>
            <w:tcW w:w="510" w:type="pct"/>
            <w:tcBorders>
              <w:top w:val="nil"/>
              <w:left w:val="nil"/>
              <w:bottom w:val="single" w:sz="8" w:space="0" w:color="auto"/>
              <w:right w:val="single" w:sz="8" w:space="0" w:color="auto"/>
            </w:tcBorders>
            <w:shd w:val="clear" w:color="auto" w:fill="1F4E79" w:themeFill="accent1" w:themeFillShade="80"/>
            <w:textDirection w:val="btLr"/>
            <w:vAlign w:val="center"/>
            <w:hideMark/>
          </w:tcPr>
          <w:p w14:paraId="22860E2D" w14:textId="77777777" w:rsidR="00E0039B" w:rsidRPr="003C0656" w:rsidRDefault="00E0039B" w:rsidP="003C0656">
            <w:pPr>
              <w:jc w:val="center"/>
              <w:rPr>
                <w:b/>
                <w:color w:val="FFFFFF" w:themeColor="background1"/>
                <w:lang w:eastAsia="en-GB"/>
              </w:rPr>
            </w:pPr>
            <w:r w:rsidRPr="003C0656">
              <w:rPr>
                <w:b/>
                <w:color w:val="FFFFFF" w:themeColor="background1"/>
                <w:lang w:eastAsia="en-GB"/>
              </w:rPr>
              <w:t>% of Population</w:t>
            </w:r>
          </w:p>
        </w:tc>
      </w:tr>
      <w:tr w:rsidR="00E0039B" w:rsidRPr="00A52AEE" w14:paraId="4F6CDEBA"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5E1FE734" w14:textId="681E2CAC" w:rsidR="00E0039B" w:rsidRPr="005E08C9" w:rsidRDefault="00E0039B" w:rsidP="00A52AEE">
            <w:pPr>
              <w:rPr>
                <w:b/>
                <w:lang w:eastAsia="en-GB"/>
              </w:rPr>
            </w:pPr>
            <w:r w:rsidRPr="005E08C9">
              <w:rPr>
                <w:b/>
                <w:lang w:eastAsia="en-GB"/>
              </w:rPr>
              <w:t>Q1- most disadvantage</w:t>
            </w:r>
            <w:r w:rsidR="00561FE7" w:rsidRPr="005E08C9">
              <w:rPr>
                <w:b/>
                <w:lang w:eastAsia="en-GB"/>
              </w:rPr>
              <w:t>d</w:t>
            </w:r>
          </w:p>
        </w:tc>
        <w:tc>
          <w:tcPr>
            <w:tcW w:w="419" w:type="pct"/>
            <w:tcBorders>
              <w:top w:val="nil"/>
              <w:left w:val="nil"/>
              <w:bottom w:val="single" w:sz="8" w:space="0" w:color="auto"/>
              <w:right w:val="single" w:sz="8" w:space="0" w:color="auto"/>
            </w:tcBorders>
            <w:shd w:val="clear" w:color="000000" w:fill="FFFFFF"/>
            <w:vAlign w:val="center"/>
            <w:hideMark/>
          </w:tcPr>
          <w:p w14:paraId="08F5AA7C" w14:textId="77777777" w:rsidR="00E0039B" w:rsidRPr="00A52AEE" w:rsidRDefault="00E0039B" w:rsidP="00FE68E8">
            <w:pPr>
              <w:jc w:val="right"/>
              <w:rPr>
                <w:lang w:eastAsia="en-GB"/>
              </w:rPr>
            </w:pPr>
            <w:r w:rsidRPr="00A52AEE">
              <w:rPr>
                <w:lang w:eastAsia="en-GB"/>
              </w:rPr>
              <w:t>20990</w:t>
            </w:r>
          </w:p>
        </w:tc>
        <w:tc>
          <w:tcPr>
            <w:tcW w:w="395" w:type="pct"/>
            <w:tcBorders>
              <w:top w:val="nil"/>
              <w:left w:val="nil"/>
              <w:bottom w:val="single" w:sz="8" w:space="0" w:color="auto"/>
              <w:right w:val="single" w:sz="8" w:space="0" w:color="auto"/>
            </w:tcBorders>
            <w:shd w:val="clear" w:color="000000" w:fill="FFFFFF"/>
            <w:vAlign w:val="center"/>
            <w:hideMark/>
          </w:tcPr>
          <w:p w14:paraId="5399FC6F" w14:textId="77777777" w:rsidR="00E0039B" w:rsidRPr="00A52AEE" w:rsidRDefault="00E0039B" w:rsidP="00FE68E8">
            <w:pPr>
              <w:jc w:val="right"/>
              <w:rPr>
                <w:lang w:eastAsia="en-GB"/>
              </w:rPr>
            </w:pPr>
            <w:r w:rsidRPr="00A52AEE">
              <w:rPr>
                <w:lang w:eastAsia="en-GB"/>
              </w:rPr>
              <w:t>50%</w:t>
            </w:r>
          </w:p>
        </w:tc>
        <w:tc>
          <w:tcPr>
            <w:tcW w:w="419" w:type="pct"/>
            <w:tcBorders>
              <w:top w:val="nil"/>
              <w:left w:val="nil"/>
              <w:bottom w:val="single" w:sz="8" w:space="0" w:color="auto"/>
              <w:right w:val="single" w:sz="8" w:space="0" w:color="auto"/>
            </w:tcBorders>
            <w:shd w:val="clear" w:color="000000" w:fill="FFFFFF"/>
            <w:vAlign w:val="center"/>
            <w:hideMark/>
          </w:tcPr>
          <w:p w14:paraId="557620AA" w14:textId="77777777" w:rsidR="00E0039B" w:rsidRPr="00A52AEE" w:rsidRDefault="00E0039B" w:rsidP="00FE68E8">
            <w:pPr>
              <w:jc w:val="right"/>
              <w:rPr>
                <w:lang w:eastAsia="en-GB"/>
              </w:rPr>
            </w:pPr>
            <w:r w:rsidRPr="00A52AEE">
              <w:rPr>
                <w:lang w:eastAsia="en-GB"/>
              </w:rPr>
              <w:t>21805</w:t>
            </w:r>
          </w:p>
        </w:tc>
        <w:tc>
          <w:tcPr>
            <w:tcW w:w="395" w:type="pct"/>
            <w:tcBorders>
              <w:top w:val="nil"/>
              <w:left w:val="nil"/>
              <w:bottom w:val="single" w:sz="8" w:space="0" w:color="auto"/>
              <w:right w:val="single" w:sz="8" w:space="0" w:color="auto"/>
            </w:tcBorders>
            <w:shd w:val="clear" w:color="000000" w:fill="FFFFFF"/>
            <w:vAlign w:val="center"/>
            <w:hideMark/>
          </w:tcPr>
          <w:p w14:paraId="2FCFFAA4" w14:textId="77777777" w:rsidR="00E0039B" w:rsidRPr="00A52AEE" w:rsidRDefault="00E0039B" w:rsidP="00FE68E8">
            <w:pPr>
              <w:jc w:val="right"/>
              <w:rPr>
                <w:lang w:eastAsia="en-GB"/>
              </w:rPr>
            </w:pPr>
            <w:r w:rsidRPr="00A52AEE">
              <w:rPr>
                <w:lang w:eastAsia="en-GB"/>
              </w:rPr>
              <w:t>49%</w:t>
            </w:r>
          </w:p>
        </w:tc>
        <w:tc>
          <w:tcPr>
            <w:tcW w:w="419" w:type="pct"/>
            <w:tcBorders>
              <w:top w:val="nil"/>
              <w:left w:val="nil"/>
              <w:bottom w:val="single" w:sz="8" w:space="0" w:color="auto"/>
              <w:right w:val="single" w:sz="8" w:space="0" w:color="auto"/>
            </w:tcBorders>
            <w:shd w:val="clear" w:color="000000" w:fill="FFFFFF"/>
            <w:vAlign w:val="center"/>
            <w:hideMark/>
          </w:tcPr>
          <w:p w14:paraId="58CF3A19" w14:textId="77777777" w:rsidR="00E0039B" w:rsidRPr="00A52AEE" w:rsidRDefault="00E0039B" w:rsidP="00FE68E8">
            <w:pPr>
              <w:jc w:val="right"/>
              <w:rPr>
                <w:lang w:eastAsia="en-GB"/>
              </w:rPr>
            </w:pPr>
            <w:r w:rsidRPr="00A52AEE">
              <w:rPr>
                <w:lang w:eastAsia="en-GB"/>
              </w:rPr>
              <w:t>22635</w:t>
            </w:r>
          </w:p>
        </w:tc>
        <w:tc>
          <w:tcPr>
            <w:tcW w:w="395" w:type="pct"/>
            <w:tcBorders>
              <w:top w:val="nil"/>
              <w:left w:val="nil"/>
              <w:bottom w:val="single" w:sz="8" w:space="0" w:color="auto"/>
              <w:right w:val="single" w:sz="8" w:space="0" w:color="auto"/>
            </w:tcBorders>
            <w:shd w:val="clear" w:color="000000" w:fill="FFFFFF"/>
            <w:vAlign w:val="center"/>
            <w:hideMark/>
          </w:tcPr>
          <w:p w14:paraId="20F4A6BA" w14:textId="77777777" w:rsidR="00E0039B" w:rsidRPr="00A52AEE" w:rsidRDefault="00E0039B" w:rsidP="00FE68E8">
            <w:pPr>
              <w:jc w:val="right"/>
              <w:rPr>
                <w:lang w:eastAsia="en-GB"/>
              </w:rPr>
            </w:pPr>
            <w:r w:rsidRPr="00A52AEE">
              <w:rPr>
                <w:lang w:eastAsia="en-GB"/>
              </w:rPr>
              <w:t>49%</w:t>
            </w:r>
          </w:p>
        </w:tc>
        <w:tc>
          <w:tcPr>
            <w:tcW w:w="419" w:type="pct"/>
            <w:tcBorders>
              <w:top w:val="nil"/>
              <w:left w:val="nil"/>
              <w:bottom w:val="single" w:sz="8" w:space="0" w:color="auto"/>
              <w:right w:val="single" w:sz="8" w:space="0" w:color="auto"/>
            </w:tcBorders>
            <w:shd w:val="clear" w:color="000000" w:fill="FFFFFF"/>
            <w:vAlign w:val="center"/>
            <w:hideMark/>
          </w:tcPr>
          <w:p w14:paraId="64ACF8A6" w14:textId="77777777" w:rsidR="00E0039B" w:rsidRPr="00A52AEE" w:rsidRDefault="00E0039B" w:rsidP="00FE68E8">
            <w:pPr>
              <w:jc w:val="right"/>
              <w:rPr>
                <w:lang w:eastAsia="en-GB"/>
              </w:rPr>
            </w:pPr>
            <w:r w:rsidRPr="00A52AEE">
              <w:rPr>
                <w:lang w:eastAsia="en-GB"/>
              </w:rPr>
              <w:t>22065</w:t>
            </w:r>
          </w:p>
        </w:tc>
        <w:tc>
          <w:tcPr>
            <w:tcW w:w="395" w:type="pct"/>
            <w:tcBorders>
              <w:top w:val="nil"/>
              <w:left w:val="nil"/>
              <w:bottom w:val="single" w:sz="8" w:space="0" w:color="auto"/>
              <w:right w:val="single" w:sz="8" w:space="0" w:color="auto"/>
            </w:tcBorders>
            <w:shd w:val="clear" w:color="000000" w:fill="FFFFFF"/>
            <w:vAlign w:val="center"/>
            <w:hideMark/>
          </w:tcPr>
          <w:p w14:paraId="5ACBD24B" w14:textId="77777777" w:rsidR="00E0039B" w:rsidRPr="00A52AEE" w:rsidRDefault="00E0039B" w:rsidP="00FE68E8">
            <w:pPr>
              <w:jc w:val="right"/>
              <w:rPr>
                <w:lang w:eastAsia="en-GB"/>
              </w:rPr>
            </w:pPr>
            <w:r w:rsidRPr="00A52AEE">
              <w:rPr>
                <w:lang w:eastAsia="en-GB"/>
              </w:rPr>
              <w:t>52%</w:t>
            </w:r>
          </w:p>
        </w:tc>
        <w:tc>
          <w:tcPr>
            <w:tcW w:w="419" w:type="pct"/>
            <w:tcBorders>
              <w:top w:val="nil"/>
              <w:left w:val="nil"/>
              <w:bottom w:val="single" w:sz="8" w:space="0" w:color="auto"/>
              <w:right w:val="single" w:sz="8" w:space="0" w:color="auto"/>
            </w:tcBorders>
            <w:shd w:val="clear" w:color="000000" w:fill="FFFFFF"/>
            <w:vAlign w:val="center"/>
            <w:hideMark/>
          </w:tcPr>
          <w:p w14:paraId="584F66DA" w14:textId="77777777" w:rsidR="00E0039B" w:rsidRPr="00A52AEE" w:rsidRDefault="00E0039B" w:rsidP="00FE68E8">
            <w:pPr>
              <w:jc w:val="right"/>
              <w:rPr>
                <w:lang w:eastAsia="en-GB"/>
              </w:rPr>
            </w:pPr>
            <w:r w:rsidRPr="00A52AEE">
              <w:rPr>
                <w:lang w:eastAsia="en-GB"/>
              </w:rPr>
              <w:t>24785</w:t>
            </w:r>
          </w:p>
        </w:tc>
        <w:tc>
          <w:tcPr>
            <w:tcW w:w="510" w:type="pct"/>
            <w:tcBorders>
              <w:top w:val="nil"/>
              <w:left w:val="nil"/>
              <w:bottom w:val="single" w:sz="8" w:space="0" w:color="auto"/>
              <w:right w:val="single" w:sz="8" w:space="0" w:color="auto"/>
            </w:tcBorders>
            <w:shd w:val="clear" w:color="000000" w:fill="FFFFFF"/>
            <w:vAlign w:val="center"/>
            <w:hideMark/>
          </w:tcPr>
          <w:p w14:paraId="7929B0B4" w14:textId="77777777" w:rsidR="00E0039B" w:rsidRPr="00A52AEE" w:rsidRDefault="00E0039B" w:rsidP="00FE68E8">
            <w:pPr>
              <w:jc w:val="right"/>
              <w:rPr>
                <w:lang w:eastAsia="en-GB"/>
              </w:rPr>
            </w:pPr>
            <w:r w:rsidRPr="00A52AEE">
              <w:rPr>
                <w:lang w:eastAsia="en-GB"/>
              </w:rPr>
              <w:t>53%</w:t>
            </w:r>
          </w:p>
        </w:tc>
      </w:tr>
      <w:tr w:rsidR="00E0039B" w:rsidRPr="00A52AEE" w14:paraId="3FE18A22"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1EA970CC" w14:textId="77777777" w:rsidR="00E0039B" w:rsidRPr="005E08C9" w:rsidRDefault="00E0039B" w:rsidP="00A52AEE">
            <w:pPr>
              <w:rPr>
                <w:b/>
                <w:lang w:eastAsia="en-GB"/>
              </w:rPr>
            </w:pPr>
            <w:r w:rsidRPr="005E08C9">
              <w:rPr>
                <w:b/>
                <w:lang w:eastAsia="en-GB"/>
              </w:rPr>
              <w:t>Q2</w:t>
            </w:r>
          </w:p>
        </w:tc>
        <w:tc>
          <w:tcPr>
            <w:tcW w:w="419" w:type="pct"/>
            <w:tcBorders>
              <w:top w:val="nil"/>
              <w:left w:val="nil"/>
              <w:bottom w:val="single" w:sz="8" w:space="0" w:color="auto"/>
              <w:right w:val="single" w:sz="8" w:space="0" w:color="auto"/>
            </w:tcBorders>
            <w:shd w:val="clear" w:color="000000" w:fill="FFFFFF"/>
            <w:vAlign w:val="center"/>
            <w:hideMark/>
          </w:tcPr>
          <w:p w14:paraId="6558F2D0" w14:textId="77777777" w:rsidR="00E0039B" w:rsidRPr="00A52AEE" w:rsidRDefault="00E0039B" w:rsidP="00FE68E8">
            <w:pPr>
              <w:jc w:val="right"/>
              <w:rPr>
                <w:lang w:eastAsia="en-GB"/>
              </w:rPr>
            </w:pPr>
            <w:r w:rsidRPr="00A52AEE">
              <w:rPr>
                <w:lang w:eastAsia="en-GB"/>
              </w:rPr>
              <w:t>9800</w:t>
            </w:r>
          </w:p>
        </w:tc>
        <w:tc>
          <w:tcPr>
            <w:tcW w:w="395" w:type="pct"/>
            <w:tcBorders>
              <w:top w:val="nil"/>
              <w:left w:val="nil"/>
              <w:bottom w:val="single" w:sz="8" w:space="0" w:color="auto"/>
              <w:right w:val="single" w:sz="8" w:space="0" w:color="auto"/>
            </w:tcBorders>
            <w:shd w:val="clear" w:color="000000" w:fill="FFFFFF"/>
            <w:vAlign w:val="center"/>
            <w:hideMark/>
          </w:tcPr>
          <w:p w14:paraId="2067F1F4" w14:textId="77777777" w:rsidR="00E0039B" w:rsidRPr="00A52AEE" w:rsidRDefault="00E0039B" w:rsidP="00FE68E8">
            <w:pPr>
              <w:jc w:val="right"/>
              <w:rPr>
                <w:lang w:eastAsia="en-GB"/>
              </w:rPr>
            </w:pPr>
            <w:r w:rsidRPr="00A52AEE">
              <w:rPr>
                <w:lang w:eastAsia="en-GB"/>
              </w:rPr>
              <w:t>23%</w:t>
            </w:r>
          </w:p>
        </w:tc>
        <w:tc>
          <w:tcPr>
            <w:tcW w:w="419" w:type="pct"/>
            <w:tcBorders>
              <w:top w:val="nil"/>
              <w:left w:val="nil"/>
              <w:bottom w:val="single" w:sz="8" w:space="0" w:color="auto"/>
              <w:right w:val="single" w:sz="8" w:space="0" w:color="auto"/>
            </w:tcBorders>
            <w:shd w:val="clear" w:color="000000" w:fill="FFFFFF"/>
            <w:vAlign w:val="center"/>
            <w:hideMark/>
          </w:tcPr>
          <w:p w14:paraId="4EB9CFB1" w14:textId="77777777" w:rsidR="00E0039B" w:rsidRPr="00A52AEE" w:rsidRDefault="00E0039B" w:rsidP="00FE68E8">
            <w:pPr>
              <w:jc w:val="right"/>
              <w:rPr>
                <w:lang w:eastAsia="en-GB"/>
              </w:rPr>
            </w:pPr>
            <w:r w:rsidRPr="00A52AEE">
              <w:rPr>
                <w:lang w:eastAsia="en-GB"/>
              </w:rPr>
              <w:t>10455</w:t>
            </w:r>
          </w:p>
        </w:tc>
        <w:tc>
          <w:tcPr>
            <w:tcW w:w="395" w:type="pct"/>
            <w:tcBorders>
              <w:top w:val="nil"/>
              <w:left w:val="nil"/>
              <w:bottom w:val="single" w:sz="8" w:space="0" w:color="auto"/>
              <w:right w:val="single" w:sz="8" w:space="0" w:color="auto"/>
            </w:tcBorders>
            <w:shd w:val="clear" w:color="000000" w:fill="FFFFFF"/>
            <w:vAlign w:val="center"/>
            <w:hideMark/>
          </w:tcPr>
          <w:p w14:paraId="4961A007" w14:textId="77777777" w:rsidR="00E0039B" w:rsidRPr="00A52AEE" w:rsidRDefault="00E0039B" w:rsidP="00FE68E8">
            <w:pPr>
              <w:jc w:val="right"/>
              <w:rPr>
                <w:lang w:eastAsia="en-GB"/>
              </w:rPr>
            </w:pPr>
            <w:r w:rsidRPr="00A52AEE">
              <w:rPr>
                <w:lang w:eastAsia="en-GB"/>
              </w:rPr>
              <w:t>24%</w:t>
            </w:r>
          </w:p>
        </w:tc>
        <w:tc>
          <w:tcPr>
            <w:tcW w:w="419" w:type="pct"/>
            <w:tcBorders>
              <w:top w:val="nil"/>
              <w:left w:val="nil"/>
              <w:bottom w:val="single" w:sz="8" w:space="0" w:color="auto"/>
              <w:right w:val="single" w:sz="8" w:space="0" w:color="auto"/>
            </w:tcBorders>
            <w:shd w:val="clear" w:color="000000" w:fill="FFFFFF"/>
            <w:vAlign w:val="center"/>
            <w:hideMark/>
          </w:tcPr>
          <w:p w14:paraId="41450782" w14:textId="77777777" w:rsidR="00E0039B" w:rsidRPr="00A52AEE" w:rsidRDefault="00E0039B" w:rsidP="00FE68E8">
            <w:pPr>
              <w:jc w:val="right"/>
              <w:rPr>
                <w:lang w:eastAsia="en-GB"/>
              </w:rPr>
            </w:pPr>
            <w:r w:rsidRPr="00A52AEE">
              <w:rPr>
                <w:lang w:eastAsia="en-GB"/>
              </w:rPr>
              <w:t>10940</w:t>
            </w:r>
          </w:p>
        </w:tc>
        <w:tc>
          <w:tcPr>
            <w:tcW w:w="395" w:type="pct"/>
            <w:tcBorders>
              <w:top w:val="nil"/>
              <w:left w:val="nil"/>
              <w:bottom w:val="single" w:sz="8" w:space="0" w:color="auto"/>
              <w:right w:val="single" w:sz="8" w:space="0" w:color="auto"/>
            </w:tcBorders>
            <w:shd w:val="clear" w:color="000000" w:fill="FFFFFF"/>
            <w:vAlign w:val="center"/>
            <w:hideMark/>
          </w:tcPr>
          <w:p w14:paraId="103DCD56" w14:textId="77777777" w:rsidR="00E0039B" w:rsidRPr="00A52AEE" w:rsidRDefault="00E0039B" w:rsidP="00FE68E8">
            <w:pPr>
              <w:jc w:val="right"/>
              <w:rPr>
                <w:lang w:eastAsia="en-GB"/>
              </w:rPr>
            </w:pPr>
            <w:r w:rsidRPr="00A52AEE">
              <w:rPr>
                <w:lang w:eastAsia="en-GB"/>
              </w:rPr>
              <w:t>24%</w:t>
            </w:r>
          </w:p>
        </w:tc>
        <w:tc>
          <w:tcPr>
            <w:tcW w:w="419" w:type="pct"/>
            <w:tcBorders>
              <w:top w:val="nil"/>
              <w:left w:val="nil"/>
              <w:bottom w:val="single" w:sz="8" w:space="0" w:color="auto"/>
              <w:right w:val="single" w:sz="8" w:space="0" w:color="auto"/>
            </w:tcBorders>
            <w:shd w:val="clear" w:color="000000" w:fill="FFFFFF"/>
            <w:vAlign w:val="center"/>
            <w:hideMark/>
          </w:tcPr>
          <w:p w14:paraId="2DFB1E2E" w14:textId="77777777" w:rsidR="00E0039B" w:rsidRPr="00A52AEE" w:rsidRDefault="00E0039B" w:rsidP="00FE68E8">
            <w:pPr>
              <w:jc w:val="right"/>
              <w:rPr>
                <w:lang w:eastAsia="en-GB"/>
              </w:rPr>
            </w:pPr>
            <w:r w:rsidRPr="00A52AEE">
              <w:rPr>
                <w:lang w:eastAsia="en-GB"/>
              </w:rPr>
              <w:t>10290</w:t>
            </w:r>
          </w:p>
        </w:tc>
        <w:tc>
          <w:tcPr>
            <w:tcW w:w="395" w:type="pct"/>
            <w:tcBorders>
              <w:top w:val="nil"/>
              <w:left w:val="nil"/>
              <w:bottom w:val="single" w:sz="8" w:space="0" w:color="auto"/>
              <w:right w:val="single" w:sz="8" w:space="0" w:color="auto"/>
            </w:tcBorders>
            <w:shd w:val="clear" w:color="000000" w:fill="FFFFFF"/>
            <w:vAlign w:val="center"/>
            <w:hideMark/>
          </w:tcPr>
          <w:p w14:paraId="15C19E8F" w14:textId="77777777" w:rsidR="00E0039B" w:rsidRPr="00A52AEE" w:rsidRDefault="00E0039B" w:rsidP="00FE68E8">
            <w:pPr>
              <w:jc w:val="right"/>
              <w:rPr>
                <w:lang w:eastAsia="en-GB"/>
              </w:rPr>
            </w:pPr>
            <w:r w:rsidRPr="00A52AEE">
              <w:rPr>
                <w:lang w:eastAsia="en-GB"/>
              </w:rPr>
              <w:t>24%</w:t>
            </w:r>
          </w:p>
        </w:tc>
        <w:tc>
          <w:tcPr>
            <w:tcW w:w="419" w:type="pct"/>
            <w:tcBorders>
              <w:top w:val="nil"/>
              <w:left w:val="nil"/>
              <w:bottom w:val="single" w:sz="8" w:space="0" w:color="auto"/>
              <w:right w:val="single" w:sz="8" w:space="0" w:color="auto"/>
            </w:tcBorders>
            <w:shd w:val="clear" w:color="000000" w:fill="FFFFFF"/>
            <w:vAlign w:val="center"/>
            <w:hideMark/>
          </w:tcPr>
          <w:p w14:paraId="3FEC913E" w14:textId="77777777" w:rsidR="00E0039B" w:rsidRPr="00A52AEE" w:rsidRDefault="00E0039B" w:rsidP="00FE68E8">
            <w:pPr>
              <w:jc w:val="right"/>
              <w:rPr>
                <w:lang w:eastAsia="en-GB"/>
              </w:rPr>
            </w:pPr>
            <w:r w:rsidRPr="00A52AEE">
              <w:rPr>
                <w:lang w:eastAsia="en-GB"/>
              </w:rPr>
              <w:t>10905</w:t>
            </w:r>
          </w:p>
        </w:tc>
        <w:tc>
          <w:tcPr>
            <w:tcW w:w="510" w:type="pct"/>
            <w:tcBorders>
              <w:top w:val="nil"/>
              <w:left w:val="nil"/>
              <w:bottom w:val="single" w:sz="8" w:space="0" w:color="auto"/>
              <w:right w:val="single" w:sz="8" w:space="0" w:color="auto"/>
            </w:tcBorders>
            <w:shd w:val="clear" w:color="000000" w:fill="FFFFFF"/>
            <w:vAlign w:val="center"/>
            <w:hideMark/>
          </w:tcPr>
          <w:p w14:paraId="718CC153" w14:textId="77777777" w:rsidR="00E0039B" w:rsidRPr="00A52AEE" w:rsidRDefault="00E0039B" w:rsidP="00FE68E8">
            <w:pPr>
              <w:jc w:val="right"/>
              <w:rPr>
                <w:lang w:eastAsia="en-GB"/>
              </w:rPr>
            </w:pPr>
            <w:r w:rsidRPr="00A52AEE">
              <w:rPr>
                <w:lang w:eastAsia="en-GB"/>
              </w:rPr>
              <w:t>24%</w:t>
            </w:r>
          </w:p>
        </w:tc>
      </w:tr>
      <w:tr w:rsidR="00E0039B" w:rsidRPr="00A52AEE" w14:paraId="771B5924"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4A7D134B" w14:textId="77777777" w:rsidR="00E0039B" w:rsidRPr="005E08C9" w:rsidRDefault="00E0039B" w:rsidP="00A52AEE">
            <w:pPr>
              <w:rPr>
                <w:b/>
                <w:lang w:eastAsia="en-GB"/>
              </w:rPr>
            </w:pPr>
            <w:r w:rsidRPr="005E08C9">
              <w:rPr>
                <w:b/>
                <w:lang w:eastAsia="en-GB"/>
              </w:rPr>
              <w:t>Q3</w:t>
            </w:r>
          </w:p>
        </w:tc>
        <w:tc>
          <w:tcPr>
            <w:tcW w:w="419" w:type="pct"/>
            <w:tcBorders>
              <w:top w:val="nil"/>
              <w:left w:val="nil"/>
              <w:bottom w:val="single" w:sz="8" w:space="0" w:color="auto"/>
              <w:right w:val="single" w:sz="8" w:space="0" w:color="auto"/>
            </w:tcBorders>
            <w:shd w:val="clear" w:color="000000" w:fill="FFFFFF"/>
            <w:vAlign w:val="center"/>
            <w:hideMark/>
          </w:tcPr>
          <w:p w14:paraId="3B59EF06" w14:textId="77777777" w:rsidR="00E0039B" w:rsidRPr="00A52AEE" w:rsidRDefault="00E0039B" w:rsidP="00FE68E8">
            <w:pPr>
              <w:jc w:val="right"/>
              <w:rPr>
                <w:lang w:eastAsia="en-GB"/>
              </w:rPr>
            </w:pPr>
            <w:r w:rsidRPr="00A52AEE">
              <w:rPr>
                <w:lang w:eastAsia="en-GB"/>
              </w:rPr>
              <w:t>5150</w:t>
            </w:r>
          </w:p>
        </w:tc>
        <w:tc>
          <w:tcPr>
            <w:tcW w:w="395" w:type="pct"/>
            <w:tcBorders>
              <w:top w:val="nil"/>
              <w:left w:val="nil"/>
              <w:bottom w:val="single" w:sz="8" w:space="0" w:color="auto"/>
              <w:right w:val="single" w:sz="8" w:space="0" w:color="auto"/>
            </w:tcBorders>
            <w:shd w:val="clear" w:color="000000" w:fill="FFFFFF"/>
            <w:vAlign w:val="center"/>
            <w:hideMark/>
          </w:tcPr>
          <w:p w14:paraId="04339DAA" w14:textId="77777777" w:rsidR="00E0039B" w:rsidRPr="00A52AEE" w:rsidRDefault="00E0039B" w:rsidP="00FE68E8">
            <w:pPr>
              <w:jc w:val="right"/>
              <w:rPr>
                <w:lang w:eastAsia="en-GB"/>
              </w:rPr>
            </w:pPr>
            <w:r w:rsidRPr="00A52AEE">
              <w:rPr>
                <w:lang w:eastAsia="en-GB"/>
              </w:rPr>
              <w:t>12%</w:t>
            </w:r>
          </w:p>
        </w:tc>
        <w:tc>
          <w:tcPr>
            <w:tcW w:w="419" w:type="pct"/>
            <w:tcBorders>
              <w:top w:val="nil"/>
              <w:left w:val="nil"/>
              <w:bottom w:val="single" w:sz="8" w:space="0" w:color="auto"/>
              <w:right w:val="single" w:sz="8" w:space="0" w:color="auto"/>
            </w:tcBorders>
            <w:shd w:val="clear" w:color="000000" w:fill="FFFFFF"/>
            <w:vAlign w:val="center"/>
            <w:hideMark/>
          </w:tcPr>
          <w:p w14:paraId="4B342620" w14:textId="77777777" w:rsidR="00E0039B" w:rsidRPr="00A52AEE" w:rsidRDefault="00E0039B" w:rsidP="00FE68E8">
            <w:pPr>
              <w:jc w:val="right"/>
              <w:rPr>
                <w:lang w:eastAsia="en-GB"/>
              </w:rPr>
            </w:pPr>
            <w:r w:rsidRPr="00A52AEE">
              <w:rPr>
                <w:lang w:eastAsia="en-GB"/>
              </w:rPr>
              <w:t>5420</w:t>
            </w:r>
          </w:p>
        </w:tc>
        <w:tc>
          <w:tcPr>
            <w:tcW w:w="395" w:type="pct"/>
            <w:tcBorders>
              <w:top w:val="nil"/>
              <w:left w:val="nil"/>
              <w:bottom w:val="single" w:sz="8" w:space="0" w:color="auto"/>
              <w:right w:val="single" w:sz="8" w:space="0" w:color="auto"/>
            </w:tcBorders>
            <w:shd w:val="clear" w:color="000000" w:fill="FFFFFF"/>
            <w:vAlign w:val="center"/>
            <w:hideMark/>
          </w:tcPr>
          <w:p w14:paraId="2AA76947" w14:textId="77777777" w:rsidR="00E0039B" w:rsidRPr="00A52AEE" w:rsidRDefault="00E0039B" w:rsidP="00FE68E8">
            <w:pPr>
              <w:jc w:val="right"/>
              <w:rPr>
                <w:lang w:eastAsia="en-GB"/>
              </w:rPr>
            </w:pPr>
            <w:r w:rsidRPr="00A52AEE">
              <w:rPr>
                <w:lang w:eastAsia="en-GB"/>
              </w:rPr>
              <w:t>12%</w:t>
            </w:r>
          </w:p>
        </w:tc>
        <w:tc>
          <w:tcPr>
            <w:tcW w:w="419" w:type="pct"/>
            <w:tcBorders>
              <w:top w:val="nil"/>
              <w:left w:val="nil"/>
              <w:bottom w:val="single" w:sz="8" w:space="0" w:color="auto"/>
              <w:right w:val="single" w:sz="8" w:space="0" w:color="auto"/>
            </w:tcBorders>
            <w:shd w:val="clear" w:color="000000" w:fill="FFFFFF"/>
            <w:vAlign w:val="center"/>
            <w:hideMark/>
          </w:tcPr>
          <w:p w14:paraId="737E7F7D" w14:textId="77777777" w:rsidR="00E0039B" w:rsidRPr="00A52AEE" w:rsidRDefault="00E0039B" w:rsidP="00FE68E8">
            <w:pPr>
              <w:jc w:val="right"/>
              <w:rPr>
                <w:lang w:eastAsia="en-GB"/>
              </w:rPr>
            </w:pPr>
            <w:r w:rsidRPr="00A52AEE">
              <w:rPr>
                <w:lang w:eastAsia="en-GB"/>
              </w:rPr>
              <w:t>5745</w:t>
            </w:r>
          </w:p>
        </w:tc>
        <w:tc>
          <w:tcPr>
            <w:tcW w:w="395" w:type="pct"/>
            <w:tcBorders>
              <w:top w:val="nil"/>
              <w:left w:val="nil"/>
              <w:bottom w:val="single" w:sz="8" w:space="0" w:color="auto"/>
              <w:right w:val="single" w:sz="8" w:space="0" w:color="auto"/>
            </w:tcBorders>
            <w:shd w:val="clear" w:color="000000" w:fill="FFFFFF"/>
            <w:vAlign w:val="center"/>
            <w:hideMark/>
          </w:tcPr>
          <w:p w14:paraId="56EDCF2D" w14:textId="77777777" w:rsidR="00E0039B" w:rsidRPr="00A52AEE" w:rsidRDefault="00E0039B" w:rsidP="00FE68E8">
            <w:pPr>
              <w:jc w:val="right"/>
              <w:rPr>
                <w:lang w:eastAsia="en-GB"/>
              </w:rPr>
            </w:pPr>
            <w:r w:rsidRPr="00A52AEE">
              <w:rPr>
                <w:lang w:eastAsia="en-GB"/>
              </w:rPr>
              <w:t>12%</w:t>
            </w:r>
          </w:p>
        </w:tc>
        <w:tc>
          <w:tcPr>
            <w:tcW w:w="419" w:type="pct"/>
            <w:tcBorders>
              <w:top w:val="nil"/>
              <w:left w:val="nil"/>
              <w:bottom w:val="single" w:sz="8" w:space="0" w:color="auto"/>
              <w:right w:val="single" w:sz="8" w:space="0" w:color="auto"/>
            </w:tcBorders>
            <w:shd w:val="clear" w:color="000000" w:fill="FFFFFF"/>
            <w:vAlign w:val="center"/>
            <w:hideMark/>
          </w:tcPr>
          <w:p w14:paraId="7C31D96B" w14:textId="77777777" w:rsidR="00E0039B" w:rsidRPr="00A52AEE" w:rsidRDefault="00E0039B" w:rsidP="00FE68E8">
            <w:pPr>
              <w:jc w:val="right"/>
              <w:rPr>
                <w:lang w:eastAsia="en-GB"/>
              </w:rPr>
            </w:pPr>
            <w:r w:rsidRPr="00A52AEE">
              <w:rPr>
                <w:lang w:eastAsia="en-GB"/>
              </w:rPr>
              <w:t>5070</w:t>
            </w:r>
          </w:p>
        </w:tc>
        <w:tc>
          <w:tcPr>
            <w:tcW w:w="395" w:type="pct"/>
            <w:tcBorders>
              <w:top w:val="nil"/>
              <w:left w:val="nil"/>
              <w:bottom w:val="single" w:sz="8" w:space="0" w:color="auto"/>
              <w:right w:val="single" w:sz="8" w:space="0" w:color="auto"/>
            </w:tcBorders>
            <w:shd w:val="clear" w:color="000000" w:fill="FFFFFF"/>
            <w:vAlign w:val="center"/>
            <w:hideMark/>
          </w:tcPr>
          <w:p w14:paraId="1F6EE98A" w14:textId="77777777" w:rsidR="00E0039B" w:rsidRPr="00A52AEE" w:rsidRDefault="00E0039B" w:rsidP="00FE68E8">
            <w:pPr>
              <w:jc w:val="right"/>
              <w:rPr>
                <w:lang w:eastAsia="en-GB"/>
              </w:rPr>
            </w:pPr>
            <w:r w:rsidRPr="00A52AEE">
              <w:rPr>
                <w:lang w:eastAsia="en-GB"/>
              </w:rPr>
              <w:t>12%</w:t>
            </w:r>
          </w:p>
        </w:tc>
        <w:tc>
          <w:tcPr>
            <w:tcW w:w="419" w:type="pct"/>
            <w:tcBorders>
              <w:top w:val="nil"/>
              <w:left w:val="nil"/>
              <w:bottom w:val="single" w:sz="8" w:space="0" w:color="auto"/>
              <w:right w:val="single" w:sz="8" w:space="0" w:color="auto"/>
            </w:tcBorders>
            <w:shd w:val="clear" w:color="000000" w:fill="FFFFFF"/>
            <w:vAlign w:val="center"/>
            <w:hideMark/>
          </w:tcPr>
          <w:p w14:paraId="7D021CC9" w14:textId="77777777" w:rsidR="00E0039B" w:rsidRPr="00A52AEE" w:rsidRDefault="00E0039B" w:rsidP="00FE68E8">
            <w:pPr>
              <w:jc w:val="right"/>
              <w:rPr>
                <w:lang w:eastAsia="en-GB"/>
              </w:rPr>
            </w:pPr>
            <w:r w:rsidRPr="00A52AEE">
              <w:rPr>
                <w:lang w:eastAsia="en-GB"/>
              </w:rPr>
              <w:t>5135</w:t>
            </w:r>
          </w:p>
        </w:tc>
        <w:tc>
          <w:tcPr>
            <w:tcW w:w="510" w:type="pct"/>
            <w:tcBorders>
              <w:top w:val="nil"/>
              <w:left w:val="nil"/>
              <w:bottom w:val="single" w:sz="8" w:space="0" w:color="auto"/>
              <w:right w:val="single" w:sz="8" w:space="0" w:color="auto"/>
            </w:tcBorders>
            <w:shd w:val="clear" w:color="000000" w:fill="FFFFFF"/>
            <w:vAlign w:val="center"/>
            <w:hideMark/>
          </w:tcPr>
          <w:p w14:paraId="55173A10" w14:textId="77777777" w:rsidR="00E0039B" w:rsidRPr="00A52AEE" w:rsidRDefault="00E0039B" w:rsidP="00FE68E8">
            <w:pPr>
              <w:jc w:val="right"/>
              <w:rPr>
                <w:lang w:eastAsia="en-GB"/>
              </w:rPr>
            </w:pPr>
            <w:r w:rsidRPr="00A52AEE">
              <w:rPr>
                <w:lang w:eastAsia="en-GB"/>
              </w:rPr>
              <w:t>11%</w:t>
            </w:r>
          </w:p>
        </w:tc>
      </w:tr>
      <w:tr w:rsidR="00E0039B" w:rsidRPr="00A52AEE" w14:paraId="619AFF50"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6F37B868" w14:textId="77777777" w:rsidR="00E0039B" w:rsidRPr="005E08C9" w:rsidRDefault="00E0039B" w:rsidP="00A52AEE">
            <w:pPr>
              <w:rPr>
                <w:b/>
                <w:lang w:eastAsia="en-GB"/>
              </w:rPr>
            </w:pPr>
            <w:r w:rsidRPr="005E08C9">
              <w:rPr>
                <w:b/>
                <w:lang w:eastAsia="en-GB"/>
              </w:rPr>
              <w:t>Q4</w:t>
            </w:r>
          </w:p>
        </w:tc>
        <w:tc>
          <w:tcPr>
            <w:tcW w:w="419" w:type="pct"/>
            <w:tcBorders>
              <w:top w:val="nil"/>
              <w:left w:val="nil"/>
              <w:bottom w:val="single" w:sz="8" w:space="0" w:color="auto"/>
              <w:right w:val="single" w:sz="8" w:space="0" w:color="auto"/>
            </w:tcBorders>
            <w:shd w:val="clear" w:color="000000" w:fill="FFFFFF"/>
            <w:vAlign w:val="center"/>
            <w:hideMark/>
          </w:tcPr>
          <w:p w14:paraId="47AA5136" w14:textId="77777777" w:rsidR="00E0039B" w:rsidRPr="00A52AEE" w:rsidRDefault="00E0039B" w:rsidP="00FE68E8">
            <w:pPr>
              <w:jc w:val="right"/>
              <w:rPr>
                <w:lang w:eastAsia="en-GB"/>
              </w:rPr>
            </w:pPr>
            <w:r w:rsidRPr="00A52AEE">
              <w:rPr>
                <w:lang w:eastAsia="en-GB"/>
              </w:rPr>
              <w:t>3460</w:t>
            </w:r>
          </w:p>
        </w:tc>
        <w:tc>
          <w:tcPr>
            <w:tcW w:w="395" w:type="pct"/>
            <w:tcBorders>
              <w:top w:val="nil"/>
              <w:left w:val="nil"/>
              <w:bottom w:val="single" w:sz="8" w:space="0" w:color="auto"/>
              <w:right w:val="single" w:sz="8" w:space="0" w:color="auto"/>
            </w:tcBorders>
            <w:shd w:val="clear" w:color="000000" w:fill="FFFFFF"/>
            <w:vAlign w:val="center"/>
            <w:hideMark/>
          </w:tcPr>
          <w:p w14:paraId="6BFA5FF4" w14:textId="77777777" w:rsidR="00E0039B" w:rsidRPr="00A52AEE" w:rsidRDefault="00E0039B" w:rsidP="00FE68E8">
            <w:pPr>
              <w:jc w:val="right"/>
              <w:rPr>
                <w:lang w:eastAsia="en-GB"/>
              </w:rPr>
            </w:pPr>
            <w:r w:rsidRPr="00A52AEE">
              <w:rPr>
                <w:lang w:eastAsia="en-GB"/>
              </w:rPr>
              <w:t>8%</w:t>
            </w:r>
          </w:p>
        </w:tc>
        <w:tc>
          <w:tcPr>
            <w:tcW w:w="419" w:type="pct"/>
            <w:tcBorders>
              <w:top w:val="nil"/>
              <w:left w:val="nil"/>
              <w:bottom w:val="single" w:sz="8" w:space="0" w:color="auto"/>
              <w:right w:val="single" w:sz="8" w:space="0" w:color="auto"/>
            </w:tcBorders>
            <w:shd w:val="clear" w:color="000000" w:fill="FFFFFF"/>
            <w:vAlign w:val="center"/>
            <w:hideMark/>
          </w:tcPr>
          <w:p w14:paraId="7F3FFD96" w14:textId="77777777" w:rsidR="00E0039B" w:rsidRPr="00A52AEE" w:rsidRDefault="00E0039B" w:rsidP="00FE68E8">
            <w:pPr>
              <w:jc w:val="right"/>
              <w:rPr>
                <w:lang w:eastAsia="en-GB"/>
              </w:rPr>
            </w:pPr>
            <w:r w:rsidRPr="00A52AEE">
              <w:rPr>
                <w:lang w:eastAsia="en-GB"/>
              </w:rPr>
              <w:t>3680</w:t>
            </w:r>
          </w:p>
        </w:tc>
        <w:tc>
          <w:tcPr>
            <w:tcW w:w="395" w:type="pct"/>
            <w:tcBorders>
              <w:top w:val="nil"/>
              <w:left w:val="nil"/>
              <w:bottom w:val="single" w:sz="8" w:space="0" w:color="auto"/>
              <w:right w:val="single" w:sz="8" w:space="0" w:color="auto"/>
            </w:tcBorders>
            <w:shd w:val="clear" w:color="000000" w:fill="FFFFFF"/>
            <w:vAlign w:val="center"/>
            <w:hideMark/>
          </w:tcPr>
          <w:p w14:paraId="54F05DB3" w14:textId="77777777" w:rsidR="00E0039B" w:rsidRPr="00A52AEE" w:rsidRDefault="00E0039B" w:rsidP="00FE68E8">
            <w:pPr>
              <w:jc w:val="right"/>
              <w:rPr>
                <w:lang w:eastAsia="en-GB"/>
              </w:rPr>
            </w:pPr>
            <w:r w:rsidRPr="00A52AEE">
              <w:rPr>
                <w:lang w:eastAsia="en-GB"/>
              </w:rPr>
              <w:t>8%</w:t>
            </w:r>
          </w:p>
        </w:tc>
        <w:tc>
          <w:tcPr>
            <w:tcW w:w="419" w:type="pct"/>
            <w:tcBorders>
              <w:top w:val="nil"/>
              <w:left w:val="nil"/>
              <w:bottom w:val="single" w:sz="8" w:space="0" w:color="auto"/>
              <w:right w:val="single" w:sz="8" w:space="0" w:color="auto"/>
            </w:tcBorders>
            <w:shd w:val="clear" w:color="000000" w:fill="FFFFFF"/>
            <w:vAlign w:val="center"/>
            <w:hideMark/>
          </w:tcPr>
          <w:p w14:paraId="24477FC2" w14:textId="77777777" w:rsidR="00E0039B" w:rsidRPr="00A52AEE" w:rsidRDefault="00E0039B" w:rsidP="00FE68E8">
            <w:pPr>
              <w:jc w:val="right"/>
              <w:rPr>
                <w:lang w:eastAsia="en-GB"/>
              </w:rPr>
            </w:pPr>
            <w:r w:rsidRPr="00A52AEE">
              <w:rPr>
                <w:lang w:eastAsia="en-GB"/>
              </w:rPr>
              <w:t>3910</w:t>
            </w:r>
          </w:p>
        </w:tc>
        <w:tc>
          <w:tcPr>
            <w:tcW w:w="395" w:type="pct"/>
            <w:tcBorders>
              <w:top w:val="nil"/>
              <w:left w:val="nil"/>
              <w:bottom w:val="single" w:sz="8" w:space="0" w:color="auto"/>
              <w:right w:val="single" w:sz="8" w:space="0" w:color="auto"/>
            </w:tcBorders>
            <w:shd w:val="clear" w:color="000000" w:fill="FFFFFF"/>
            <w:vAlign w:val="center"/>
            <w:hideMark/>
          </w:tcPr>
          <w:p w14:paraId="65FD063F" w14:textId="77777777" w:rsidR="00E0039B" w:rsidRPr="00A52AEE" w:rsidRDefault="00E0039B" w:rsidP="00FE68E8">
            <w:pPr>
              <w:jc w:val="right"/>
              <w:rPr>
                <w:lang w:eastAsia="en-GB"/>
              </w:rPr>
            </w:pPr>
            <w:r w:rsidRPr="00A52AEE">
              <w:rPr>
                <w:lang w:eastAsia="en-GB"/>
              </w:rPr>
              <w:t>8%</w:t>
            </w:r>
          </w:p>
        </w:tc>
        <w:tc>
          <w:tcPr>
            <w:tcW w:w="419" w:type="pct"/>
            <w:tcBorders>
              <w:top w:val="nil"/>
              <w:left w:val="nil"/>
              <w:bottom w:val="single" w:sz="8" w:space="0" w:color="auto"/>
              <w:right w:val="single" w:sz="8" w:space="0" w:color="auto"/>
            </w:tcBorders>
            <w:shd w:val="clear" w:color="000000" w:fill="FFFFFF"/>
            <w:vAlign w:val="center"/>
            <w:hideMark/>
          </w:tcPr>
          <w:p w14:paraId="36E597BF" w14:textId="77777777" w:rsidR="00E0039B" w:rsidRPr="00A52AEE" w:rsidRDefault="00E0039B" w:rsidP="00FE68E8">
            <w:pPr>
              <w:jc w:val="right"/>
              <w:rPr>
                <w:lang w:eastAsia="en-GB"/>
              </w:rPr>
            </w:pPr>
            <w:r w:rsidRPr="00A52AEE">
              <w:rPr>
                <w:lang w:eastAsia="en-GB"/>
              </w:rPr>
              <w:t>3120</w:t>
            </w:r>
          </w:p>
        </w:tc>
        <w:tc>
          <w:tcPr>
            <w:tcW w:w="395" w:type="pct"/>
            <w:tcBorders>
              <w:top w:val="nil"/>
              <w:left w:val="nil"/>
              <w:bottom w:val="single" w:sz="8" w:space="0" w:color="auto"/>
              <w:right w:val="single" w:sz="8" w:space="0" w:color="auto"/>
            </w:tcBorders>
            <w:shd w:val="clear" w:color="000000" w:fill="FFFFFF"/>
            <w:vAlign w:val="center"/>
            <w:hideMark/>
          </w:tcPr>
          <w:p w14:paraId="20FB53B4" w14:textId="77777777" w:rsidR="00E0039B" w:rsidRPr="00A52AEE" w:rsidRDefault="00E0039B" w:rsidP="00FE68E8">
            <w:pPr>
              <w:jc w:val="right"/>
              <w:rPr>
                <w:lang w:eastAsia="en-GB"/>
              </w:rPr>
            </w:pPr>
            <w:r w:rsidRPr="00A52AEE">
              <w:rPr>
                <w:lang w:eastAsia="en-GB"/>
              </w:rPr>
              <w:t>7%</w:t>
            </w:r>
          </w:p>
        </w:tc>
        <w:tc>
          <w:tcPr>
            <w:tcW w:w="419" w:type="pct"/>
            <w:tcBorders>
              <w:top w:val="nil"/>
              <w:left w:val="nil"/>
              <w:bottom w:val="single" w:sz="8" w:space="0" w:color="auto"/>
              <w:right w:val="single" w:sz="8" w:space="0" w:color="auto"/>
            </w:tcBorders>
            <w:shd w:val="clear" w:color="000000" w:fill="FFFFFF"/>
            <w:vAlign w:val="center"/>
            <w:hideMark/>
          </w:tcPr>
          <w:p w14:paraId="64C6E7A5" w14:textId="77777777" w:rsidR="00E0039B" w:rsidRPr="00A52AEE" w:rsidRDefault="00E0039B" w:rsidP="00FE68E8">
            <w:pPr>
              <w:jc w:val="right"/>
              <w:rPr>
                <w:lang w:eastAsia="en-GB"/>
              </w:rPr>
            </w:pPr>
            <w:r w:rsidRPr="00A52AEE">
              <w:rPr>
                <w:lang w:eastAsia="en-GB"/>
              </w:rPr>
              <w:t>3315</w:t>
            </w:r>
          </w:p>
        </w:tc>
        <w:tc>
          <w:tcPr>
            <w:tcW w:w="510" w:type="pct"/>
            <w:tcBorders>
              <w:top w:val="nil"/>
              <w:left w:val="nil"/>
              <w:bottom w:val="single" w:sz="8" w:space="0" w:color="auto"/>
              <w:right w:val="single" w:sz="8" w:space="0" w:color="auto"/>
            </w:tcBorders>
            <w:shd w:val="clear" w:color="000000" w:fill="FFFFFF"/>
            <w:vAlign w:val="center"/>
            <w:hideMark/>
          </w:tcPr>
          <w:p w14:paraId="3DB19B2E" w14:textId="77777777" w:rsidR="00E0039B" w:rsidRPr="00A52AEE" w:rsidRDefault="00E0039B" w:rsidP="00FE68E8">
            <w:pPr>
              <w:jc w:val="right"/>
              <w:rPr>
                <w:lang w:eastAsia="en-GB"/>
              </w:rPr>
            </w:pPr>
            <w:r w:rsidRPr="00A52AEE">
              <w:rPr>
                <w:lang w:eastAsia="en-GB"/>
              </w:rPr>
              <w:t>7%</w:t>
            </w:r>
          </w:p>
        </w:tc>
      </w:tr>
      <w:tr w:rsidR="00E0039B" w:rsidRPr="00A52AEE" w14:paraId="00E97C62"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12418478" w14:textId="0EFA856B" w:rsidR="00E0039B" w:rsidRPr="005E08C9" w:rsidRDefault="00D92B68" w:rsidP="00A52AEE">
            <w:pPr>
              <w:rPr>
                <w:b/>
                <w:lang w:eastAsia="en-GB"/>
              </w:rPr>
            </w:pPr>
            <w:r>
              <w:rPr>
                <w:b/>
                <w:lang w:eastAsia="en-GB"/>
              </w:rPr>
              <w:t xml:space="preserve">Q5 – most </w:t>
            </w:r>
            <w:r w:rsidR="00E0039B" w:rsidRPr="005E08C9">
              <w:rPr>
                <w:b/>
                <w:lang w:eastAsia="en-GB"/>
              </w:rPr>
              <w:t>advantage</w:t>
            </w:r>
            <w:r w:rsidR="00561FE7" w:rsidRPr="005E08C9">
              <w:rPr>
                <w:b/>
                <w:lang w:eastAsia="en-GB"/>
              </w:rPr>
              <w:t>d</w:t>
            </w:r>
          </w:p>
        </w:tc>
        <w:tc>
          <w:tcPr>
            <w:tcW w:w="419" w:type="pct"/>
            <w:tcBorders>
              <w:top w:val="nil"/>
              <w:left w:val="nil"/>
              <w:bottom w:val="single" w:sz="8" w:space="0" w:color="auto"/>
              <w:right w:val="single" w:sz="8" w:space="0" w:color="auto"/>
            </w:tcBorders>
            <w:shd w:val="clear" w:color="000000" w:fill="FFFFFF"/>
            <w:vAlign w:val="center"/>
            <w:hideMark/>
          </w:tcPr>
          <w:p w14:paraId="7683B25A" w14:textId="77777777" w:rsidR="00E0039B" w:rsidRPr="00A52AEE" w:rsidRDefault="00E0039B" w:rsidP="00FE68E8">
            <w:pPr>
              <w:jc w:val="right"/>
              <w:rPr>
                <w:lang w:eastAsia="en-GB"/>
              </w:rPr>
            </w:pPr>
            <w:r w:rsidRPr="00A52AEE">
              <w:rPr>
                <w:lang w:eastAsia="en-GB"/>
              </w:rPr>
              <w:t>2490</w:t>
            </w:r>
          </w:p>
        </w:tc>
        <w:tc>
          <w:tcPr>
            <w:tcW w:w="395" w:type="pct"/>
            <w:tcBorders>
              <w:top w:val="nil"/>
              <w:left w:val="nil"/>
              <w:bottom w:val="single" w:sz="8" w:space="0" w:color="auto"/>
              <w:right w:val="single" w:sz="8" w:space="0" w:color="auto"/>
            </w:tcBorders>
            <w:shd w:val="clear" w:color="000000" w:fill="FFFFFF"/>
            <w:vAlign w:val="center"/>
            <w:hideMark/>
          </w:tcPr>
          <w:p w14:paraId="355E20D4" w14:textId="77777777" w:rsidR="00E0039B" w:rsidRPr="00A52AEE" w:rsidRDefault="00E0039B" w:rsidP="00FE68E8">
            <w:pPr>
              <w:jc w:val="right"/>
              <w:rPr>
                <w:lang w:eastAsia="en-GB"/>
              </w:rPr>
            </w:pPr>
            <w:r w:rsidRPr="00A52AEE">
              <w:rPr>
                <w:lang w:eastAsia="en-GB"/>
              </w:rPr>
              <w:t>6%</w:t>
            </w:r>
          </w:p>
        </w:tc>
        <w:tc>
          <w:tcPr>
            <w:tcW w:w="419" w:type="pct"/>
            <w:tcBorders>
              <w:top w:val="nil"/>
              <w:left w:val="nil"/>
              <w:bottom w:val="single" w:sz="8" w:space="0" w:color="auto"/>
              <w:right w:val="single" w:sz="8" w:space="0" w:color="auto"/>
            </w:tcBorders>
            <w:shd w:val="clear" w:color="000000" w:fill="FFFFFF"/>
            <w:vAlign w:val="center"/>
            <w:hideMark/>
          </w:tcPr>
          <w:p w14:paraId="771E41D9" w14:textId="77777777" w:rsidR="00E0039B" w:rsidRPr="00A52AEE" w:rsidRDefault="00E0039B" w:rsidP="00FE68E8">
            <w:pPr>
              <w:jc w:val="right"/>
              <w:rPr>
                <w:lang w:eastAsia="en-GB"/>
              </w:rPr>
            </w:pPr>
            <w:r w:rsidRPr="00A52AEE">
              <w:rPr>
                <w:lang w:eastAsia="en-GB"/>
              </w:rPr>
              <w:t>2650</w:t>
            </w:r>
          </w:p>
        </w:tc>
        <w:tc>
          <w:tcPr>
            <w:tcW w:w="395" w:type="pct"/>
            <w:tcBorders>
              <w:top w:val="nil"/>
              <w:left w:val="nil"/>
              <w:bottom w:val="single" w:sz="8" w:space="0" w:color="auto"/>
              <w:right w:val="single" w:sz="8" w:space="0" w:color="auto"/>
            </w:tcBorders>
            <w:shd w:val="clear" w:color="000000" w:fill="FFFFFF"/>
            <w:vAlign w:val="center"/>
            <w:hideMark/>
          </w:tcPr>
          <w:p w14:paraId="5ED1240E" w14:textId="77777777" w:rsidR="00E0039B" w:rsidRPr="00A52AEE" w:rsidRDefault="00E0039B" w:rsidP="00FE68E8">
            <w:pPr>
              <w:jc w:val="right"/>
              <w:rPr>
                <w:lang w:eastAsia="en-GB"/>
              </w:rPr>
            </w:pPr>
            <w:r w:rsidRPr="00A52AEE">
              <w:rPr>
                <w:lang w:eastAsia="en-GB"/>
              </w:rPr>
              <w:t>6%</w:t>
            </w:r>
          </w:p>
        </w:tc>
        <w:tc>
          <w:tcPr>
            <w:tcW w:w="419" w:type="pct"/>
            <w:tcBorders>
              <w:top w:val="nil"/>
              <w:left w:val="nil"/>
              <w:bottom w:val="single" w:sz="8" w:space="0" w:color="auto"/>
              <w:right w:val="single" w:sz="8" w:space="0" w:color="auto"/>
            </w:tcBorders>
            <w:shd w:val="clear" w:color="000000" w:fill="FFFFFF"/>
            <w:vAlign w:val="center"/>
            <w:hideMark/>
          </w:tcPr>
          <w:p w14:paraId="1861219A" w14:textId="77777777" w:rsidR="00E0039B" w:rsidRPr="00A52AEE" w:rsidRDefault="00E0039B" w:rsidP="00FE68E8">
            <w:pPr>
              <w:jc w:val="right"/>
              <w:rPr>
                <w:lang w:eastAsia="en-GB"/>
              </w:rPr>
            </w:pPr>
            <w:r w:rsidRPr="00A52AEE">
              <w:rPr>
                <w:lang w:eastAsia="en-GB"/>
              </w:rPr>
              <w:t>2660</w:t>
            </w:r>
          </w:p>
        </w:tc>
        <w:tc>
          <w:tcPr>
            <w:tcW w:w="395" w:type="pct"/>
            <w:tcBorders>
              <w:top w:val="nil"/>
              <w:left w:val="nil"/>
              <w:bottom w:val="single" w:sz="8" w:space="0" w:color="auto"/>
              <w:right w:val="single" w:sz="8" w:space="0" w:color="auto"/>
            </w:tcBorders>
            <w:shd w:val="clear" w:color="000000" w:fill="FFFFFF"/>
            <w:vAlign w:val="center"/>
            <w:hideMark/>
          </w:tcPr>
          <w:p w14:paraId="6152D5BA" w14:textId="77777777" w:rsidR="00E0039B" w:rsidRPr="00A52AEE" w:rsidRDefault="00E0039B" w:rsidP="00FE68E8">
            <w:pPr>
              <w:jc w:val="right"/>
              <w:rPr>
                <w:lang w:eastAsia="en-GB"/>
              </w:rPr>
            </w:pPr>
            <w:r w:rsidRPr="00A52AEE">
              <w:rPr>
                <w:lang w:eastAsia="en-GB"/>
              </w:rPr>
              <w:t>6%</w:t>
            </w:r>
          </w:p>
        </w:tc>
        <w:tc>
          <w:tcPr>
            <w:tcW w:w="419" w:type="pct"/>
            <w:tcBorders>
              <w:top w:val="nil"/>
              <w:left w:val="nil"/>
              <w:bottom w:val="single" w:sz="8" w:space="0" w:color="auto"/>
              <w:right w:val="single" w:sz="8" w:space="0" w:color="auto"/>
            </w:tcBorders>
            <w:shd w:val="clear" w:color="000000" w:fill="FFFFFF"/>
            <w:vAlign w:val="center"/>
            <w:hideMark/>
          </w:tcPr>
          <w:p w14:paraId="41DE3708" w14:textId="77777777" w:rsidR="00E0039B" w:rsidRPr="00A52AEE" w:rsidRDefault="00E0039B" w:rsidP="00FE68E8">
            <w:pPr>
              <w:jc w:val="right"/>
              <w:rPr>
                <w:lang w:eastAsia="en-GB"/>
              </w:rPr>
            </w:pPr>
            <w:r w:rsidRPr="00A52AEE">
              <w:rPr>
                <w:lang w:eastAsia="en-GB"/>
              </w:rPr>
              <w:t>2195</w:t>
            </w:r>
          </w:p>
        </w:tc>
        <w:tc>
          <w:tcPr>
            <w:tcW w:w="395" w:type="pct"/>
            <w:tcBorders>
              <w:top w:val="nil"/>
              <w:left w:val="nil"/>
              <w:bottom w:val="single" w:sz="8" w:space="0" w:color="auto"/>
              <w:right w:val="single" w:sz="8" w:space="0" w:color="auto"/>
            </w:tcBorders>
            <w:shd w:val="clear" w:color="000000" w:fill="FFFFFF"/>
            <w:vAlign w:val="center"/>
            <w:hideMark/>
          </w:tcPr>
          <w:p w14:paraId="04F20E6B" w14:textId="77777777" w:rsidR="00E0039B" w:rsidRPr="00A52AEE" w:rsidRDefault="00E0039B" w:rsidP="00FE68E8">
            <w:pPr>
              <w:jc w:val="right"/>
              <w:rPr>
                <w:lang w:eastAsia="en-GB"/>
              </w:rPr>
            </w:pPr>
            <w:r w:rsidRPr="00A52AEE">
              <w:rPr>
                <w:lang w:eastAsia="en-GB"/>
              </w:rPr>
              <w:t>5%</w:t>
            </w:r>
          </w:p>
        </w:tc>
        <w:tc>
          <w:tcPr>
            <w:tcW w:w="419" w:type="pct"/>
            <w:tcBorders>
              <w:top w:val="nil"/>
              <w:left w:val="nil"/>
              <w:bottom w:val="single" w:sz="8" w:space="0" w:color="auto"/>
              <w:right w:val="single" w:sz="8" w:space="0" w:color="auto"/>
            </w:tcBorders>
            <w:shd w:val="clear" w:color="000000" w:fill="FFFFFF"/>
            <w:vAlign w:val="center"/>
            <w:hideMark/>
          </w:tcPr>
          <w:p w14:paraId="551FD08C" w14:textId="77777777" w:rsidR="00E0039B" w:rsidRPr="00A52AEE" w:rsidRDefault="00E0039B" w:rsidP="00FE68E8">
            <w:pPr>
              <w:jc w:val="right"/>
              <w:rPr>
                <w:lang w:eastAsia="en-GB"/>
              </w:rPr>
            </w:pPr>
            <w:r w:rsidRPr="00A52AEE">
              <w:rPr>
                <w:lang w:eastAsia="en-GB"/>
              </w:rPr>
              <w:t>2165</w:t>
            </w:r>
          </w:p>
        </w:tc>
        <w:tc>
          <w:tcPr>
            <w:tcW w:w="510" w:type="pct"/>
            <w:tcBorders>
              <w:top w:val="nil"/>
              <w:left w:val="nil"/>
              <w:bottom w:val="single" w:sz="8" w:space="0" w:color="auto"/>
              <w:right w:val="single" w:sz="8" w:space="0" w:color="auto"/>
            </w:tcBorders>
            <w:shd w:val="clear" w:color="000000" w:fill="FFFFFF"/>
            <w:vAlign w:val="center"/>
            <w:hideMark/>
          </w:tcPr>
          <w:p w14:paraId="4090751C" w14:textId="77777777" w:rsidR="00E0039B" w:rsidRPr="00A52AEE" w:rsidRDefault="00E0039B" w:rsidP="00FE68E8">
            <w:pPr>
              <w:jc w:val="right"/>
              <w:rPr>
                <w:lang w:eastAsia="en-GB"/>
              </w:rPr>
            </w:pPr>
            <w:r w:rsidRPr="00A52AEE">
              <w:rPr>
                <w:lang w:eastAsia="en-GB"/>
              </w:rPr>
              <w:t>5%</w:t>
            </w:r>
          </w:p>
        </w:tc>
      </w:tr>
      <w:tr w:rsidR="00E0039B" w:rsidRPr="00A52AEE" w14:paraId="7032FCEB"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18555A7A" w14:textId="77777777" w:rsidR="00E0039B" w:rsidRPr="005E08C9" w:rsidRDefault="00E0039B" w:rsidP="00A52AEE">
            <w:pPr>
              <w:rPr>
                <w:b/>
                <w:lang w:eastAsia="en-GB"/>
              </w:rPr>
            </w:pPr>
            <w:r w:rsidRPr="005E08C9">
              <w:rPr>
                <w:b/>
                <w:lang w:eastAsia="en-GB"/>
              </w:rPr>
              <w:t>Unknown</w:t>
            </w:r>
          </w:p>
        </w:tc>
        <w:tc>
          <w:tcPr>
            <w:tcW w:w="419" w:type="pct"/>
            <w:tcBorders>
              <w:top w:val="nil"/>
              <w:left w:val="nil"/>
              <w:bottom w:val="single" w:sz="8" w:space="0" w:color="auto"/>
              <w:right w:val="single" w:sz="8" w:space="0" w:color="auto"/>
            </w:tcBorders>
            <w:shd w:val="clear" w:color="000000" w:fill="FFFFFF"/>
            <w:vAlign w:val="center"/>
            <w:hideMark/>
          </w:tcPr>
          <w:p w14:paraId="1D7CA781" w14:textId="77777777" w:rsidR="00E0039B" w:rsidRPr="00A52AEE" w:rsidRDefault="00E0039B" w:rsidP="00FE68E8">
            <w:pPr>
              <w:jc w:val="right"/>
              <w:rPr>
                <w:lang w:eastAsia="en-GB"/>
              </w:rPr>
            </w:pPr>
            <w:r w:rsidRPr="00A52AEE">
              <w:rPr>
                <w:lang w:eastAsia="en-GB"/>
              </w:rPr>
              <w:t>170</w:t>
            </w:r>
          </w:p>
        </w:tc>
        <w:tc>
          <w:tcPr>
            <w:tcW w:w="395" w:type="pct"/>
            <w:tcBorders>
              <w:top w:val="nil"/>
              <w:left w:val="nil"/>
              <w:bottom w:val="single" w:sz="8" w:space="0" w:color="auto"/>
              <w:right w:val="single" w:sz="8" w:space="0" w:color="auto"/>
            </w:tcBorders>
            <w:shd w:val="clear" w:color="000000" w:fill="FFFFFF"/>
            <w:vAlign w:val="center"/>
            <w:hideMark/>
          </w:tcPr>
          <w:p w14:paraId="5232D325" w14:textId="77777777" w:rsidR="00E0039B" w:rsidRPr="00A52AEE" w:rsidRDefault="00E0039B" w:rsidP="00FE68E8">
            <w:pPr>
              <w:jc w:val="right"/>
              <w:rPr>
                <w:lang w:eastAsia="en-GB"/>
              </w:rPr>
            </w:pPr>
            <w:r w:rsidRPr="00A52AEE">
              <w:rPr>
                <w:lang w:eastAsia="en-GB"/>
              </w:rPr>
              <w:t>0%</w:t>
            </w:r>
          </w:p>
        </w:tc>
        <w:tc>
          <w:tcPr>
            <w:tcW w:w="419" w:type="pct"/>
            <w:tcBorders>
              <w:top w:val="nil"/>
              <w:left w:val="nil"/>
              <w:bottom w:val="single" w:sz="8" w:space="0" w:color="auto"/>
              <w:right w:val="single" w:sz="8" w:space="0" w:color="auto"/>
            </w:tcBorders>
            <w:shd w:val="clear" w:color="000000" w:fill="FFFFFF"/>
            <w:vAlign w:val="center"/>
            <w:hideMark/>
          </w:tcPr>
          <w:p w14:paraId="02DB1B62" w14:textId="77777777" w:rsidR="00E0039B" w:rsidRPr="00A52AEE" w:rsidRDefault="00E0039B" w:rsidP="00FE68E8">
            <w:pPr>
              <w:jc w:val="right"/>
              <w:rPr>
                <w:lang w:eastAsia="en-GB"/>
              </w:rPr>
            </w:pPr>
            <w:r w:rsidRPr="00A52AEE">
              <w:rPr>
                <w:lang w:eastAsia="en-GB"/>
              </w:rPr>
              <w:t>135</w:t>
            </w:r>
          </w:p>
        </w:tc>
        <w:tc>
          <w:tcPr>
            <w:tcW w:w="395" w:type="pct"/>
            <w:tcBorders>
              <w:top w:val="nil"/>
              <w:left w:val="nil"/>
              <w:bottom w:val="single" w:sz="8" w:space="0" w:color="auto"/>
              <w:right w:val="single" w:sz="8" w:space="0" w:color="auto"/>
            </w:tcBorders>
            <w:shd w:val="clear" w:color="000000" w:fill="FFFFFF"/>
            <w:vAlign w:val="center"/>
            <w:hideMark/>
          </w:tcPr>
          <w:p w14:paraId="2AB62DCF" w14:textId="77777777" w:rsidR="00E0039B" w:rsidRPr="00A52AEE" w:rsidRDefault="00E0039B" w:rsidP="00FE68E8">
            <w:pPr>
              <w:jc w:val="right"/>
              <w:rPr>
                <w:lang w:eastAsia="en-GB"/>
              </w:rPr>
            </w:pPr>
            <w:r w:rsidRPr="00A52AEE">
              <w:rPr>
                <w:lang w:eastAsia="en-GB"/>
              </w:rPr>
              <w:t>0%</w:t>
            </w:r>
          </w:p>
        </w:tc>
        <w:tc>
          <w:tcPr>
            <w:tcW w:w="419" w:type="pct"/>
            <w:tcBorders>
              <w:top w:val="nil"/>
              <w:left w:val="nil"/>
              <w:bottom w:val="single" w:sz="8" w:space="0" w:color="auto"/>
              <w:right w:val="single" w:sz="8" w:space="0" w:color="auto"/>
            </w:tcBorders>
            <w:shd w:val="clear" w:color="000000" w:fill="FFFFFF"/>
            <w:vAlign w:val="center"/>
            <w:hideMark/>
          </w:tcPr>
          <w:p w14:paraId="2A082250" w14:textId="77777777" w:rsidR="00E0039B" w:rsidRPr="00A52AEE" w:rsidRDefault="00E0039B" w:rsidP="00FE68E8">
            <w:pPr>
              <w:jc w:val="right"/>
              <w:rPr>
                <w:lang w:eastAsia="en-GB"/>
              </w:rPr>
            </w:pPr>
            <w:r w:rsidRPr="00A52AEE">
              <w:rPr>
                <w:lang w:eastAsia="en-GB"/>
              </w:rPr>
              <w:t>195</w:t>
            </w:r>
          </w:p>
        </w:tc>
        <w:tc>
          <w:tcPr>
            <w:tcW w:w="395" w:type="pct"/>
            <w:tcBorders>
              <w:top w:val="nil"/>
              <w:left w:val="nil"/>
              <w:bottom w:val="single" w:sz="8" w:space="0" w:color="auto"/>
              <w:right w:val="single" w:sz="8" w:space="0" w:color="auto"/>
            </w:tcBorders>
            <w:shd w:val="clear" w:color="000000" w:fill="FFFFFF"/>
            <w:vAlign w:val="center"/>
            <w:hideMark/>
          </w:tcPr>
          <w:p w14:paraId="151925D1" w14:textId="77777777" w:rsidR="00E0039B" w:rsidRPr="00A52AEE" w:rsidRDefault="00E0039B" w:rsidP="00FE68E8">
            <w:pPr>
              <w:jc w:val="right"/>
              <w:rPr>
                <w:lang w:eastAsia="en-GB"/>
              </w:rPr>
            </w:pPr>
            <w:r w:rsidRPr="00A52AEE">
              <w:rPr>
                <w:lang w:eastAsia="en-GB"/>
              </w:rPr>
              <w:t>0%</w:t>
            </w:r>
          </w:p>
        </w:tc>
        <w:tc>
          <w:tcPr>
            <w:tcW w:w="419" w:type="pct"/>
            <w:tcBorders>
              <w:top w:val="nil"/>
              <w:left w:val="nil"/>
              <w:bottom w:val="single" w:sz="8" w:space="0" w:color="auto"/>
              <w:right w:val="single" w:sz="8" w:space="0" w:color="auto"/>
            </w:tcBorders>
            <w:shd w:val="clear" w:color="000000" w:fill="FFFFFF"/>
            <w:vAlign w:val="center"/>
            <w:hideMark/>
          </w:tcPr>
          <w:p w14:paraId="00CC72BC" w14:textId="77777777" w:rsidR="00E0039B" w:rsidRPr="00A52AEE" w:rsidRDefault="00E0039B" w:rsidP="00FE68E8">
            <w:pPr>
              <w:jc w:val="right"/>
              <w:rPr>
                <w:lang w:eastAsia="en-GB"/>
              </w:rPr>
            </w:pPr>
            <w:r w:rsidRPr="00A52AEE">
              <w:rPr>
                <w:lang w:eastAsia="en-GB"/>
              </w:rPr>
              <w:t>95</w:t>
            </w:r>
          </w:p>
        </w:tc>
        <w:tc>
          <w:tcPr>
            <w:tcW w:w="395" w:type="pct"/>
            <w:tcBorders>
              <w:top w:val="nil"/>
              <w:left w:val="nil"/>
              <w:bottom w:val="single" w:sz="8" w:space="0" w:color="auto"/>
              <w:right w:val="single" w:sz="8" w:space="0" w:color="auto"/>
            </w:tcBorders>
            <w:shd w:val="clear" w:color="000000" w:fill="FFFFFF"/>
            <w:vAlign w:val="center"/>
            <w:hideMark/>
          </w:tcPr>
          <w:p w14:paraId="3E5A456D" w14:textId="77777777" w:rsidR="00E0039B" w:rsidRPr="00A52AEE" w:rsidRDefault="00E0039B" w:rsidP="00FE68E8">
            <w:pPr>
              <w:jc w:val="right"/>
              <w:rPr>
                <w:lang w:eastAsia="en-GB"/>
              </w:rPr>
            </w:pPr>
            <w:r w:rsidRPr="00A52AEE">
              <w:rPr>
                <w:lang w:eastAsia="en-GB"/>
              </w:rPr>
              <w:t>0%</w:t>
            </w:r>
          </w:p>
        </w:tc>
        <w:tc>
          <w:tcPr>
            <w:tcW w:w="419" w:type="pct"/>
            <w:tcBorders>
              <w:top w:val="nil"/>
              <w:left w:val="nil"/>
              <w:bottom w:val="single" w:sz="8" w:space="0" w:color="auto"/>
              <w:right w:val="single" w:sz="8" w:space="0" w:color="auto"/>
            </w:tcBorders>
            <w:shd w:val="clear" w:color="000000" w:fill="FFFFFF"/>
            <w:vAlign w:val="center"/>
            <w:hideMark/>
          </w:tcPr>
          <w:p w14:paraId="28264A1B" w14:textId="77777777" w:rsidR="00E0039B" w:rsidRPr="00A52AEE" w:rsidRDefault="00E0039B" w:rsidP="00FE68E8">
            <w:pPr>
              <w:jc w:val="right"/>
              <w:rPr>
                <w:lang w:eastAsia="en-GB"/>
              </w:rPr>
            </w:pPr>
            <w:r w:rsidRPr="00A52AEE">
              <w:rPr>
                <w:lang w:eastAsia="en-GB"/>
              </w:rPr>
              <w:t>75</w:t>
            </w:r>
          </w:p>
        </w:tc>
        <w:tc>
          <w:tcPr>
            <w:tcW w:w="510" w:type="pct"/>
            <w:tcBorders>
              <w:top w:val="nil"/>
              <w:left w:val="nil"/>
              <w:bottom w:val="single" w:sz="8" w:space="0" w:color="auto"/>
              <w:right w:val="single" w:sz="8" w:space="0" w:color="auto"/>
            </w:tcBorders>
            <w:shd w:val="clear" w:color="000000" w:fill="FFFFFF"/>
            <w:vAlign w:val="center"/>
            <w:hideMark/>
          </w:tcPr>
          <w:p w14:paraId="5FF5B524" w14:textId="77777777" w:rsidR="00E0039B" w:rsidRPr="00A52AEE" w:rsidRDefault="00E0039B" w:rsidP="00FE68E8">
            <w:pPr>
              <w:jc w:val="right"/>
              <w:rPr>
                <w:lang w:eastAsia="en-GB"/>
              </w:rPr>
            </w:pPr>
            <w:r w:rsidRPr="00A52AEE">
              <w:rPr>
                <w:lang w:eastAsia="en-GB"/>
              </w:rPr>
              <w:t>0%</w:t>
            </w:r>
          </w:p>
        </w:tc>
      </w:tr>
      <w:tr w:rsidR="00E0039B" w:rsidRPr="00A52AEE" w14:paraId="087F3C5C" w14:textId="77777777" w:rsidTr="002E286F">
        <w:trPr>
          <w:trHeight w:val="330"/>
        </w:trPr>
        <w:tc>
          <w:tcPr>
            <w:tcW w:w="815" w:type="pct"/>
            <w:tcBorders>
              <w:top w:val="nil"/>
              <w:left w:val="single" w:sz="8" w:space="0" w:color="auto"/>
              <w:bottom w:val="single" w:sz="8" w:space="0" w:color="auto"/>
              <w:right w:val="single" w:sz="8" w:space="0" w:color="auto"/>
            </w:tcBorders>
            <w:shd w:val="clear" w:color="000000" w:fill="FFFFFF"/>
            <w:vAlign w:val="center"/>
            <w:hideMark/>
          </w:tcPr>
          <w:p w14:paraId="6F1DB137" w14:textId="77777777" w:rsidR="00E0039B" w:rsidRPr="005E08C9" w:rsidRDefault="00E0039B" w:rsidP="00A52AEE">
            <w:pPr>
              <w:rPr>
                <w:b/>
                <w:lang w:eastAsia="en-GB"/>
              </w:rPr>
            </w:pPr>
            <w:r w:rsidRPr="005E08C9">
              <w:rPr>
                <w:b/>
                <w:lang w:eastAsia="en-GB"/>
              </w:rPr>
              <w:t>Total</w:t>
            </w:r>
          </w:p>
        </w:tc>
        <w:tc>
          <w:tcPr>
            <w:tcW w:w="419" w:type="pct"/>
            <w:tcBorders>
              <w:top w:val="nil"/>
              <w:left w:val="nil"/>
              <w:bottom w:val="single" w:sz="8" w:space="0" w:color="auto"/>
              <w:right w:val="single" w:sz="8" w:space="0" w:color="auto"/>
            </w:tcBorders>
            <w:shd w:val="clear" w:color="000000" w:fill="FFFFFF"/>
            <w:vAlign w:val="center"/>
            <w:hideMark/>
          </w:tcPr>
          <w:p w14:paraId="61246FE8" w14:textId="77777777" w:rsidR="00E0039B" w:rsidRPr="00A52AEE" w:rsidRDefault="00E0039B" w:rsidP="00FE68E8">
            <w:pPr>
              <w:jc w:val="right"/>
              <w:rPr>
                <w:lang w:eastAsia="en-GB"/>
              </w:rPr>
            </w:pPr>
            <w:r w:rsidRPr="00A52AEE">
              <w:rPr>
                <w:lang w:eastAsia="en-GB"/>
              </w:rPr>
              <w:t>42060</w:t>
            </w:r>
          </w:p>
        </w:tc>
        <w:tc>
          <w:tcPr>
            <w:tcW w:w="395" w:type="pct"/>
            <w:tcBorders>
              <w:top w:val="nil"/>
              <w:left w:val="nil"/>
              <w:bottom w:val="single" w:sz="8" w:space="0" w:color="auto"/>
              <w:right w:val="single" w:sz="8" w:space="0" w:color="auto"/>
            </w:tcBorders>
            <w:shd w:val="clear" w:color="000000" w:fill="FFFFFF"/>
            <w:vAlign w:val="center"/>
            <w:hideMark/>
          </w:tcPr>
          <w:p w14:paraId="4DE60AE5" w14:textId="77777777" w:rsidR="00E0039B" w:rsidRPr="00A52AEE" w:rsidRDefault="00E0039B" w:rsidP="00FE68E8">
            <w:pPr>
              <w:jc w:val="right"/>
              <w:rPr>
                <w:lang w:eastAsia="en-GB"/>
              </w:rPr>
            </w:pPr>
            <w:r w:rsidRPr="00A52AEE">
              <w:rPr>
                <w:lang w:eastAsia="en-GB"/>
              </w:rPr>
              <w:t>100%</w:t>
            </w:r>
          </w:p>
        </w:tc>
        <w:tc>
          <w:tcPr>
            <w:tcW w:w="419" w:type="pct"/>
            <w:tcBorders>
              <w:top w:val="nil"/>
              <w:left w:val="nil"/>
              <w:bottom w:val="single" w:sz="8" w:space="0" w:color="auto"/>
              <w:right w:val="single" w:sz="8" w:space="0" w:color="auto"/>
            </w:tcBorders>
            <w:shd w:val="clear" w:color="000000" w:fill="FFFFFF"/>
            <w:vAlign w:val="center"/>
            <w:hideMark/>
          </w:tcPr>
          <w:p w14:paraId="0D3CD773" w14:textId="47C5BBE8" w:rsidR="00E0039B" w:rsidRPr="00A52AEE" w:rsidRDefault="002E286F" w:rsidP="002E286F">
            <w:pPr>
              <w:jc w:val="right"/>
              <w:rPr>
                <w:lang w:eastAsia="en-GB"/>
              </w:rPr>
            </w:pPr>
            <w:r>
              <w:rPr>
                <w:lang w:eastAsia="en-GB"/>
              </w:rPr>
              <w:fldChar w:fldCharType="begin"/>
            </w:r>
            <w:r>
              <w:rPr>
                <w:lang w:eastAsia="en-GB"/>
              </w:rPr>
              <w:instrText xml:space="preserve"> =SUM(ABOVE) </w:instrText>
            </w:r>
            <w:r>
              <w:rPr>
                <w:lang w:eastAsia="en-GB"/>
              </w:rPr>
              <w:fldChar w:fldCharType="separate"/>
            </w:r>
            <w:r>
              <w:rPr>
                <w:noProof/>
                <w:lang w:eastAsia="en-GB"/>
              </w:rPr>
              <w:t>44145</w:t>
            </w:r>
            <w:r>
              <w:rPr>
                <w:lang w:eastAsia="en-GB"/>
              </w:rPr>
              <w:fldChar w:fldCharType="end"/>
            </w:r>
          </w:p>
        </w:tc>
        <w:tc>
          <w:tcPr>
            <w:tcW w:w="395" w:type="pct"/>
            <w:tcBorders>
              <w:top w:val="nil"/>
              <w:left w:val="nil"/>
              <w:bottom w:val="single" w:sz="8" w:space="0" w:color="auto"/>
              <w:right w:val="single" w:sz="8" w:space="0" w:color="auto"/>
            </w:tcBorders>
            <w:shd w:val="clear" w:color="000000" w:fill="FFFFFF"/>
            <w:vAlign w:val="center"/>
            <w:hideMark/>
          </w:tcPr>
          <w:p w14:paraId="72220B99" w14:textId="77777777" w:rsidR="00E0039B" w:rsidRPr="00A52AEE" w:rsidRDefault="00E0039B" w:rsidP="00FE68E8">
            <w:pPr>
              <w:jc w:val="right"/>
              <w:rPr>
                <w:lang w:eastAsia="en-GB"/>
              </w:rPr>
            </w:pPr>
            <w:r w:rsidRPr="00A52AEE">
              <w:rPr>
                <w:lang w:eastAsia="en-GB"/>
              </w:rPr>
              <w:t>100%</w:t>
            </w:r>
          </w:p>
        </w:tc>
        <w:tc>
          <w:tcPr>
            <w:tcW w:w="419" w:type="pct"/>
            <w:tcBorders>
              <w:top w:val="nil"/>
              <w:left w:val="nil"/>
              <w:bottom w:val="single" w:sz="8" w:space="0" w:color="auto"/>
              <w:right w:val="single" w:sz="8" w:space="0" w:color="auto"/>
            </w:tcBorders>
            <w:shd w:val="clear" w:color="000000" w:fill="FFFFFF"/>
            <w:vAlign w:val="center"/>
            <w:hideMark/>
          </w:tcPr>
          <w:p w14:paraId="1F23EEF6" w14:textId="77777777" w:rsidR="00E0039B" w:rsidRPr="00A52AEE" w:rsidRDefault="00E0039B" w:rsidP="00FE68E8">
            <w:pPr>
              <w:jc w:val="right"/>
              <w:rPr>
                <w:lang w:eastAsia="en-GB"/>
              </w:rPr>
            </w:pPr>
            <w:r w:rsidRPr="00A52AEE">
              <w:rPr>
                <w:lang w:eastAsia="en-GB"/>
              </w:rPr>
              <w:t>46085</w:t>
            </w:r>
          </w:p>
        </w:tc>
        <w:tc>
          <w:tcPr>
            <w:tcW w:w="395" w:type="pct"/>
            <w:tcBorders>
              <w:top w:val="nil"/>
              <w:left w:val="nil"/>
              <w:bottom w:val="single" w:sz="8" w:space="0" w:color="auto"/>
              <w:right w:val="single" w:sz="8" w:space="0" w:color="auto"/>
            </w:tcBorders>
            <w:shd w:val="clear" w:color="000000" w:fill="FFFFFF"/>
            <w:vAlign w:val="center"/>
            <w:hideMark/>
          </w:tcPr>
          <w:p w14:paraId="409308F1" w14:textId="77777777" w:rsidR="00E0039B" w:rsidRPr="00A52AEE" w:rsidRDefault="00E0039B" w:rsidP="00FE68E8">
            <w:pPr>
              <w:jc w:val="right"/>
              <w:rPr>
                <w:lang w:eastAsia="en-GB"/>
              </w:rPr>
            </w:pPr>
            <w:r w:rsidRPr="00A52AEE">
              <w:rPr>
                <w:lang w:eastAsia="en-GB"/>
              </w:rPr>
              <w:t>100%</w:t>
            </w:r>
          </w:p>
        </w:tc>
        <w:tc>
          <w:tcPr>
            <w:tcW w:w="419" w:type="pct"/>
            <w:tcBorders>
              <w:top w:val="nil"/>
              <w:left w:val="nil"/>
              <w:bottom w:val="single" w:sz="8" w:space="0" w:color="auto"/>
              <w:right w:val="single" w:sz="8" w:space="0" w:color="auto"/>
            </w:tcBorders>
            <w:shd w:val="clear" w:color="000000" w:fill="FFFFFF"/>
            <w:vAlign w:val="center"/>
            <w:hideMark/>
          </w:tcPr>
          <w:p w14:paraId="63CADA85" w14:textId="77777777" w:rsidR="00E0039B" w:rsidRPr="00A52AEE" w:rsidRDefault="00E0039B" w:rsidP="00FE68E8">
            <w:pPr>
              <w:jc w:val="right"/>
              <w:rPr>
                <w:lang w:eastAsia="en-GB"/>
              </w:rPr>
            </w:pPr>
            <w:r w:rsidRPr="00A52AEE">
              <w:rPr>
                <w:lang w:eastAsia="en-GB"/>
              </w:rPr>
              <w:t>42835</w:t>
            </w:r>
          </w:p>
        </w:tc>
        <w:tc>
          <w:tcPr>
            <w:tcW w:w="395" w:type="pct"/>
            <w:tcBorders>
              <w:top w:val="nil"/>
              <w:left w:val="nil"/>
              <w:bottom w:val="single" w:sz="8" w:space="0" w:color="auto"/>
              <w:right w:val="single" w:sz="8" w:space="0" w:color="auto"/>
            </w:tcBorders>
            <w:shd w:val="clear" w:color="000000" w:fill="FFFFFF"/>
            <w:vAlign w:val="center"/>
            <w:hideMark/>
          </w:tcPr>
          <w:p w14:paraId="782DF967" w14:textId="77777777" w:rsidR="00E0039B" w:rsidRPr="00A52AEE" w:rsidRDefault="00E0039B" w:rsidP="00FE68E8">
            <w:pPr>
              <w:jc w:val="right"/>
              <w:rPr>
                <w:lang w:eastAsia="en-GB"/>
              </w:rPr>
            </w:pPr>
            <w:r w:rsidRPr="00A52AEE">
              <w:rPr>
                <w:lang w:eastAsia="en-GB"/>
              </w:rPr>
              <w:t>100%</w:t>
            </w:r>
          </w:p>
        </w:tc>
        <w:tc>
          <w:tcPr>
            <w:tcW w:w="419" w:type="pct"/>
            <w:tcBorders>
              <w:top w:val="nil"/>
              <w:left w:val="nil"/>
              <w:bottom w:val="single" w:sz="8" w:space="0" w:color="auto"/>
              <w:right w:val="single" w:sz="8" w:space="0" w:color="auto"/>
            </w:tcBorders>
            <w:shd w:val="clear" w:color="000000" w:fill="FFFFFF"/>
            <w:vAlign w:val="center"/>
            <w:hideMark/>
          </w:tcPr>
          <w:p w14:paraId="16C5E380" w14:textId="77777777" w:rsidR="00E0039B" w:rsidRPr="00A52AEE" w:rsidRDefault="00E0039B" w:rsidP="00FE68E8">
            <w:pPr>
              <w:jc w:val="right"/>
              <w:rPr>
                <w:lang w:eastAsia="en-GB"/>
              </w:rPr>
            </w:pPr>
            <w:r w:rsidRPr="00A52AEE">
              <w:rPr>
                <w:lang w:eastAsia="en-GB"/>
              </w:rPr>
              <w:t>46380</w:t>
            </w:r>
          </w:p>
        </w:tc>
        <w:tc>
          <w:tcPr>
            <w:tcW w:w="510" w:type="pct"/>
            <w:tcBorders>
              <w:top w:val="nil"/>
              <w:left w:val="nil"/>
              <w:bottom w:val="single" w:sz="8" w:space="0" w:color="auto"/>
              <w:right w:val="single" w:sz="8" w:space="0" w:color="auto"/>
            </w:tcBorders>
            <w:shd w:val="clear" w:color="000000" w:fill="FFFFFF"/>
            <w:vAlign w:val="center"/>
            <w:hideMark/>
          </w:tcPr>
          <w:p w14:paraId="40B55B60" w14:textId="77777777" w:rsidR="00E0039B" w:rsidRPr="00A52AEE" w:rsidRDefault="00E0039B" w:rsidP="00FE68E8">
            <w:pPr>
              <w:jc w:val="right"/>
              <w:rPr>
                <w:lang w:eastAsia="en-GB"/>
              </w:rPr>
            </w:pPr>
            <w:r w:rsidRPr="00A52AEE">
              <w:rPr>
                <w:lang w:eastAsia="en-GB"/>
              </w:rPr>
              <w:t>100%</w:t>
            </w:r>
          </w:p>
        </w:tc>
      </w:tr>
    </w:tbl>
    <w:p w14:paraId="1591D425" w14:textId="77777777" w:rsidR="002E286F" w:rsidRDefault="002E286F" w:rsidP="002E286F">
      <w:r>
        <w:t xml:space="preserve">* Percentages have been rounded </w:t>
      </w:r>
    </w:p>
    <w:p w14:paraId="473DE24C" w14:textId="19CEDA71" w:rsidR="00E0039B" w:rsidRPr="00A52AEE" w:rsidRDefault="004D3FD1" w:rsidP="008D527A">
      <w:pPr>
        <w:pStyle w:val="Heading2"/>
      </w:pPr>
      <w:bookmarkStart w:id="87" w:name="_Toc405201388"/>
      <w:bookmarkStart w:id="88" w:name="_Toc411437019"/>
      <w:bookmarkStart w:id="89" w:name="_Toc429151316"/>
      <w:r>
        <w:t>4.12</w:t>
      </w:r>
      <w:r w:rsidR="003C0656">
        <w:tab/>
      </w:r>
      <w:r w:rsidR="003C0656">
        <w:tab/>
      </w:r>
      <w:r w:rsidR="00E0039B" w:rsidRPr="00A52AEE">
        <w:t>D</w:t>
      </w:r>
      <w:r w:rsidR="00BB3061" w:rsidRPr="00A52AEE">
        <w:t>isadvantage</w:t>
      </w:r>
      <w:r w:rsidR="00E0039B" w:rsidRPr="00A52AEE">
        <w:t xml:space="preserve"> and qualifications studied</w:t>
      </w:r>
      <w:bookmarkEnd w:id="87"/>
      <w:bookmarkEnd w:id="88"/>
      <w:bookmarkEnd w:id="89"/>
    </w:p>
    <w:p w14:paraId="2C1F6875" w14:textId="029D3E81" w:rsidR="00E0039B" w:rsidRPr="00A52AEE" w:rsidRDefault="00BB3061" w:rsidP="00A52AEE">
      <w:r w:rsidRPr="00A52AEE">
        <w:t xml:space="preserve">In </w:t>
      </w:r>
      <w:r w:rsidR="0076166E" w:rsidRPr="00A52AEE">
        <w:t>London</w:t>
      </w:r>
      <w:r w:rsidRPr="00A52AEE">
        <w:t xml:space="preserve"> colleges, over 80% of students who studied </w:t>
      </w:r>
      <w:r w:rsidRPr="003C0656">
        <w:rPr>
          <w:b/>
        </w:rPr>
        <w:t>Access to HE</w:t>
      </w:r>
      <w:r w:rsidRPr="00A52AEE">
        <w:t xml:space="preserve"> qualifications live in an area classified as disadvantaged using IDACI, </w:t>
      </w:r>
    </w:p>
    <w:p w14:paraId="4BF72B18" w14:textId="77777777" w:rsidR="00E0039B" w:rsidRPr="00A52AEE" w:rsidRDefault="00E0039B" w:rsidP="00A52AEE"/>
    <w:p w14:paraId="643D0258" w14:textId="4A6118EB" w:rsidR="00E0039B" w:rsidRPr="003C0656" w:rsidRDefault="004D2866" w:rsidP="00A52AEE">
      <w:pPr>
        <w:rPr>
          <w:b/>
        </w:rPr>
      </w:pPr>
      <w:r>
        <w:rPr>
          <w:b/>
        </w:rPr>
        <w:t>Table 13</w:t>
      </w:r>
      <w:r w:rsidR="00E0039B" w:rsidRPr="003C0656">
        <w:rPr>
          <w:b/>
        </w:rPr>
        <w:t xml:space="preserve">: </w:t>
      </w:r>
      <w:r w:rsidR="00BB3061" w:rsidRPr="003C0656">
        <w:rPr>
          <w:b/>
        </w:rPr>
        <w:t>Disadvantage</w:t>
      </w:r>
      <w:r w:rsidR="00E0039B" w:rsidRPr="003C0656">
        <w:rPr>
          <w:b/>
        </w:rPr>
        <w:t xml:space="preserve"> and qualification type</w:t>
      </w:r>
    </w:p>
    <w:p w14:paraId="10275110" w14:textId="77777777" w:rsidR="00E91ECF" w:rsidRPr="00A52AEE" w:rsidRDefault="00E91ECF" w:rsidP="00A52AEE"/>
    <w:tbl>
      <w:tblPr>
        <w:tblW w:w="5000" w:type="pct"/>
        <w:tblLook w:val="04A0" w:firstRow="1" w:lastRow="0" w:firstColumn="1" w:lastColumn="0" w:noHBand="0" w:noVBand="1"/>
      </w:tblPr>
      <w:tblGrid>
        <w:gridCol w:w="3087"/>
        <w:gridCol w:w="1298"/>
        <w:gridCol w:w="1298"/>
        <w:gridCol w:w="1298"/>
        <w:gridCol w:w="1298"/>
        <w:gridCol w:w="1292"/>
      </w:tblGrid>
      <w:tr w:rsidR="00752E93" w:rsidRPr="003C0656" w14:paraId="7EA63952" w14:textId="77777777" w:rsidTr="002E286F">
        <w:trPr>
          <w:trHeight w:val="556"/>
        </w:trPr>
        <w:tc>
          <w:tcPr>
            <w:tcW w:w="1613"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1E33F0B4" w14:textId="77777777" w:rsidR="00E91ECF" w:rsidRPr="003C0656" w:rsidRDefault="00E91ECF" w:rsidP="00A52AEE">
            <w:pPr>
              <w:rPr>
                <w:b/>
                <w:color w:val="FFFFFF" w:themeColor="background1"/>
                <w:lang w:eastAsia="en-GB"/>
              </w:rPr>
            </w:pPr>
            <w:r w:rsidRPr="003C0656">
              <w:rPr>
                <w:b/>
                <w:color w:val="FFFFFF" w:themeColor="background1"/>
                <w:lang w:eastAsia="en-GB"/>
              </w:rPr>
              <w:t>Level 3 Qualification Type</w:t>
            </w:r>
          </w:p>
        </w:tc>
        <w:tc>
          <w:tcPr>
            <w:tcW w:w="3387" w:type="pct"/>
            <w:gridSpan w:val="5"/>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49A5F49E" w14:textId="77777777" w:rsidR="00E91ECF" w:rsidRPr="003C0656" w:rsidRDefault="00E91ECF" w:rsidP="00A52AEE">
            <w:pPr>
              <w:rPr>
                <w:b/>
                <w:color w:val="FFFFFF" w:themeColor="background1"/>
                <w:lang w:eastAsia="en-GB"/>
              </w:rPr>
            </w:pPr>
            <w:r w:rsidRPr="003C0656">
              <w:rPr>
                <w:b/>
                <w:color w:val="FFFFFF" w:themeColor="background1"/>
                <w:lang w:eastAsia="en-GB"/>
              </w:rPr>
              <w:t>% classified as disadvantaged IDACI Q1 and Q2</w:t>
            </w:r>
          </w:p>
        </w:tc>
      </w:tr>
      <w:tr w:rsidR="00752E93" w:rsidRPr="00A52AEE" w14:paraId="18B90FC5" w14:textId="77777777" w:rsidTr="002E286F">
        <w:trPr>
          <w:trHeight w:val="692"/>
        </w:trPr>
        <w:tc>
          <w:tcPr>
            <w:tcW w:w="1613"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F1FC85" w14:textId="77777777" w:rsidR="00E91ECF" w:rsidRPr="003C0656" w:rsidRDefault="00E91ECF" w:rsidP="00A52AEE">
            <w:pPr>
              <w:rPr>
                <w:b/>
                <w:color w:val="FFFFFF" w:themeColor="background1"/>
                <w:lang w:eastAsia="en-GB"/>
              </w:rPr>
            </w:pPr>
          </w:p>
        </w:tc>
        <w:tc>
          <w:tcPr>
            <w:tcW w:w="678" w:type="pct"/>
            <w:tcBorders>
              <w:top w:val="nil"/>
              <w:left w:val="nil"/>
              <w:bottom w:val="single" w:sz="4" w:space="0" w:color="auto"/>
              <w:right w:val="single" w:sz="4" w:space="0" w:color="auto"/>
            </w:tcBorders>
            <w:shd w:val="clear" w:color="auto" w:fill="1F4E79" w:themeFill="accent1" w:themeFillShade="80"/>
            <w:noWrap/>
            <w:vAlign w:val="center"/>
            <w:hideMark/>
          </w:tcPr>
          <w:p w14:paraId="63714C5C" w14:textId="77777777" w:rsidR="00E91ECF" w:rsidRPr="003C0656" w:rsidRDefault="00E91ECF" w:rsidP="00A52AEE">
            <w:pPr>
              <w:rPr>
                <w:b/>
                <w:color w:val="FFFFFF" w:themeColor="background1"/>
                <w:lang w:eastAsia="en-GB"/>
              </w:rPr>
            </w:pPr>
            <w:r w:rsidRPr="003C0656">
              <w:rPr>
                <w:b/>
                <w:color w:val="FFFFFF" w:themeColor="background1"/>
                <w:lang w:eastAsia="en-GB"/>
              </w:rPr>
              <w:t>2007-08</w:t>
            </w:r>
          </w:p>
        </w:tc>
        <w:tc>
          <w:tcPr>
            <w:tcW w:w="678" w:type="pct"/>
            <w:tcBorders>
              <w:top w:val="nil"/>
              <w:left w:val="nil"/>
              <w:bottom w:val="single" w:sz="4" w:space="0" w:color="auto"/>
              <w:right w:val="single" w:sz="4" w:space="0" w:color="auto"/>
            </w:tcBorders>
            <w:shd w:val="clear" w:color="auto" w:fill="1F4E79" w:themeFill="accent1" w:themeFillShade="80"/>
            <w:noWrap/>
            <w:vAlign w:val="center"/>
            <w:hideMark/>
          </w:tcPr>
          <w:p w14:paraId="0C8B61A8" w14:textId="77777777" w:rsidR="00E91ECF" w:rsidRPr="003C0656" w:rsidRDefault="00E91ECF" w:rsidP="00A52AEE">
            <w:pPr>
              <w:rPr>
                <w:b/>
                <w:color w:val="FFFFFF" w:themeColor="background1"/>
                <w:lang w:eastAsia="en-GB"/>
              </w:rPr>
            </w:pPr>
            <w:r w:rsidRPr="003C0656">
              <w:rPr>
                <w:b/>
                <w:color w:val="FFFFFF" w:themeColor="background1"/>
                <w:lang w:eastAsia="en-GB"/>
              </w:rPr>
              <w:t>2008-09</w:t>
            </w:r>
          </w:p>
        </w:tc>
        <w:tc>
          <w:tcPr>
            <w:tcW w:w="678" w:type="pct"/>
            <w:tcBorders>
              <w:top w:val="nil"/>
              <w:left w:val="nil"/>
              <w:bottom w:val="single" w:sz="4" w:space="0" w:color="auto"/>
              <w:right w:val="single" w:sz="4" w:space="0" w:color="auto"/>
            </w:tcBorders>
            <w:shd w:val="clear" w:color="auto" w:fill="1F4E79" w:themeFill="accent1" w:themeFillShade="80"/>
            <w:noWrap/>
            <w:vAlign w:val="center"/>
            <w:hideMark/>
          </w:tcPr>
          <w:p w14:paraId="5A2E23A6" w14:textId="77777777" w:rsidR="00E91ECF" w:rsidRPr="003C0656" w:rsidRDefault="00E91ECF" w:rsidP="00A52AEE">
            <w:pPr>
              <w:rPr>
                <w:b/>
                <w:color w:val="FFFFFF" w:themeColor="background1"/>
                <w:lang w:eastAsia="en-GB"/>
              </w:rPr>
            </w:pPr>
            <w:r w:rsidRPr="003C0656">
              <w:rPr>
                <w:b/>
                <w:color w:val="FFFFFF" w:themeColor="background1"/>
                <w:lang w:eastAsia="en-GB"/>
              </w:rPr>
              <w:t>2009-10</w:t>
            </w:r>
          </w:p>
        </w:tc>
        <w:tc>
          <w:tcPr>
            <w:tcW w:w="678" w:type="pct"/>
            <w:tcBorders>
              <w:top w:val="nil"/>
              <w:left w:val="nil"/>
              <w:bottom w:val="single" w:sz="4" w:space="0" w:color="auto"/>
              <w:right w:val="single" w:sz="4" w:space="0" w:color="auto"/>
            </w:tcBorders>
            <w:shd w:val="clear" w:color="auto" w:fill="1F4E79" w:themeFill="accent1" w:themeFillShade="80"/>
            <w:noWrap/>
            <w:vAlign w:val="center"/>
            <w:hideMark/>
          </w:tcPr>
          <w:p w14:paraId="371A8B4B" w14:textId="77777777" w:rsidR="00E91ECF" w:rsidRPr="003C0656" w:rsidRDefault="00E91ECF" w:rsidP="00A52AEE">
            <w:pPr>
              <w:rPr>
                <w:b/>
                <w:color w:val="FFFFFF" w:themeColor="background1"/>
                <w:lang w:eastAsia="en-GB"/>
              </w:rPr>
            </w:pPr>
            <w:r w:rsidRPr="003C0656">
              <w:rPr>
                <w:b/>
                <w:color w:val="FFFFFF" w:themeColor="background1"/>
                <w:lang w:eastAsia="en-GB"/>
              </w:rPr>
              <w:t>2010-11</w:t>
            </w:r>
          </w:p>
        </w:tc>
        <w:tc>
          <w:tcPr>
            <w:tcW w:w="676" w:type="pct"/>
            <w:tcBorders>
              <w:top w:val="nil"/>
              <w:left w:val="nil"/>
              <w:bottom w:val="single" w:sz="4" w:space="0" w:color="auto"/>
              <w:right w:val="single" w:sz="4" w:space="0" w:color="auto"/>
            </w:tcBorders>
            <w:shd w:val="clear" w:color="auto" w:fill="1F4E79" w:themeFill="accent1" w:themeFillShade="80"/>
            <w:noWrap/>
            <w:vAlign w:val="center"/>
            <w:hideMark/>
          </w:tcPr>
          <w:p w14:paraId="105E9CFB" w14:textId="77777777" w:rsidR="00E91ECF" w:rsidRPr="003C0656" w:rsidRDefault="00E91ECF" w:rsidP="00A52AEE">
            <w:pPr>
              <w:rPr>
                <w:b/>
                <w:color w:val="FFFFFF" w:themeColor="background1"/>
                <w:lang w:eastAsia="en-GB"/>
              </w:rPr>
            </w:pPr>
            <w:r w:rsidRPr="003C0656">
              <w:rPr>
                <w:b/>
                <w:color w:val="FFFFFF" w:themeColor="background1"/>
                <w:lang w:eastAsia="en-GB"/>
              </w:rPr>
              <w:t>2011-12</w:t>
            </w:r>
          </w:p>
        </w:tc>
      </w:tr>
      <w:tr w:rsidR="00E91ECF" w:rsidRPr="00A52AEE" w14:paraId="247E9DDE" w14:textId="77777777" w:rsidTr="002E286F">
        <w:trPr>
          <w:trHeight w:val="330"/>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14:paraId="0E9EB017" w14:textId="77777777" w:rsidR="00E91ECF" w:rsidRPr="00A52AEE" w:rsidRDefault="00E91ECF" w:rsidP="00A52AEE">
            <w:pPr>
              <w:rPr>
                <w:lang w:eastAsia="en-GB"/>
              </w:rPr>
            </w:pPr>
            <w:r w:rsidRPr="00A52AEE">
              <w:rPr>
                <w:lang w:eastAsia="en-GB"/>
              </w:rPr>
              <w:t>Access</w:t>
            </w:r>
          </w:p>
        </w:tc>
        <w:tc>
          <w:tcPr>
            <w:tcW w:w="678" w:type="pct"/>
            <w:tcBorders>
              <w:top w:val="nil"/>
              <w:left w:val="nil"/>
              <w:bottom w:val="single" w:sz="4" w:space="0" w:color="auto"/>
              <w:right w:val="single" w:sz="4" w:space="0" w:color="auto"/>
            </w:tcBorders>
            <w:shd w:val="clear" w:color="D9D9D9" w:fill="FFFFFF"/>
            <w:noWrap/>
            <w:vAlign w:val="bottom"/>
            <w:hideMark/>
          </w:tcPr>
          <w:p w14:paraId="78D62CAE" w14:textId="77777777" w:rsidR="00E91ECF" w:rsidRPr="00A52AEE" w:rsidRDefault="00E91ECF" w:rsidP="00FE68E8">
            <w:pPr>
              <w:jc w:val="right"/>
              <w:rPr>
                <w:lang w:eastAsia="en-GB"/>
              </w:rPr>
            </w:pPr>
            <w:r w:rsidRPr="00A52AEE">
              <w:rPr>
                <w:lang w:eastAsia="en-GB"/>
              </w:rPr>
              <w:t>82%</w:t>
            </w:r>
          </w:p>
        </w:tc>
        <w:tc>
          <w:tcPr>
            <w:tcW w:w="678" w:type="pct"/>
            <w:tcBorders>
              <w:top w:val="nil"/>
              <w:left w:val="nil"/>
              <w:bottom w:val="single" w:sz="4" w:space="0" w:color="auto"/>
              <w:right w:val="single" w:sz="4" w:space="0" w:color="auto"/>
            </w:tcBorders>
            <w:shd w:val="clear" w:color="D9D9D9" w:fill="FFFFFF"/>
            <w:noWrap/>
            <w:vAlign w:val="bottom"/>
            <w:hideMark/>
          </w:tcPr>
          <w:p w14:paraId="4B7D169B" w14:textId="77777777" w:rsidR="00E91ECF" w:rsidRPr="00A52AEE" w:rsidRDefault="00E91ECF" w:rsidP="00FE68E8">
            <w:pPr>
              <w:jc w:val="right"/>
              <w:rPr>
                <w:lang w:eastAsia="en-GB"/>
              </w:rPr>
            </w:pPr>
            <w:r w:rsidRPr="00A52AEE">
              <w:rPr>
                <w:lang w:eastAsia="en-GB"/>
              </w:rPr>
              <w:t>82%</w:t>
            </w:r>
          </w:p>
        </w:tc>
        <w:tc>
          <w:tcPr>
            <w:tcW w:w="678" w:type="pct"/>
            <w:tcBorders>
              <w:top w:val="nil"/>
              <w:left w:val="nil"/>
              <w:bottom w:val="single" w:sz="4" w:space="0" w:color="auto"/>
              <w:right w:val="single" w:sz="4" w:space="0" w:color="auto"/>
            </w:tcBorders>
            <w:shd w:val="clear" w:color="D9D9D9" w:fill="FFFFFF"/>
            <w:noWrap/>
            <w:vAlign w:val="bottom"/>
            <w:hideMark/>
          </w:tcPr>
          <w:p w14:paraId="18D91AD8" w14:textId="77777777" w:rsidR="00E91ECF" w:rsidRPr="00A52AEE" w:rsidRDefault="00E91ECF" w:rsidP="00FE68E8">
            <w:pPr>
              <w:jc w:val="right"/>
              <w:rPr>
                <w:lang w:eastAsia="en-GB"/>
              </w:rPr>
            </w:pPr>
            <w:r w:rsidRPr="00A52AEE">
              <w:rPr>
                <w:lang w:eastAsia="en-GB"/>
              </w:rPr>
              <w:t>81%</w:t>
            </w:r>
          </w:p>
        </w:tc>
        <w:tc>
          <w:tcPr>
            <w:tcW w:w="678" w:type="pct"/>
            <w:tcBorders>
              <w:top w:val="nil"/>
              <w:left w:val="nil"/>
              <w:bottom w:val="single" w:sz="4" w:space="0" w:color="auto"/>
              <w:right w:val="single" w:sz="4" w:space="0" w:color="auto"/>
            </w:tcBorders>
            <w:shd w:val="clear" w:color="D9D9D9" w:fill="FFFFFF"/>
            <w:noWrap/>
            <w:vAlign w:val="bottom"/>
            <w:hideMark/>
          </w:tcPr>
          <w:p w14:paraId="5BE77E79" w14:textId="77777777" w:rsidR="00E91ECF" w:rsidRPr="00A52AEE" w:rsidRDefault="00E91ECF" w:rsidP="00FE68E8">
            <w:pPr>
              <w:jc w:val="right"/>
              <w:rPr>
                <w:lang w:eastAsia="en-GB"/>
              </w:rPr>
            </w:pPr>
            <w:r w:rsidRPr="00A52AEE">
              <w:rPr>
                <w:lang w:eastAsia="en-GB"/>
              </w:rPr>
              <w:t>82%</w:t>
            </w:r>
          </w:p>
        </w:tc>
        <w:tc>
          <w:tcPr>
            <w:tcW w:w="676" w:type="pct"/>
            <w:tcBorders>
              <w:top w:val="nil"/>
              <w:left w:val="nil"/>
              <w:bottom w:val="single" w:sz="4" w:space="0" w:color="auto"/>
              <w:right w:val="single" w:sz="4" w:space="0" w:color="auto"/>
            </w:tcBorders>
            <w:shd w:val="clear" w:color="D9D9D9" w:fill="FFFFFF"/>
            <w:noWrap/>
            <w:vAlign w:val="bottom"/>
            <w:hideMark/>
          </w:tcPr>
          <w:p w14:paraId="5AEBD606" w14:textId="77777777" w:rsidR="00E91ECF" w:rsidRPr="00A52AEE" w:rsidRDefault="00E91ECF" w:rsidP="00FE68E8">
            <w:pPr>
              <w:jc w:val="right"/>
              <w:rPr>
                <w:lang w:eastAsia="en-GB"/>
              </w:rPr>
            </w:pPr>
            <w:r w:rsidRPr="00A52AEE">
              <w:rPr>
                <w:lang w:eastAsia="en-GB"/>
              </w:rPr>
              <w:t>83%</w:t>
            </w:r>
          </w:p>
        </w:tc>
      </w:tr>
      <w:tr w:rsidR="00E91ECF" w:rsidRPr="00A52AEE" w14:paraId="4DBA2322" w14:textId="77777777" w:rsidTr="002E286F">
        <w:trPr>
          <w:trHeight w:val="330"/>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14:paraId="287B0087" w14:textId="77777777" w:rsidR="00E91ECF" w:rsidRPr="00A52AEE" w:rsidRDefault="00E91ECF" w:rsidP="00A52AEE">
            <w:pPr>
              <w:rPr>
                <w:lang w:eastAsia="en-GB"/>
              </w:rPr>
            </w:pPr>
            <w:r w:rsidRPr="00A52AEE">
              <w:rPr>
                <w:lang w:eastAsia="en-GB"/>
              </w:rPr>
              <w:t>BTEC</w:t>
            </w:r>
          </w:p>
        </w:tc>
        <w:tc>
          <w:tcPr>
            <w:tcW w:w="678" w:type="pct"/>
            <w:tcBorders>
              <w:top w:val="nil"/>
              <w:left w:val="nil"/>
              <w:bottom w:val="single" w:sz="4" w:space="0" w:color="auto"/>
              <w:right w:val="single" w:sz="4" w:space="0" w:color="auto"/>
            </w:tcBorders>
            <w:shd w:val="clear" w:color="D9D9D9" w:fill="FFFFFF"/>
            <w:noWrap/>
            <w:vAlign w:val="bottom"/>
            <w:hideMark/>
          </w:tcPr>
          <w:p w14:paraId="11CFFB56" w14:textId="77777777" w:rsidR="00E91ECF" w:rsidRPr="00A52AEE" w:rsidRDefault="00E91ECF" w:rsidP="00FE68E8">
            <w:pPr>
              <w:jc w:val="right"/>
              <w:rPr>
                <w:lang w:eastAsia="en-GB"/>
              </w:rPr>
            </w:pPr>
            <w:r w:rsidRPr="00A52AEE">
              <w:rPr>
                <w:lang w:eastAsia="en-GB"/>
              </w:rPr>
              <w:t>80%</w:t>
            </w:r>
          </w:p>
        </w:tc>
        <w:tc>
          <w:tcPr>
            <w:tcW w:w="678" w:type="pct"/>
            <w:tcBorders>
              <w:top w:val="nil"/>
              <w:left w:val="nil"/>
              <w:bottom w:val="single" w:sz="4" w:space="0" w:color="auto"/>
              <w:right w:val="single" w:sz="4" w:space="0" w:color="auto"/>
            </w:tcBorders>
            <w:shd w:val="clear" w:color="D9D9D9" w:fill="FFFFFF"/>
            <w:noWrap/>
            <w:vAlign w:val="bottom"/>
            <w:hideMark/>
          </w:tcPr>
          <w:p w14:paraId="72E9BFDF" w14:textId="77777777" w:rsidR="00E91ECF" w:rsidRPr="00A52AEE" w:rsidRDefault="00E91ECF" w:rsidP="00FE68E8">
            <w:pPr>
              <w:jc w:val="right"/>
              <w:rPr>
                <w:lang w:eastAsia="en-GB"/>
              </w:rPr>
            </w:pPr>
            <w:r w:rsidRPr="00A52AEE">
              <w:rPr>
                <w:lang w:eastAsia="en-GB"/>
              </w:rPr>
              <w:t>79%</w:t>
            </w:r>
          </w:p>
        </w:tc>
        <w:tc>
          <w:tcPr>
            <w:tcW w:w="678" w:type="pct"/>
            <w:tcBorders>
              <w:top w:val="nil"/>
              <w:left w:val="nil"/>
              <w:bottom w:val="single" w:sz="4" w:space="0" w:color="auto"/>
              <w:right w:val="single" w:sz="4" w:space="0" w:color="auto"/>
            </w:tcBorders>
            <w:shd w:val="clear" w:color="D9D9D9" w:fill="FFFFFF"/>
            <w:noWrap/>
            <w:vAlign w:val="bottom"/>
            <w:hideMark/>
          </w:tcPr>
          <w:p w14:paraId="0C72BF9B" w14:textId="77777777" w:rsidR="00E91ECF" w:rsidRPr="00A52AEE" w:rsidRDefault="00E91ECF" w:rsidP="00FE68E8">
            <w:pPr>
              <w:jc w:val="right"/>
              <w:rPr>
                <w:lang w:eastAsia="en-GB"/>
              </w:rPr>
            </w:pPr>
            <w:r w:rsidRPr="00A52AEE">
              <w:rPr>
                <w:lang w:eastAsia="en-GB"/>
              </w:rPr>
              <w:t>79%</w:t>
            </w:r>
          </w:p>
        </w:tc>
        <w:tc>
          <w:tcPr>
            <w:tcW w:w="678" w:type="pct"/>
            <w:tcBorders>
              <w:top w:val="nil"/>
              <w:left w:val="nil"/>
              <w:bottom w:val="single" w:sz="4" w:space="0" w:color="auto"/>
              <w:right w:val="single" w:sz="4" w:space="0" w:color="auto"/>
            </w:tcBorders>
            <w:shd w:val="clear" w:color="D9D9D9" w:fill="FFFFFF"/>
            <w:noWrap/>
            <w:vAlign w:val="bottom"/>
            <w:hideMark/>
          </w:tcPr>
          <w:p w14:paraId="292D5EDF" w14:textId="77777777" w:rsidR="00E91ECF" w:rsidRPr="00A52AEE" w:rsidRDefault="00E91ECF" w:rsidP="00FE68E8">
            <w:pPr>
              <w:jc w:val="right"/>
              <w:rPr>
                <w:lang w:eastAsia="en-GB"/>
              </w:rPr>
            </w:pPr>
            <w:r w:rsidRPr="00A52AEE">
              <w:rPr>
                <w:lang w:eastAsia="en-GB"/>
              </w:rPr>
              <w:t>79%</w:t>
            </w:r>
          </w:p>
        </w:tc>
        <w:tc>
          <w:tcPr>
            <w:tcW w:w="676" w:type="pct"/>
            <w:tcBorders>
              <w:top w:val="nil"/>
              <w:left w:val="nil"/>
              <w:bottom w:val="single" w:sz="4" w:space="0" w:color="auto"/>
              <w:right w:val="single" w:sz="4" w:space="0" w:color="auto"/>
            </w:tcBorders>
            <w:shd w:val="clear" w:color="D9D9D9" w:fill="FFFFFF"/>
            <w:noWrap/>
            <w:vAlign w:val="bottom"/>
            <w:hideMark/>
          </w:tcPr>
          <w:p w14:paraId="4C9D6861" w14:textId="77777777" w:rsidR="00E91ECF" w:rsidRPr="00A52AEE" w:rsidRDefault="00E91ECF" w:rsidP="00FE68E8">
            <w:pPr>
              <w:jc w:val="right"/>
              <w:rPr>
                <w:lang w:eastAsia="en-GB"/>
              </w:rPr>
            </w:pPr>
            <w:r w:rsidRPr="00A52AEE">
              <w:rPr>
                <w:lang w:eastAsia="en-GB"/>
              </w:rPr>
              <w:t>79%</w:t>
            </w:r>
          </w:p>
        </w:tc>
      </w:tr>
      <w:tr w:rsidR="00E91ECF" w:rsidRPr="00A52AEE" w14:paraId="5DA41F91" w14:textId="77777777" w:rsidTr="002E286F">
        <w:trPr>
          <w:trHeight w:val="330"/>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14:paraId="78E2BDA5" w14:textId="5683CD4A" w:rsidR="00E91ECF" w:rsidRPr="00A52AEE" w:rsidRDefault="00E91ECF" w:rsidP="00A52AEE">
            <w:pPr>
              <w:rPr>
                <w:lang w:eastAsia="en-GB"/>
              </w:rPr>
            </w:pPr>
            <w:r w:rsidRPr="00A52AEE">
              <w:rPr>
                <w:lang w:eastAsia="en-GB"/>
              </w:rPr>
              <w:t xml:space="preserve">GCE A </w:t>
            </w:r>
            <w:r w:rsidR="0021637B" w:rsidRPr="00A52AEE">
              <w:rPr>
                <w:lang w:eastAsia="en-GB"/>
              </w:rPr>
              <w:t>Level</w:t>
            </w:r>
          </w:p>
        </w:tc>
        <w:tc>
          <w:tcPr>
            <w:tcW w:w="678" w:type="pct"/>
            <w:tcBorders>
              <w:top w:val="nil"/>
              <w:left w:val="nil"/>
              <w:bottom w:val="single" w:sz="4" w:space="0" w:color="auto"/>
              <w:right w:val="single" w:sz="4" w:space="0" w:color="auto"/>
            </w:tcBorders>
            <w:shd w:val="clear" w:color="D9D9D9" w:fill="FFFFFF"/>
            <w:noWrap/>
            <w:vAlign w:val="bottom"/>
            <w:hideMark/>
          </w:tcPr>
          <w:p w14:paraId="2D924B2B" w14:textId="77777777" w:rsidR="00E91ECF" w:rsidRPr="00A52AEE" w:rsidRDefault="00E91ECF" w:rsidP="00FE68E8">
            <w:pPr>
              <w:jc w:val="right"/>
              <w:rPr>
                <w:lang w:eastAsia="en-GB"/>
              </w:rPr>
            </w:pPr>
            <w:r w:rsidRPr="00A52AEE">
              <w:rPr>
                <w:lang w:eastAsia="en-GB"/>
              </w:rPr>
              <w:t>77%</w:t>
            </w:r>
          </w:p>
        </w:tc>
        <w:tc>
          <w:tcPr>
            <w:tcW w:w="678" w:type="pct"/>
            <w:tcBorders>
              <w:top w:val="nil"/>
              <w:left w:val="nil"/>
              <w:bottom w:val="single" w:sz="4" w:space="0" w:color="auto"/>
              <w:right w:val="single" w:sz="4" w:space="0" w:color="auto"/>
            </w:tcBorders>
            <w:shd w:val="clear" w:color="D9D9D9" w:fill="FFFFFF"/>
            <w:noWrap/>
            <w:vAlign w:val="bottom"/>
            <w:hideMark/>
          </w:tcPr>
          <w:p w14:paraId="605A7D92" w14:textId="77777777" w:rsidR="00E91ECF" w:rsidRPr="00A52AEE" w:rsidRDefault="00E91ECF" w:rsidP="00FE68E8">
            <w:pPr>
              <w:jc w:val="right"/>
              <w:rPr>
                <w:lang w:eastAsia="en-GB"/>
              </w:rPr>
            </w:pPr>
            <w:r w:rsidRPr="00A52AEE">
              <w:rPr>
                <w:lang w:eastAsia="en-GB"/>
              </w:rPr>
              <w:t>77%</w:t>
            </w:r>
          </w:p>
        </w:tc>
        <w:tc>
          <w:tcPr>
            <w:tcW w:w="678" w:type="pct"/>
            <w:tcBorders>
              <w:top w:val="nil"/>
              <w:left w:val="nil"/>
              <w:bottom w:val="single" w:sz="4" w:space="0" w:color="auto"/>
              <w:right w:val="single" w:sz="4" w:space="0" w:color="auto"/>
            </w:tcBorders>
            <w:shd w:val="clear" w:color="D9D9D9" w:fill="FFFFFF"/>
            <w:noWrap/>
            <w:vAlign w:val="bottom"/>
            <w:hideMark/>
          </w:tcPr>
          <w:p w14:paraId="0A9038C9" w14:textId="77777777" w:rsidR="00E91ECF" w:rsidRPr="00A52AEE" w:rsidRDefault="00E91ECF" w:rsidP="00FE68E8">
            <w:pPr>
              <w:jc w:val="right"/>
              <w:rPr>
                <w:lang w:eastAsia="en-GB"/>
              </w:rPr>
            </w:pPr>
            <w:r w:rsidRPr="00A52AEE">
              <w:rPr>
                <w:lang w:eastAsia="en-GB"/>
              </w:rPr>
              <w:t>76%</w:t>
            </w:r>
          </w:p>
        </w:tc>
        <w:tc>
          <w:tcPr>
            <w:tcW w:w="678" w:type="pct"/>
            <w:tcBorders>
              <w:top w:val="nil"/>
              <w:left w:val="nil"/>
              <w:bottom w:val="single" w:sz="4" w:space="0" w:color="auto"/>
              <w:right w:val="single" w:sz="4" w:space="0" w:color="auto"/>
            </w:tcBorders>
            <w:shd w:val="clear" w:color="D9D9D9" w:fill="FFFFFF"/>
            <w:noWrap/>
            <w:vAlign w:val="bottom"/>
            <w:hideMark/>
          </w:tcPr>
          <w:p w14:paraId="59DF3C54" w14:textId="77777777" w:rsidR="00E91ECF" w:rsidRPr="00A52AEE" w:rsidRDefault="00E91ECF" w:rsidP="00FE68E8">
            <w:pPr>
              <w:jc w:val="right"/>
              <w:rPr>
                <w:lang w:eastAsia="en-GB"/>
              </w:rPr>
            </w:pPr>
            <w:r w:rsidRPr="00A52AEE">
              <w:rPr>
                <w:lang w:eastAsia="en-GB"/>
              </w:rPr>
              <w:t>78%</w:t>
            </w:r>
          </w:p>
        </w:tc>
        <w:tc>
          <w:tcPr>
            <w:tcW w:w="676" w:type="pct"/>
            <w:tcBorders>
              <w:top w:val="nil"/>
              <w:left w:val="nil"/>
              <w:bottom w:val="single" w:sz="4" w:space="0" w:color="auto"/>
              <w:right w:val="single" w:sz="4" w:space="0" w:color="auto"/>
            </w:tcBorders>
            <w:shd w:val="clear" w:color="D9D9D9" w:fill="FFFFFF"/>
            <w:noWrap/>
            <w:vAlign w:val="bottom"/>
            <w:hideMark/>
          </w:tcPr>
          <w:p w14:paraId="641A3D07" w14:textId="77777777" w:rsidR="00E91ECF" w:rsidRPr="00A52AEE" w:rsidRDefault="00E91ECF" w:rsidP="00FE68E8">
            <w:pPr>
              <w:jc w:val="right"/>
              <w:rPr>
                <w:lang w:eastAsia="en-GB"/>
              </w:rPr>
            </w:pPr>
            <w:r w:rsidRPr="00A52AEE">
              <w:rPr>
                <w:lang w:eastAsia="en-GB"/>
              </w:rPr>
              <w:t>79%</w:t>
            </w:r>
          </w:p>
        </w:tc>
      </w:tr>
      <w:tr w:rsidR="00E91ECF" w:rsidRPr="00A52AEE" w14:paraId="68024D13" w14:textId="77777777" w:rsidTr="002E286F">
        <w:trPr>
          <w:trHeight w:val="315"/>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14:paraId="7C5BD856" w14:textId="77777777" w:rsidR="00E91ECF" w:rsidRPr="00A52AEE" w:rsidRDefault="00E91ECF" w:rsidP="00A52AEE">
            <w:pPr>
              <w:rPr>
                <w:lang w:eastAsia="en-GB"/>
              </w:rPr>
            </w:pPr>
            <w:r w:rsidRPr="00A52AEE">
              <w:rPr>
                <w:lang w:eastAsia="en-GB"/>
              </w:rPr>
              <w:t>NVQ</w:t>
            </w:r>
          </w:p>
        </w:tc>
        <w:tc>
          <w:tcPr>
            <w:tcW w:w="678" w:type="pct"/>
            <w:tcBorders>
              <w:top w:val="nil"/>
              <w:left w:val="nil"/>
              <w:bottom w:val="single" w:sz="4" w:space="0" w:color="auto"/>
              <w:right w:val="single" w:sz="4" w:space="0" w:color="auto"/>
            </w:tcBorders>
            <w:shd w:val="clear" w:color="D9D9D9" w:fill="FFFFFF"/>
            <w:noWrap/>
            <w:vAlign w:val="bottom"/>
            <w:hideMark/>
          </w:tcPr>
          <w:p w14:paraId="6A875333" w14:textId="77777777" w:rsidR="00E91ECF" w:rsidRPr="00A52AEE" w:rsidRDefault="00E91ECF" w:rsidP="00FE68E8">
            <w:pPr>
              <w:jc w:val="right"/>
              <w:rPr>
                <w:lang w:eastAsia="en-GB"/>
              </w:rPr>
            </w:pPr>
            <w:r w:rsidRPr="00A52AEE">
              <w:rPr>
                <w:lang w:eastAsia="en-GB"/>
              </w:rPr>
              <w:t>70%</w:t>
            </w:r>
          </w:p>
        </w:tc>
        <w:tc>
          <w:tcPr>
            <w:tcW w:w="678" w:type="pct"/>
            <w:tcBorders>
              <w:top w:val="nil"/>
              <w:left w:val="nil"/>
              <w:bottom w:val="single" w:sz="4" w:space="0" w:color="auto"/>
              <w:right w:val="single" w:sz="4" w:space="0" w:color="auto"/>
            </w:tcBorders>
            <w:shd w:val="clear" w:color="D9D9D9" w:fill="FFFFFF"/>
            <w:noWrap/>
            <w:vAlign w:val="bottom"/>
            <w:hideMark/>
          </w:tcPr>
          <w:p w14:paraId="648FC463" w14:textId="77777777" w:rsidR="00E91ECF" w:rsidRPr="00A52AEE" w:rsidRDefault="00E91ECF" w:rsidP="00FE68E8">
            <w:pPr>
              <w:jc w:val="right"/>
              <w:rPr>
                <w:lang w:eastAsia="en-GB"/>
              </w:rPr>
            </w:pPr>
            <w:r w:rsidRPr="00A52AEE">
              <w:rPr>
                <w:lang w:eastAsia="en-GB"/>
              </w:rPr>
              <w:t>70%</w:t>
            </w:r>
          </w:p>
        </w:tc>
        <w:tc>
          <w:tcPr>
            <w:tcW w:w="678" w:type="pct"/>
            <w:tcBorders>
              <w:top w:val="nil"/>
              <w:left w:val="nil"/>
              <w:bottom w:val="single" w:sz="4" w:space="0" w:color="auto"/>
              <w:right w:val="single" w:sz="4" w:space="0" w:color="auto"/>
            </w:tcBorders>
            <w:shd w:val="clear" w:color="D9D9D9" w:fill="FFFFFF"/>
            <w:noWrap/>
            <w:vAlign w:val="bottom"/>
            <w:hideMark/>
          </w:tcPr>
          <w:p w14:paraId="7A6DE347" w14:textId="77777777" w:rsidR="00E91ECF" w:rsidRPr="00A52AEE" w:rsidRDefault="00E91ECF" w:rsidP="00FE68E8">
            <w:pPr>
              <w:jc w:val="right"/>
              <w:rPr>
                <w:lang w:eastAsia="en-GB"/>
              </w:rPr>
            </w:pPr>
            <w:r w:rsidRPr="00A52AEE">
              <w:rPr>
                <w:lang w:eastAsia="en-GB"/>
              </w:rPr>
              <w:t>67%</w:t>
            </w:r>
          </w:p>
        </w:tc>
        <w:tc>
          <w:tcPr>
            <w:tcW w:w="678" w:type="pct"/>
            <w:tcBorders>
              <w:top w:val="nil"/>
              <w:left w:val="nil"/>
              <w:bottom w:val="single" w:sz="4" w:space="0" w:color="auto"/>
              <w:right w:val="single" w:sz="4" w:space="0" w:color="auto"/>
            </w:tcBorders>
            <w:shd w:val="clear" w:color="D9D9D9" w:fill="FFFFFF"/>
            <w:noWrap/>
            <w:vAlign w:val="bottom"/>
            <w:hideMark/>
          </w:tcPr>
          <w:p w14:paraId="64B50869" w14:textId="77777777" w:rsidR="00E91ECF" w:rsidRPr="00A52AEE" w:rsidRDefault="00E91ECF" w:rsidP="00FE68E8">
            <w:pPr>
              <w:jc w:val="right"/>
              <w:rPr>
                <w:lang w:eastAsia="en-GB"/>
              </w:rPr>
            </w:pPr>
            <w:r w:rsidRPr="00A52AEE">
              <w:rPr>
                <w:lang w:eastAsia="en-GB"/>
              </w:rPr>
              <w:t>66%</w:t>
            </w:r>
          </w:p>
        </w:tc>
        <w:tc>
          <w:tcPr>
            <w:tcW w:w="676" w:type="pct"/>
            <w:tcBorders>
              <w:top w:val="nil"/>
              <w:left w:val="nil"/>
              <w:bottom w:val="single" w:sz="4" w:space="0" w:color="auto"/>
              <w:right w:val="single" w:sz="4" w:space="0" w:color="auto"/>
            </w:tcBorders>
            <w:shd w:val="clear" w:color="D9D9D9" w:fill="FFFFFF"/>
            <w:noWrap/>
            <w:vAlign w:val="bottom"/>
            <w:hideMark/>
          </w:tcPr>
          <w:p w14:paraId="10109A76" w14:textId="77777777" w:rsidR="00E91ECF" w:rsidRPr="00A52AEE" w:rsidRDefault="00E91ECF" w:rsidP="00FE68E8">
            <w:pPr>
              <w:jc w:val="right"/>
              <w:rPr>
                <w:lang w:eastAsia="en-GB"/>
              </w:rPr>
            </w:pPr>
            <w:r w:rsidRPr="00A52AEE">
              <w:rPr>
                <w:lang w:eastAsia="en-GB"/>
              </w:rPr>
              <w:t>67%</w:t>
            </w:r>
          </w:p>
        </w:tc>
      </w:tr>
      <w:tr w:rsidR="00E91ECF" w:rsidRPr="00A52AEE" w14:paraId="6D3A9AF4" w14:textId="77777777" w:rsidTr="002E286F">
        <w:trPr>
          <w:trHeight w:val="315"/>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14:paraId="3B53B230" w14:textId="5F0FB6A9" w:rsidR="00E91ECF" w:rsidRPr="00A52AEE" w:rsidRDefault="0074728E" w:rsidP="00A52AEE">
            <w:pPr>
              <w:rPr>
                <w:lang w:eastAsia="en-GB"/>
              </w:rPr>
            </w:pPr>
            <w:r w:rsidRPr="00A52AEE">
              <w:rPr>
                <w:lang w:eastAsia="en-GB"/>
              </w:rPr>
              <w:t xml:space="preserve">Other </w:t>
            </w:r>
            <w:r w:rsidR="00E91ECF" w:rsidRPr="00A52AEE">
              <w:rPr>
                <w:lang w:eastAsia="en-GB"/>
              </w:rPr>
              <w:t>Vocational</w:t>
            </w:r>
          </w:p>
        </w:tc>
        <w:tc>
          <w:tcPr>
            <w:tcW w:w="678" w:type="pct"/>
            <w:tcBorders>
              <w:top w:val="nil"/>
              <w:left w:val="nil"/>
              <w:bottom w:val="single" w:sz="4" w:space="0" w:color="auto"/>
              <w:right w:val="single" w:sz="4" w:space="0" w:color="auto"/>
            </w:tcBorders>
            <w:shd w:val="clear" w:color="D9D9D9" w:fill="FFFFFF"/>
            <w:noWrap/>
            <w:vAlign w:val="bottom"/>
            <w:hideMark/>
          </w:tcPr>
          <w:p w14:paraId="14E79E94" w14:textId="77777777" w:rsidR="00E91ECF" w:rsidRPr="00A52AEE" w:rsidRDefault="00E91ECF" w:rsidP="00FE68E8">
            <w:pPr>
              <w:jc w:val="right"/>
              <w:rPr>
                <w:lang w:eastAsia="en-GB"/>
              </w:rPr>
            </w:pPr>
            <w:r w:rsidRPr="00A52AEE">
              <w:rPr>
                <w:lang w:eastAsia="en-GB"/>
              </w:rPr>
              <w:t>64%</w:t>
            </w:r>
          </w:p>
        </w:tc>
        <w:tc>
          <w:tcPr>
            <w:tcW w:w="678" w:type="pct"/>
            <w:tcBorders>
              <w:top w:val="nil"/>
              <w:left w:val="nil"/>
              <w:bottom w:val="single" w:sz="4" w:space="0" w:color="auto"/>
              <w:right w:val="single" w:sz="4" w:space="0" w:color="auto"/>
            </w:tcBorders>
            <w:shd w:val="clear" w:color="D9D9D9" w:fill="FFFFFF"/>
            <w:noWrap/>
            <w:vAlign w:val="bottom"/>
            <w:hideMark/>
          </w:tcPr>
          <w:p w14:paraId="14BB3DA7" w14:textId="77777777" w:rsidR="00E91ECF" w:rsidRPr="00A52AEE" w:rsidRDefault="00E91ECF" w:rsidP="00FE68E8">
            <w:pPr>
              <w:jc w:val="right"/>
              <w:rPr>
                <w:lang w:eastAsia="en-GB"/>
              </w:rPr>
            </w:pPr>
            <w:r w:rsidRPr="00A52AEE">
              <w:rPr>
                <w:lang w:eastAsia="en-GB"/>
              </w:rPr>
              <w:t>64%</w:t>
            </w:r>
          </w:p>
        </w:tc>
        <w:tc>
          <w:tcPr>
            <w:tcW w:w="678" w:type="pct"/>
            <w:tcBorders>
              <w:top w:val="nil"/>
              <w:left w:val="nil"/>
              <w:bottom w:val="single" w:sz="4" w:space="0" w:color="auto"/>
              <w:right w:val="single" w:sz="4" w:space="0" w:color="auto"/>
            </w:tcBorders>
            <w:shd w:val="clear" w:color="D9D9D9" w:fill="FFFFFF"/>
            <w:noWrap/>
            <w:vAlign w:val="bottom"/>
            <w:hideMark/>
          </w:tcPr>
          <w:p w14:paraId="6E38F7BF" w14:textId="77777777" w:rsidR="00E91ECF" w:rsidRPr="00A52AEE" w:rsidRDefault="00E91ECF" w:rsidP="00FE68E8">
            <w:pPr>
              <w:jc w:val="right"/>
              <w:rPr>
                <w:lang w:eastAsia="en-GB"/>
              </w:rPr>
            </w:pPr>
            <w:r w:rsidRPr="00A52AEE">
              <w:rPr>
                <w:lang w:eastAsia="en-GB"/>
              </w:rPr>
              <w:t>65%</w:t>
            </w:r>
          </w:p>
        </w:tc>
        <w:tc>
          <w:tcPr>
            <w:tcW w:w="678" w:type="pct"/>
            <w:tcBorders>
              <w:top w:val="nil"/>
              <w:left w:val="nil"/>
              <w:bottom w:val="single" w:sz="4" w:space="0" w:color="auto"/>
              <w:right w:val="single" w:sz="4" w:space="0" w:color="auto"/>
            </w:tcBorders>
            <w:shd w:val="clear" w:color="D9D9D9" w:fill="FFFFFF"/>
            <w:noWrap/>
            <w:vAlign w:val="bottom"/>
            <w:hideMark/>
          </w:tcPr>
          <w:p w14:paraId="1A85508D" w14:textId="77777777" w:rsidR="00E91ECF" w:rsidRPr="00A52AEE" w:rsidRDefault="00E91ECF" w:rsidP="00FE68E8">
            <w:pPr>
              <w:jc w:val="right"/>
              <w:rPr>
                <w:lang w:eastAsia="en-GB"/>
              </w:rPr>
            </w:pPr>
            <w:r w:rsidRPr="00A52AEE">
              <w:rPr>
                <w:lang w:eastAsia="en-GB"/>
              </w:rPr>
              <w:t>69%</w:t>
            </w:r>
          </w:p>
        </w:tc>
        <w:tc>
          <w:tcPr>
            <w:tcW w:w="676" w:type="pct"/>
            <w:tcBorders>
              <w:top w:val="nil"/>
              <w:left w:val="nil"/>
              <w:bottom w:val="single" w:sz="4" w:space="0" w:color="auto"/>
              <w:right w:val="single" w:sz="4" w:space="0" w:color="auto"/>
            </w:tcBorders>
            <w:shd w:val="clear" w:color="D9D9D9" w:fill="FFFFFF"/>
            <w:noWrap/>
            <w:vAlign w:val="bottom"/>
            <w:hideMark/>
          </w:tcPr>
          <w:p w14:paraId="076FF5F0" w14:textId="77777777" w:rsidR="00E91ECF" w:rsidRPr="00A52AEE" w:rsidRDefault="00E91ECF" w:rsidP="00FE68E8">
            <w:pPr>
              <w:jc w:val="right"/>
              <w:rPr>
                <w:lang w:eastAsia="en-GB"/>
              </w:rPr>
            </w:pPr>
            <w:r w:rsidRPr="00A52AEE">
              <w:rPr>
                <w:lang w:eastAsia="en-GB"/>
              </w:rPr>
              <w:t>72%</w:t>
            </w:r>
          </w:p>
        </w:tc>
      </w:tr>
    </w:tbl>
    <w:p w14:paraId="0AD8CCE7" w14:textId="77777777" w:rsidR="002E286F" w:rsidRDefault="002E286F" w:rsidP="002E286F">
      <w:r>
        <w:t xml:space="preserve">* Percentages have been rounded </w:t>
      </w:r>
    </w:p>
    <w:p w14:paraId="6149436E" w14:textId="77777777" w:rsidR="0074728E" w:rsidRPr="00A52AEE" w:rsidRDefault="0074728E" w:rsidP="006101C5">
      <w:pPr>
        <w:pStyle w:val="Heading2"/>
        <w:spacing w:after="0"/>
        <w:rPr>
          <w:rFonts w:eastAsiaTheme="minorHAnsi"/>
        </w:rPr>
      </w:pPr>
    </w:p>
    <w:p w14:paraId="2DC5D4B7" w14:textId="34644E44" w:rsidR="00BB3061" w:rsidRPr="00A52AEE" w:rsidRDefault="004D3FD1" w:rsidP="006101C5">
      <w:pPr>
        <w:pStyle w:val="Heading2"/>
        <w:spacing w:after="0"/>
      </w:pPr>
      <w:bookmarkStart w:id="90" w:name="_Toc429151317"/>
      <w:r>
        <w:t>4.13</w:t>
      </w:r>
      <w:r w:rsidR="003C0656">
        <w:tab/>
      </w:r>
      <w:r w:rsidR="003C0656">
        <w:tab/>
        <w:t>D</w:t>
      </w:r>
      <w:r w:rsidR="00BB3061" w:rsidRPr="00A52AEE">
        <w:t xml:space="preserve">isadvantage and </w:t>
      </w:r>
      <w:r w:rsidR="00561FE7" w:rsidRPr="00A52AEE">
        <w:t>London b</w:t>
      </w:r>
      <w:r w:rsidR="00BB3061" w:rsidRPr="00A52AEE">
        <w:t>orough</w:t>
      </w:r>
      <w:bookmarkEnd w:id="90"/>
    </w:p>
    <w:p w14:paraId="2AD2250B" w14:textId="77777777" w:rsidR="00FE68E8" w:rsidRDefault="00FE68E8" w:rsidP="006101C5"/>
    <w:p w14:paraId="7A7B3C09" w14:textId="2DF8568F" w:rsidR="00BB3061" w:rsidRPr="00A52AEE" w:rsidRDefault="00B03413" w:rsidP="00A52AEE">
      <w:r>
        <w:t>In Table 14</w:t>
      </w:r>
      <w:r w:rsidR="00BB3061" w:rsidRPr="00A52AEE">
        <w:t xml:space="preserve">, the IDACI profile of </w:t>
      </w:r>
      <w:r w:rsidR="0021637B" w:rsidRPr="00A52AEE">
        <w:t>Level</w:t>
      </w:r>
      <w:r w:rsidR="00BB3061" w:rsidRPr="00A52AEE">
        <w:t xml:space="preserve"> 3 </w:t>
      </w:r>
      <w:r w:rsidR="00842186" w:rsidRPr="00A52AEE">
        <w:t>student</w:t>
      </w:r>
      <w:r w:rsidR="00BB3061" w:rsidRPr="00A52AEE">
        <w:t xml:space="preserve">s is provided by borough.  97% of </w:t>
      </w:r>
      <w:r w:rsidR="00842186" w:rsidRPr="00A52AEE">
        <w:t>student</w:t>
      </w:r>
      <w:r w:rsidR="00BB3061" w:rsidRPr="00A52AEE">
        <w:t>s in Newham are classified as living in the most deprived area using IDACI compared to only 11% in Kingston upon Thames.</w:t>
      </w:r>
    </w:p>
    <w:p w14:paraId="4864E401" w14:textId="77777777" w:rsidR="0074728E" w:rsidRPr="00A52AEE" w:rsidRDefault="0074728E" w:rsidP="00A52AEE"/>
    <w:p w14:paraId="09C37737" w14:textId="0782B026" w:rsidR="00BB3061" w:rsidRPr="003C0656" w:rsidRDefault="003C0656" w:rsidP="00A52AEE">
      <w:pPr>
        <w:rPr>
          <w:b/>
        </w:rPr>
      </w:pPr>
      <w:r>
        <w:rPr>
          <w:b/>
        </w:rPr>
        <w:t>Ta</w:t>
      </w:r>
      <w:r w:rsidR="004D2866">
        <w:rPr>
          <w:b/>
        </w:rPr>
        <w:t>ble 14</w:t>
      </w:r>
      <w:r>
        <w:rPr>
          <w:b/>
        </w:rPr>
        <w:t>: Breakdown of the London college cohorts by d</w:t>
      </w:r>
      <w:r w:rsidR="00BB3061" w:rsidRPr="003C0656">
        <w:rPr>
          <w:b/>
        </w:rPr>
        <w:t xml:space="preserve">isadvantage and </w:t>
      </w:r>
      <w:r w:rsidR="00561FE7" w:rsidRPr="003C0656">
        <w:rPr>
          <w:b/>
        </w:rPr>
        <w:t>London b</w:t>
      </w:r>
      <w:r w:rsidR="00BB3061" w:rsidRPr="003C0656">
        <w:rPr>
          <w:b/>
        </w:rPr>
        <w:t>orough</w:t>
      </w:r>
    </w:p>
    <w:p w14:paraId="26D1F67A" w14:textId="77777777" w:rsidR="0074728E" w:rsidRPr="00A52AEE" w:rsidRDefault="0074728E" w:rsidP="00A52AEE"/>
    <w:tbl>
      <w:tblPr>
        <w:tblW w:w="5000" w:type="pct"/>
        <w:tblLayout w:type="fixed"/>
        <w:tblLook w:val="04A0" w:firstRow="1" w:lastRow="0" w:firstColumn="1" w:lastColumn="0" w:noHBand="0" w:noVBand="1"/>
      </w:tblPr>
      <w:tblGrid>
        <w:gridCol w:w="2634"/>
        <w:gridCol w:w="1734"/>
        <w:gridCol w:w="1321"/>
        <w:gridCol w:w="1175"/>
        <w:gridCol w:w="881"/>
        <w:gridCol w:w="1826"/>
      </w:tblGrid>
      <w:tr w:rsidR="0074728E" w:rsidRPr="003C0656" w14:paraId="2A3454D3" w14:textId="77777777" w:rsidTr="0074728E">
        <w:trPr>
          <w:trHeight w:val="577"/>
        </w:trPr>
        <w:tc>
          <w:tcPr>
            <w:tcW w:w="1376"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769E37D7" w14:textId="77777777" w:rsidR="00BB3061" w:rsidRPr="003C0656" w:rsidRDefault="00BB3061" w:rsidP="00A52AEE">
            <w:pPr>
              <w:rPr>
                <w:b/>
                <w:color w:val="FFFFFF" w:themeColor="background1"/>
                <w:lang w:eastAsia="en-GB"/>
              </w:rPr>
            </w:pPr>
            <w:r w:rsidRPr="003C0656">
              <w:rPr>
                <w:b/>
                <w:color w:val="FFFFFF" w:themeColor="background1"/>
                <w:lang w:eastAsia="en-GB"/>
              </w:rPr>
              <w:t>Borough</w:t>
            </w:r>
          </w:p>
        </w:tc>
        <w:tc>
          <w:tcPr>
            <w:tcW w:w="3624" w:type="pct"/>
            <w:gridSpan w:val="5"/>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ED1303D" w14:textId="77777777" w:rsidR="00BB3061" w:rsidRPr="003C0656" w:rsidRDefault="00BB3061" w:rsidP="00A52AEE">
            <w:pPr>
              <w:rPr>
                <w:b/>
                <w:color w:val="FFFFFF" w:themeColor="background1"/>
                <w:sz w:val="22"/>
                <w:lang w:eastAsia="en-GB"/>
              </w:rPr>
            </w:pPr>
            <w:r w:rsidRPr="003C0656">
              <w:rPr>
                <w:b/>
                <w:color w:val="FFFFFF" w:themeColor="background1"/>
                <w:lang w:eastAsia="en-GB"/>
              </w:rPr>
              <w:t>IDACI</w:t>
            </w:r>
          </w:p>
        </w:tc>
      </w:tr>
      <w:tr w:rsidR="0074728E" w:rsidRPr="003C0656" w14:paraId="67E2A722" w14:textId="77777777" w:rsidTr="0074728E">
        <w:trPr>
          <w:trHeight w:val="840"/>
        </w:trPr>
        <w:tc>
          <w:tcPr>
            <w:tcW w:w="1376"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4A6F320" w14:textId="77777777" w:rsidR="00BB3061" w:rsidRPr="003C0656" w:rsidRDefault="00BB3061" w:rsidP="00A52AEE">
            <w:pPr>
              <w:rPr>
                <w:b/>
                <w:color w:val="FFFFFF" w:themeColor="background1"/>
                <w:lang w:eastAsia="en-GB"/>
              </w:rPr>
            </w:pPr>
          </w:p>
        </w:tc>
        <w:tc>
          <w:tcPr>
            <w:tcW w:w="906" w:type="pct"/>
            <w:tcBorders>
              <w:top w:val="nil"/>
              <w:left w:val="nil"/>
              <w:bottom w:val="single" w:sz="4" w:space="0" w:color="auto"/>
              <w:right w:val="single" w:sz="4" w:space="0" w:color="auto"/>
            </w:tcBorders>
            <w:shd w:val="clear" w:color="auto" w:fill="1F4E79" w:themeFill="accent1" w:themeFillShade="80"/>
            <w:noWrap/>
            <w:vAlign w:val="center"/>
            <w:hideMark/>
          </w:tcPr>
          <w:p w14:paraId="33AC2AAA" w14:textId="77777777" w:rsidR="00561FE7" w:rsidRPr="003C0656" w:rsidRDefault="00BB3061" w:rsidP="00A52AEE">
            <w:pPr>
              <w:rPr>
                <w:b/>
                <w:color w:val="FFFFFF" w:themeColor="background1"/>
                <w:lang w:eastAsia="en-GB"/>
              </w:rPr>
            </w:pPr>
            <w:r w:rsidRPr="003C0656">
              <w:rPr>
                <w:b/>
                <w:color w:val="FFFFFF" w:themeColor="background1"/>
                <w:lang w:eastAsia="en-GB"/>
              </w:rPr>
              <w:t>Q</w:t>
            </w:r>
            <w:r w:rsidR="0074728E" w:rsidRPr="003C0656">
              <w:rPr>
                <w:b/>
                <w:color w:val="FFFFFF" w:themeColor="background1"/>
                <w:lang w:eastAsia="en-GB"/>
              </w:rPr>
              <w:t xml:space="preserve">uintile </w:t>
            </w:r>
            <w:r w:rsidRPr="003C0656">
              <w:rPr>
                <w:b/>
                <w:color w:val="FFFFFF" w:themeColor="background1"/>
                <w:lang w:eastAsia="en-GB"/>
              </w:rPr>
              <w:t xml:space="preserve">1 </w:t>
            </w:r>
          </w:p>
          <w:p w14:paraId="03C9EF9D" w14:textId="6EED9811" w:rsidR="00BB3061" w:rsidRPr="003C0656" w:rsidRDefault="00BB3061" w:rsidP="00A52AEE">
            <w:pPr>
              <w:rPr>
                <w:b/>
                <w:color w:val="FFFFFF" w:themeColor="background1"/>
                <w:lang w:eastAsia="en-GB"/>
              </w:rPr>
            </w:pPr>
            <w:r w:rsidRPr="003C0656">
              <w:rPr>
                <w:b/>
                <w:color w:val="FFFFFF" w:themeColor="background1"/>
                <w:lang w:eastAsia="en-GB"/>
              </w:rPr>
              <w:t>- most disadvantaged</w:t>
            </w:r>
          </w:p>
        </w:tc>
        <w:tc>
          <w:tcPr>
            <w:tcW w:w="690" w:type="pct"/>
            <w:tcBorders>
              <w:top w:val="nil"/>
              <w:left w:val="nil"/>
              <w:bottom w:val="single" w:sz="4" w:space="0" w:color="auto"/>
              <w:right w:val="single" w:sz="4" w:space="0" w:color="auto"/>
            </w:tcBorders>
            <w:shd w:val="clear" w:color="auto" w:fill="1F4E79" w:themeFill="accent1" w:themeFillShade="80"/>
            <w:noWrap/>
            <w:vAlign w:val="center"/>
            <w:hideMark/>
          </w:tcPr>
          <w:p w14:paraId="74FA1D78" w14:textId="77777777" w:rsidR="00BB3061" w:rsidRPr="003C0656" w:rsidRDefault="00BB3061" w:rsidP="00A52AEE">
            <w:pPr>
              <w:rPr>
                <w:b/>
                <w:color w:val="FFFFFF" w:themeColor="background1"/>
                <w:lang w:eastAsia="en-GB"/>
              </w:rPr>
            </w:pPr>
            <w:r w:rsidRPr="003C0656">
              <w:rPr>
                <w:b/>
                <w:color w:val="FFFFFF" w:themeColor="background1"/>
                <w:lang w:eastAsia="en-GB"/>
              </w:rPr>
              <w:t>Q2</w:t>
            </w:r>
          </w:p>
        </w:tc>
        <w:tc>
          <w:tcPr>
            <w:tcW w:w="614" w:type="pct"/>
            <w:tcBorders>
              <w:top w:val="nil"/>
              <w:left w:val="nil"/>
              <w:bottom w:val="single" w:sz="4" w:space="0" w:color="auto"/>
              <w:right w:val="single" w:sz="4" w:space="0" w:color="auto"/>
            </w:tcBorders>
            <w:shd w:val="clear" w:color="auto" w:fill="1F4E79" w:themeFill="accent1" w:themeFillShade="80"/>
            <w:noWrap/>
            <w:vAlign w:val="center"/>
            <w:hideMark/>
          </w:tcPr>
          <w:p w14:paraId="3A4970B7" w14:textId="77777777" w:rsidR="00BB3061" w:rsidRPr="003C0656" w:rsidRDefault="00BB3061" w:rsidP="00A52AEE">
            <w:pPr>
              <w:rPr>
                <w:b/>
                <w:color w:val="FFFFFF" w:themeColor="background1"/>
                <w:lang w:eastAsia="en-GB"/>
              </w:rPr>
            </w:pPr>
            <w:r w:rsidRPr="003C0656">
              <w:rPr>
                <w:b/>
                <w:color w:val="FFFFFF" w:themeColor="background1"/>
                <w:lang w:eastAsia="en-GB"/>
              </w:rPr>
              <w:t>Q3</w:t>
            </w:r>
          </w:p>
        </w:tc>
        <w:tc>
          <w:tcPr>
            <w:tcW w:w="460" w:type="pct"/>
            <w:tcBorders>
              <w:top w:val="nil"/>
              <w:left w:val="nil"/>
              <w:bottom w:val="single" w:sz="4" w:space="0" w:color="auto"/>
              <w:right w:val="single" w:sz="4" w:space="0" w:color="auto"/>
            </w:tcBorders>
            <w:shd w:val="clear" w:color="auto" w:fill="1F4E79" w:themeFill="accent1" w:themeFillShade="80"/>
            <w:noWrap/>
            <w:vAlign w:val="center"/>
            <w:hideMark/>
          </w:tcPr>
          <w:p w14:paraId="2E75FA84" w14:textId="77777777" w:rsidR="00BB3061" w:rsidRPr="003C0656" w:rsidRDefault="00BB3061" w:rsidP="00A52AEE">
            <w:pPr>
              <w:rPr>
                <w:b/>
                <w:color w:val="FFFFFF" w:themeColor="background1"/>
                <w:lang w:eastAsia="en-GB"/>
              </w:rPr>
            </w:pPr>
            <w:r w:rsidRPr="003C0656">
              <w:rPr>
                <w:b/>
                <w:color w:val="FFFFFF" w:themeColor="background1"/>
                <w:lang w:eastAsia="en-GB"/>
              </w:rPr>
              <w:t>Q4</w:t>
            </w:r>
          </w:p>
        </w:tc>
        <w:tc>
          <w:tcPr>
            <w:tcW w:w="954" w:type="pct"/>
            <w:tcBorders>
              <w:top w:val="nil"/>
              <w:left w:val="nil"/>
              <w:bottom w:val="single" w:sz="4" w:space="0" w:color="auto"/>
              <w:right w:val="single" w:sz="4" w:space="0" w:color="auto"/>
            </w:tcBorders>
            <w:shd w:val="clear" w:color="auto" w:fill="1F4E79" w:themeFill="accent1" w:themeFillShade="80"/>
            <w:noWrap/>
            <w:vAlign w:val="center"/>
            <w:hideMark/>
          </w:tcPr>
          <w:p w14:paraId="2BEFBBFD" w14:textId="77777777" w:rsidR="00561FE7" w:rsidRPr="003C0656" w:rsidRDefault="00BB3061" w:rsidP="00A52AEE">
            <w:pPr>
              <w:rPr>
                <w:b/>
                <w:color w:val="FFFFFF" w:themeColor="background1"/>
                <w:lang w:eastAsia="en-GB"/>
              </w:rPr>
            </w:pPr>
            <w:r w:rsidRPr="003C0656">
              <w:rPr>
                <w:b/>
                <w:color w:val="FFFFFF" w:themeColor="background1"/>
                <w:lang w:eastAsia="en-GB"/>
              </w:rPr>
              <w:t>Q</w:t>
            </w:r>
            <w:r w:rsidR="0074728E" w:rsidRPr="003C0656">
              <w:rPr>
                <w:b/>
                <w:color w:val="FFFFFF" w:themeColor="background1"/>
                <w:lang w:eastAsia="en-GB"/>
              </w:rPr>
              <w:t xml:space="preserve">uintile </w:t>
            </w:r>
            <w:r w:rsidRPr="003C0656">
              <w:rPr>
                <w:b/>
                <w:color w:val="FFFFFF" w:themeColor="background1"/>
                <w:lang w:eastAsia="en-GB"/>
              </w:rPr>
              <w:t>5</w:t>
            </w:r>
            <w:r w:rsidR="0074728E" w:rsidRPr="003C0656">
              <w:rPr>
                <w:b/>
                <w:color w:val="FFFFFF" w:themeColor="background1"/>
                <w:lang w:eastAsia="en-GB"/>
              </w:rPr>
              <w:t xml:space="preserve"> </w:t>
            </w:r>
          </w:p>
          <w:p w14:paraId="7F187237" w14:textId="270B9D79" w:rsidR="00BB3061" w:rsidRPr="003C0656" w:rsidRDefault="0074728E" w:rsidP="00A52AEE">
            <w:pPr>
              <w:rPr>
                <w:b/>
                <w:color w:val="FFFFFF" w:themeColor="background1"/>
                <w:lang w:eastAsia="en-GB"/>
              </w:rPr>
            </w:pPr>
            <w:r w:rsidRPr="003C0656">
              <w:rPr>
                <w:b/>
                <w:color w:val="FFFFFF" w:themeColor="background1"/>
                <w:lang w:eastAsia="en-GB"/>
              </w:rPr>
              <w:t xml:space="preserve">- </w:t>
            </w:r>
            <w:r w:rsidR="00BB3061" w:rsidRPr="003C0656">
              <w:rPr>
                <w:b/>
                <w:color w:val="FFFFFF" w:themeColor="background1"/>
                <w:lang w:eastAsia="en-GB"/>
              </w:rPr>
              <w:t>least disadvantaged</w:t>
            </w:r>
          </w:p>
        </w:tc>
      </w:tr>
      <w:tr w:rsidR="00BB3061" w:rsidRPr="00A52AEE" w14:paraId="5027C57E"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D32A6A1" w14:textId="77777777" w:rsidR="00BB3061" w:rsidRPr="00A52AEE" w:rsidRDefault="00BB3061" w:rsidP="00A52AEE">
            <w:pPr>
              <w:rPr>
                <w:lang w:eastAsia="en-GB"/>
              </w:rPr>
            </w:pPr>
            <w:r w:rsidRPr="00A52AEE">
              <w:rPr>
                <w:lang w:eastAsia="en-GB"/>
              </w:rPr>
              <w:t>Barking and Dagenham</w:t>
            </w:r>
          </w:p>
        </w:tc>
        <w:tc>
          <w:tcPr>
            <w:tcW w:w="906" w:type="pct"/>
            <w:tcBorders>
              <w:top w:val="nil"/>
              <w:left w:val="nil"/>
              <w:bottom w:val="single" w:sz="4" w:space="0" w:color="auto"/>
              <w:right w:val="single" w:sz="4" w:space="0" w:color="auto"/>
            </w:tcBorders>
            <w:shd w:val="clear" w:color="auto" w:fill="auto"/>
            <w:noWrap/>
            <w:vAlign w:val="bottom"/>
            <w:hideMark/>
          </w:tcPr>
          <w:p w14:paraId="1B2F622E" w14:textId="77777777" w:rsidR="00BB3061" w:rsidRPr="00A52AEE" w:rsidRDefault="00BB3061" w:rsidP="00FE68E8">
            <w:pPr>
              <w:jc w:val="right"/>
              <w:rPr>
                <w:lang w:eastAsia="en-GB"/>
              </w:rPr>
            </w:pPr>
            <w:r w:rsidRPr="00A52AEE">
              <w:rPr>
                <w:lang w:eastAsia="en-GB"/>
              </w:rPr>
              <w:t>67%</w:t>
            </w:r>
          </w:p>
        </w:tc>
        <w:tc>
          <w:tcPr>
            <w:tcW w:w="690" w:type="pct"/>
            <w:tcBorders>
              <w:top w:val="nil"/>
              <w:left w:val="nil"/>
              <w:bottom w:val="single" w:sz="4" w:space="0" w:color="auto"/>
              <w:right w:val="single" w:sz="4" w:space="0" w:color="auto"/>
            </w:tcBorders>
            <w:shd w:val="clear" w:color="auto" w:fill="auto"/>
            <w:noWrap/>
            <w:vAlign w:val="bottom"/>
            <w:hideMark/>
          </w:tcPr>
          <w:p w14:paraId="03D64393" w14:textId="77777777" w:rsidR="00BB3061" w:rsidRPr="00A52AEE" w:rsidRDefault="00BB3061" w:rsidP="00FE68E8">
            <w:pPr>
              <w:jc w:val="right"/>
              <w:rPr>
                <w:lang w:eastAsia="en-GB"/>
              </w:rPr>
            </w:pPr>
            <w:r w:rsidRPr="00A52AEE">
              <w:rPr>
                <w:lang w:eastAsia="en-GB"/>
              </w:rPr>
              <w:t>29%</w:t>
            </w:r>
          </w:p>
        </w:tc>
        <w:tc>
          <w:tcPr>
            <w:tcW w:w="614" w:type="pct"/>
            <w:tcBorders>
              <w:top w:val="nil"/>
              <w:left w:val="nil"/>
              <w:bottom w:val="single" w:sz="4" w:space="0" w:color="auto"/>
              <w:right w:val="single" w:sz="4" w:space="0" w:color="auto"/>
            </w:tcBorders>
            <w:shd w:val="clear" w:color="auto" w:fill="auto"/>
            <w:noWrap/>
            <w:vAlign w:val="bottom"/>
            <w:hideMark/>
          </w:tcPr>
          <w:p w14:paraId="4DEB0F1B" w14:textId="77777777" w:rsidR="00BB3061" w:rsidRPr="00A52AEE" w:rsidRDefault="00BB3061" w:rsidP="00FE68E8">
            <w:pPr>
              <w:jc w:val="right"/>
              <w:rPr>
                <w:lang w:eastAsia="en-GB"/>
              </w:rPr>
            </w:pPr>
            <w:r w:rsidRPr="00A52AEE">
              <w:rPr>
                <w:lang w:eastAsia="en-GB"/>
              </w:rPr>
              <w:t>3%</w:t>
            </w:r>
          </w:p>
        </w:tc>
        <w:tc>
          <w:tcPr>
            <w:tcW w:w="460" w:type="pct"/>
            <w:tcBorders>
              <w:top w:val="nil"/>
              <w:left w:val="nil"/>
              <w:bottom w:val="single" w:sz="4" w:space="0" w:color="auto"/>
              <w:right w:val="single" w:sz="4" w:space="0" w:color="auto"/>
            </w:tcBorders>
            <w:shd w:val="clear" w:color="auto" w:fill="auto"/>
            <w:noWrap/>
            <w:vAlign w:val="bottom"/>
            <w:hideMark/>
          </w:tcPr>
          <w:p w14:paraId="4DAF5B32"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5B4A6594" w14:textId="77777777" w:rsidR="00BB3061" w:rsidRPr="00A52AEE" w:rsidRDefault="00BB3061" w:rsidP="00FE68E8">
            <w:pPr>
              <w:jc w:val="right"/>
              <w:rPr>
                <w:lang w:eastAsia="en-GB"/>
              </w:rPr>
            </w:pPr>
            <w:r w:rsidRPr="00A52AEE">
              <w:rPr>
                <w:lang w:eastAsia="en-GB"/>
              </w:rPr>
              <w:t>0%</w:t>
            </w:r>
          </w:p>
        </w:tc>
      </w:tr>
      <w:tr w:rsidR="00BB3061" w:rsidRPr="00A52AEE" w14:paraId="3E3255E5"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20D04DBD" w14:textId="77777777" w:rsidR="00BB3061" w:rsidRPr="00A52AEE" w:rsidRDefault="00BB3061" w:rsidP="00A52AEE">
            <w:pPr>
              <w:rPr>
                <w:lang w:eastAsia="en-GB"/>
              </w:rPr>
            </w:pPr>
            <w:r w:rsidRPr="00A52AEE">
              <w:rPr>
                <w:lang w:eastAsia="en-GB"/>
              </w:rPr>
              <w:t>Barnet</w:t>
            </w:r>
          </w:p>
        </w:tc>
        <w:tc>
          <w:tcPr>
            <w:tcW w:w="906" w:type="pct"/>
            <w:tcBorders>
              <w:top w:val="nil"/>
              <w:left w:val="nil"/>
              <w:bottom w:val="single" w:sz="4" w:space="0" w:color="auto"/>
              <w:right w:val="single" w:sz="4" w:space="0" w:color="auto"/>
            </w:tcBorders>
            <w:shd w:val="clear" w:color="auto" w:fill="auto"/>
            <w:noWrap/>
            <w:vAlign w:val="bottom"/>
            <w:hideMark/>
          </w:tcPr>
          <w:p w14:paraId="724312C4" w14:textId="77777777" w:rsidR="00BB3061" w:rsidRPr="00A52AEE" w:rsidRDefault="00BB3061" w:rsidP="00FE68E8">
            <w:pPr>
              <w:jc w:val="right"/>
              <w:rPr>
                <w:lang w:eastAsia="en-GB"/>
              </w:rPr>
            </w:pPr>
            <w:r w:rsidRPr="00A52AEE">
              <w:rPr>
                <w:lang w:eastAsia="en-GB"/>
              </w:rPr>
              <w:t>31%</w:t>
            </w:r>
          </w:p>
        </w:tc>
        <w:tc>
          <w:tcPr>
            <w:tcW w:w="690" w:type="pct"/>
            <w:tcBorders>
              <w:top w:val="nil"/>
              <w:left w:val="nil"/>
              <w:bottom w:val="single" w:sz="4" w:space="0" w:color="auto"/>
              <w:right w:val="single" w:sz="4" w:space="0" w:color="auto"/>
            </w:tcBorders>
            <w:shd w:val="clear" w:color="auto" w:fill="auto"/>
            <w:noWrap/>
            <w:vAlign w:val="bottom"/>
            <w:hideMark/>
          </w:tcPr>
          <w:p w14:paraId="1233D182" w14:textId="77777777" w:rsidR="00BB3061" w:rsidRPr="00A52AEE" w:rsidRDefault="00BB3061" w:rsidP="00FE68E8">
            <w:pPr>
              <w:jc w:val="right"/>
              <w:rPr>
                <w:lang w:eastAsia="en-GB"/>
              </w:rPr>
            </w:pPr>
            <w:r w:rsidRPr="00A52AEE">
              <w:rPr>
                <w:lang w:eastAsia="en-GB"/>
              </w:rPr>
              <w:t>26%</w:t>
            </w:r>
          </w:p>
        </w:tc>
        <w:tc>
          <w:tcPr>
            <w:tcW w:w="614" w:type="pct"/>
            <w:tcBorders>
              <w:top w:val="nil"/>
              <w:left w:val="nil"/>
              <w:bottom w:val="single" w:sz="4" w:space="0" w:color="auto"/>
              <w:right w:val="single" w:sz="4" w:space="0" w:color="auto"/>
            </w:tcBorders>
            <w:shd w:val="clear" w:color="auto" w:fill="auto"/>
            <w:noWrap/>
            <w:vAlign w:val="bottom"/>
            <w:hideMark/>
          </w:tcPr>
          <w:p w14:paraId="68F915B5" w14:textId="77777777" w:rsidR="00BB3061" w:rsidRPr="00A52AEE" w:rsidRDefault="00BB3061" w:rsidP="00FE68E8">
            <w:pPr>
              <w:jc w:val="right"/>
              <w:rPr>
                <w:lang w:eastAsia="en-GB"/>
              </w:rPr>
            </w:pPr>
            <w:r w:rsidRPr="00A52AEE">
              <w:rPr>
                <w:lang w:eastAsia="en-GB"/>
              </w:rPr>
              <w:t>25%</w:t>
            </w:r>
          </w:p>
        </w:tc>
        <w:tc>
          <w:tcPr>
            <w:tcW w:w="460" w:type="pct"/>
            <w:tcBorders>
              <w:top w:val="nil"/>
              <w:left w:val="nil"/>
              <w:bottom w:val="single" w:sz="4" w:space="0" w:color="auto"/>
              <w:right w:val="single" w:sz="4" w:space="0" w:color="auto"/>
            </w:tcBorders>
            <w:shd w:val="clear" w:color="auto" w:fill="auto"/>
            <w:noWrap/>
            <w:vAlign w:val="bottom"/>
            <w:hideMark/>
          </w:tcPr>
          <w:p w14:paraId="36C2A469" w14:textId="77777777" w:rsidR="00BB3061" w:rsidRPr="00A52AEE" w:rsidRDefault="00BB3061" w:rsidP="00FE68E8">
            <w:pPr>
              <w:jc w:val="right"/>
              <w:rPr>
                <w:lang w:eastAsia="en-GB"/>
              </w:rPr>
            </w:pPr>
            <w:r w:rsidRPr="00A52AEE">
              <w:rPr>
                <w:lang w:eastAsia="en-GB"/>
              </w:rPr>
              <w:t>12%</w:t>
            </w:r>
          </w:p>
        </w:tc>
        <w:tc>
          <w:tcPr>
            <w:tcW w:w="954" w:type="pct"/>
            <w:tcBorders>
              <w:top w:val="nil"/>
              <w:left w:val="nil"/>
              <w:bottom w:val="single" w:sz="4" w:space="0" w:color="auto"/>
              <w:right w:val="single" w:sz="4" w:space="0" w:color="auto"/>
            </w:tcBorders>
            <w:shd w:val="clear" w:color="auto" w:fill="auto"/>
            <w:noWrap/>
            <w:vAlign w:val="bottom"/>
            <w:hideMark/>
          </w:tcPr>
          <w:p w14:paraId="642A19F2" w14:textId="77777777" w:rsidR="00BB3061" w:rsidRPr="00A52AEE" w:rsidRDefault="00BB3061" w:rsidP="00FE68E8">
            <w:pPr>
              <w:jc w:val="right"/>
              <w:rPr>
                <w:lang w:eastAsia="en-GB"/>
              </w:rPr>
            </w:pPr>
            <w:r w:rsidRPr="00A52AEE">
              <w:rPr>
                <w:lang w:eastAsia="en-GB"/>
              </w:rPr>
              <w:t>6%</w:t>
            </w:r>
          </w:p>
        </w:tc>
      </w:tr>
      <w:tr w:rsidR="00BB3061" w:rsidRPr="00A52AEE" w14:paraId="3EEFB353"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2C160B22" w14:textId="77777777" w:rsidR="00BB3061" w:rsidRPr="00A52AEE" w:rsidRDefault="00BB3061" w:rsidP="00A52AEE">
            <w:pPr>
              <w:rPr>
                <w:lang w:eastAsia="en-GB"/>
              </w:rPr>
            </w:pPr>
            <w:r w:rsidRPr="00A52AEE">
              <w:rPr>
                <w:lang w:eastAsia="en-GB"/>
              </w:rPr>
              <w:t>Bexley</w:t>
            </w:r>
          </w:p>
        </w:tc>
        <w:tc>
          <w:tcPr>
            <w:tcW w:w="906" w:type="pct"/>
            <w:tcBorders>
              <w:top w:val="nil"/>
              <w:left w:val="nil"/>
              <w:bottom w:val="single" w:sz="4" w:space="0" w:color="auto"/>
              <w:right w:val="single" w:sz="4" w:space="0" w:color="auto"/>
            </w:tcBorders>
            <w:shd w:val="clear" w:color="auto" w:fill="auto"/>
            <w:noWrap/>
            <w:vAlign w:val="bottom"/>
            <w:hideMark/>
          </w:tcPr>
          <w:p w14:paraId="64B5E221" w14:textId="77777777" w:rsidR="00BB3061" w:rsidRPr="00A52AEE" w:rsidRDefault="00BB3061" w:rsidP="00FE68E8">
            <w:pPr>
              <w:jc w:val="right"/>
              <w:rPr>
                <w:lang w:eastAsia="en-GB"/>
              </w:rPr>
            </w:pPr>
            <w:r w:rsidRPr="00A52AEE">
              <w:rPr>
                <w:lang w:eastAsia="en-GB"/>
              </w:rPr>
              <w:t>22%</w:t>
            </w:r>
          </w:p>
        </w:tc>
        <w:tc>
          <w:tcPr>
            <w:tcW w:w="690" w:type="pct"/>
            <w:tcBorders>
              <w:top w:val="nil"/>
              <w:left w:val="nil"/>
              <w:bottom w:val="single" w:sz="4" w:space="0" w:color="auto"/>
              <w:right w:val="single" w:sz="4" w:space="0" w:color="auto"/>
            </w:tcBorders>
            <w:shd w:val="clear" w:color="auto" w:fill="auto"/>
            <w:noWrap/>
            <w:vAlign w:val="bottom"/>
            <w:hideMark/>
          </w:tcPr>
          <w:p w14:paraId="30B0F078" w14:textId="77777777" w:rsidR="00BB3061" w:rsidRPr="00A52AEE" w:rsidRDefault="00BB3061" w:rsidP="00FE68E8">
            <w:pPr>
              <w:jc w:val="right"/>
              <w:rPr>
                <w:lang w:eastAsia="en-GB"/>
              </w:rPr>
            </w:pPr>
            <w:r w:rsidRPr="00A52AEE">
              <w:rPr>
                <w:lang w:eastAsia="en-GB"/>
              </w:rPr>
              <w:t>30%</w:t>
            </w:r>
          </w:p>
        </w:tc>
        <w:tc>
          <w:tcPr>
            <w:tcW w:w="614" w:type="pct"/>
            <w:tcBorders>
              <w:top w:val="nil"/>
              <w:left w:val="nil"/>
              <w:bottom w:val="single" w:sz="4" w:space="0" w:color="auto"/>
              <w:right w:val="single" w:sz="4" w:space="0" w:color="auto"/>
            </w:tcBorders>
            <w:shd w:val="clear" w:color="auto" w:fill="auto"/>
            <w:noWrap/>
            <w:vAlign w:val="bottom"/>
            <w:hideMark/>
          </w:tcPr>
          <w:p w14:paraId="0F05F554" w14:textId="77777777" w:rsidR="00BB3061" w:rsidRPr="00A52AEE" w:rsidRDefault="00BB3061" w:rsidP="00FE68E8">
            <w:pPr>
              <w:jc w:val="right"/>
              <w:rPr>
                <w:lang w:eastAsia="en-GB"/>
              </w:rPr>
            </w:pPr>
            <w:r w:rsidRPr="00A52AEE">
              <w:rPr>
                <w:lang w:eastAsia="en-GB"/>
              </w:rPr>
              <w:t>18%</w:t>
            </w:r>
          </w:p>
        </w:tc>
        <w:tc>
          <w:tcPr>
            <w:tcW w:w="460" w:type="pct"/>
            <w:tcBorders>
              <w:top w:val="nil"/>
              <w:left w:val="nil"/>
              <w:bottom w:val="single" w:sz="4" w:space="0" w:color="auto"/>
              <w:right w:val="single" w:sz="4" w:space="0" w:color="auto"/>
            </w:tcBorders>
            <w:shd w:val="clear" w:color="auto" w:fill="auto"/>
            <w:noWrap/>
            <w:vAlign w:val="bottom"/>
            <w:hideMark/>
          </w:tcPr>
          <w:p w14:paraId="72A140CC" w14:textId="77777777" w:rsidR="00BB3061" w:rsidRPr="00A52AEE" w:rsidRDefault="00BB3061" w:rsidP="00FE68E8">
            <w:pPr>
              <w:jc w:val="right"/>
              <w:rPr>
                <w:lang w:eastAsia="en-GB"/>
              </w:rPr>
            </w:pPr>
            <w:r w:rsidRPr="00A52AEE">
              <w:rPr>
                <w:lang w:eastAsia="en-GB"/>
              </w:rPr>
              <w:t>22%</w:t>
            </w:r>
          </w:p>
        </w:tc>
        <w:tc>
          <w:tcPr>
            <w:tcW w:w="954" w:type="pct"/>
            <w:tcBorders>
              <w:top w:val="nil"/>
              <w:left w:val="nil"/>
              <w:bottom w:val="single" w:sz="4" w:space="0" w:color="auto"/>
              <w:right w:val="single" w:sz="4" w:space="0" w:color="auto"/>
            </w:tcBorders>
            <w:shd w:val="clear" w:color="auto" w:fill="auto"/>
            <w:noWrap/>
            <w:vAlign w:val="bottom"/>
            <w:hideMark/>
          </w:tcPr>
          <w:p w14:paraId="2F3FD589" w14:textId="77777777" w:rsidR="00BB3061" w:rsidRPr="00A52AEE" w:rsidRDefault="00BB3061" w:rsidP="00FE68E8">
            <w:pPr>
              <w:jc w:val="right"/>
              <w:rPr>
                <w:lang w:eastAsia="en-GB"/>
              </w:rPr>
            </w:pPr>
            <w:r w:rsidRPr="00A52AEE">
              <w:rPr>
                <w:lang w:eastAsia="en-GB"/>
              </w:rPr>
              <w:t>8%</w:t>
            </w:r>
          </w:p>
        </w:tc>
      </w:tr>
      <w:tr w:rsidR="00BB3061" w:rsidRPr="00A52AEE" w14:paraId="6874C5A6"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0CBF46BB" w14:textId="77777777" w:rsidR="00BB3061" w:rsidRPr="00A52AEE" w:rsidRDefault="00BB3061" w:rsidP="00A52AEE">
            <w:pPr>
              <w:rPr>
                <w:lang w:eastAsia="en-GB"/>
              </w:rPr>
            </w:pPr>
            <w:r w:rsidRPr="00A52AEE">
              <w:rPr>
                <w:lang w:eastAsia="en-GB"/>
              </w:rPr>
              <w:t>Brent</w:t>
            </w:r>
          </w:p>
        </w:tc>
        <w:tc>
          <w:tcPr>
            <w:tcW w:w="906" w:type="pct"/>
            <w:tcBorders>
              <w:top w:val="nil"/>
              <w:left w:val="nil"/>
              <w:bottom w:val="single" w:sz="4" w:space="0" w:color="auto"/>
              <w:right w:val="single" w:sz="4" w:space="0" w:color="auto"/>
            </w:tcBorders>
            <w:shd w:val="clear" w:color="auto" w:fill="auto"/>
            <w:noWrap/>
            <w:vAlign w:val="bottom"/>
            <w:hideMark/>
          </w:tcPr>
          <w:p w14:paraId="210923AA" w14:textId="77777777" w:rsidR="00BB3061" w:rsidRPr="00A52AEE" w:rsidRDefault="00BB3061" w:rsidP="00FE68E8">
            <w:pPr>
              <w:jc w:val="right"/>
              <w:rPr>
                <w:lang w:eastAsia="en-GB"/>
              </w:rPr>
            </w:pPr>
            <w:r w:rsidRPr="00A52AEE">
              <w:rPr>
                <w:lang w:eastAsia="en-GB"/>
              </w:rPr>
              <w:t>60%</w:t>
            </w:r>
          </w:p>
        </w:tc>
        <w:tc>
          <w:tcPr>
            <w:tcW w:w="690" w:type="pct"/>
            <w:tcBorders>
              <w:top w:val="nil"/>
              <w:left w:val="nil"/>
              <w:bottom w:val="single" w:sz="4" w:space="0" w:color="auto"/>
              <w:right w:val="single" w:sz="4" w:space="0" w:color="auto"/>
            </w:tcBorders>
            <w:shd w:val="clear" w:color="auto" w:fill="auto"/>
            <w:noWrap/>
            <w:vAlign w:val="bottom"/>
            <w:hideMark/>
          </w:tcPr>
          <w:p w14:paraId="76A9FF48" w14:textId="77777777" w:rsidR="00BB3061" w:rsidRPr="00A52AEE" w:rsidRDefault="00BB3061" w:rsidP="00FE68E8">
            <w:pPr>
              <w:jc w:val="right"/>
              <w:rPr>
                <w:lang w:eastAsia="en-GB"/>
              </w:rPr>
            </w:pPr>
            <w:r w:rsidRPr="00A52AEE">
              <w:rPr>
                <w:lang w:eastAsia="en-GB"/>
              </w:rPr>
              <w:t>32%</w:t>
            </w:r>
          </w:p>
        </w:tc>
        <w:tc>
          <w:tcPr>
            <w:tcW w:w="614" w:type="pct"/>
            <w:tcBorders>
              <w:top w:val="nil"/>
              <w:left w:val="nil"/>
              <w:bottom w:val="single" w:sz="4" w:space="0" w:color="auto"/>
              <w:right w:val="single" w:sz="4" w:space="0" w:color="auto"/>
            </w:tcBorders>
            <w:shd w:val="clear" w:color="auto" w:fill="auto"/>
            <w:noWrap/>
            <w:vAlign w:val="bottom"/>
            <w:hideMark/>
          </w:tcPr>
          <w:p w14:paraId="72B354C8" w14:textId="77777777" w:rsidR="00BB3061" w:rsidRPr="00A52AEE" w:rsidRDefault="00BB3061" w:rsidP="00FE68E8">
            <w:pPr>
              <w:jc w:val="right"/>
              <w:rPr>
                <w:lang w:eastAsia="en-GB"/>
              </w:rPr>
            </w:pPr>
            <w:r w:rsidRPr="00A52AEE">
              <w:rPr>
                <w:lang w:eastAsia="en-GB"/>
              </w:rPr>
              <w:t>7%</w:t>
            </w:r>
          </w:p>
        </w:tc>
        <w:tc>
          <w:tcPr>
            <w:tcW w:w="460" w:type="pct"/>
            <w:tcBorders>
              <w:top w:val="nil"/>
              <w:left w:val="nil"/>
              <w:bottom w:val="single" w:sz="4" w:space="0" w:color="auto"/>
              <w:right w:val="single" w:sz="4" w:space="0" w:color="auto"/>
            </w:tcBorders>
            <w:shd w:val="clear" w:color="auto" w:fill="auto"/>
            <w:noWrap/>
            <w:vAlign w:val="bottom"/>
            <w:hideMark/>
          </w:tcPr>
          <w:p w14:paraId="64C85E96" w14:textId="77777777" w:rsidR="00BB3061" w:rsidRPr="00A52AEE" w:rsidRDefault="00BB3061" w:rsidP="00FE68E8">
            <w:pPr>
              <w:jc w:val="right"/>
              <w:rPr>
                <w:lang w:eastAsia="en-GB"/>
              </w:rPr>
            </w:pPr>
            <w:r w:rsidRPr="00A52AEE">
              <w:rPr>
                <w:lang w:eastAsia="en-GB"/>
              </w:rPr>
              <w:t>1%</w:t>
            </w:r>
          </w:p>
        </w:tc>
        <w:tc>
          <w:tcPr>
            <w:tcW w:w="954" w:type="pct"/>
            <w:tcBorders>
              <w:top w:val="nil"/>
              <w:left w:val="nil"/>
              <w:bottom w:val="single" w:sz="4" w:space="0" w:color="auto"/>
              <w:right w:val="single" w:sz="4" w:space="0" w:color="auto"/>
            </w:tcBorders>
            <w:shd w:val="clear" w:color="auto" w:fill="auto"/>
            <w:noWrap/>
            <w:vAlign w:val="bottom"/>
            <w:hideMark/>
          </w:tcPr>
          <w:p w14:paraId="75E189EA" w14:textId="77777777" w:rsidR="00BB3061" w:rsidRPr="00A52AEE" w:rsidRDefault="00BB3061" w:rsidP="00FE68E8">
            <w:pPr>
              <w:jc w:val="right"/>
              <w:rPr>
                <w:lang w:eastAsia="en-GB"/>
              </w:rPr>
            </w:pPr>
            <w:r w:rsidRPr="00A52AEE">
              <w:rPr>
                <w:lang w:eastAsia="en-GB"/>
              </w:rPr>
              <w:t>0%</w:t>
            </w:r>
          </w:p>
        </w:tc>
      </w:tr>
      <w:tr w:rsidR="00BB3061" w:rsidRPr="00A52AEE" w14:paraId="6441A223"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62CF6405" w14:textId="77777777" w:rsidR="00BB3061" w:rsidRPr="00A52AEE" w:rsidRDefault="00BB3061" w:rsidP="00A52AEE">
            <w:pPr>
              <w:rPr>
                <w:lang w:eastAsia="en-GB"/>
              </w:rPr>
            </w:pPr>
            <w:r w:rsidRPr="00A52AEE">
              <w:rPr>
                <w:lang w:eastAsia="en-GB"/>
              </w:rPr>
              <w:t>Bromley</w:t>
            </w:r>
          </w:p>
        </w:tc>
        <w:tc>
          <w:tcPr>
            <w:tcW w:w="906" w:type="pct"/>
            <w:tcBorders>
              <w:top w:val="nil"/>
              <w:left w:val="nil"/>
              <w:bottom w:val="single" w:sz="4" w:space="0" w:color="auto"/>
              <w:right w:val="single" w:sz="4" w:space="0" w:color="auto"/>
            </w:tcBorders>
            <w:shd w:val="clear" w:color="auto" w:fill="auto"/>
            <w:noWrap/>
            <w:vAlign w:val="bottom"/>
            <w:hideMark/>
          </w:tcPr>
          <w:p w14:paraId="493CF12D" w14:textId="77777777" w:rsidR="00BB3061" w:rsidRPr="00A52AEE" w:rsidRDefault="00BB3061" w:rsidP="00FE68E8">
            <w:pPr>
              <w:jc w:val="right"/>
              <w:rPr>
                <w:lang w:eastAsia="en-GB"/>
              </w:rPr>
            </w:pPr>
            <w:r w:rsidRPr="00A52AEE">
              <w:rPr>
                <w:lang w:eastAsia="en-GB"/>
              </w:rPr>
              <w:t>23%</w:t>
            </w:r>
          </w:p>
        </w:tc>
        <w:tc>
          <w:tcPr>
            <w:tcW w:w="690" w:type="pct"/>
            <w:tcBorders>
              <w:top w:val="nil"/>
              <w:left w:val="nil"/>
              <w:bottom w:val="single" w:sz="4" w:space="0" w:color="auto"/>
              <w:right w:val="single" w:sz="4" w:space="0" w:color="auto"/>
            </w:tcBorders>
            <w:shd w:val="clear" w:color="auto" w:fill="auto"/>
            <w:noWrap/>
            <w:vAlign w:val="bottom"/>
            <w:hideMark/>
          </w:tcPr>
          <w:p w14:paraId="41FD31A0" w14:textId="77777777" w:rsidR="00BB3061" w:rsidRPr="00A52AEE" w:rsidRDefault="00BB3061" w:rsidP="00FE68E8">
            <w:pPr>
              <w:jc w:val="right"/>
              <w:rPr>
                <w:lang w:eastAsia="en-GB"/>
              </w:rPr>
            </w:pPr>
            <w:r w:rsidRPr="00A52AEE">
              <w:rPr>
                <w:lang w:eastAsia="en-GB"/>
              </w:rPr>
              <w:t>16%</w:t>
            </w:r>
          </w:p>
        </w:tc>
        <w:tc>
          <w:tcPr>
            <w:tcW w:w="614" w:type="pct"/>
            <w:tcBorders>
              <w:top w:val="nil"/>
              <w:left w:val="nil"/>
              <w:bottom w:val="single" w:sz="4" w:space="0" w:color="auto"/>
              <w:right w:val="single" w:sz="4" w:space="0" w:color="auto"/>
            </w:tcBorders>
            <w:shd w:val="clear" w:color="auto" w:fill="auto"/>
            <w:noWrap/>
            <w:vAlign w:val="bottom"/>
            <w:hideMark/>
          </w:tcPr>
          <w:p w14:paraId="29659EA5" w14:textId="77777777" w:rsidR="00BB3061" w:rsidRPr="00A52AEE" w:rsidRDefault="00BB3061" w:rsidP="00FE68E8">
            <w:pPr>
              <w:jc w:val="right"/>
              <w:rPr>
                <w:lang w:eastAsia="en-GB"/>
              </w:rPr>
            </w:pPr>
            <w:r w:rsidRPr="00A52AEE">
              <w:rPr>
                <w:lang w:eastAsia="en-GB"/>
              </w:rPr>
              <w:t>19%</w:t>
            </w:r>
          </w:p>
        </w:tc>
        <w:tc>
          <w:tcPr>
            <w:tcW w:w="460" w:type="pct"/>
            <w:tcBorders>
              <w:top w:val="nil"/>
              <w:left w:val="nil"/>
              <w:bottom w:val="single" w:sz="4" w:space="0" w:color="auto"/>
              <w:right w:val="single" w:sz="4" w:space="0" w:color="auto"/>
            </w:tcBorders>
            <w:shd w:val="clear" w:color="auto" w:fill="auto"/>
            <w:noWrap/>
            <w:vAlign w:val="bottom"/>
            <w:hideMark/>
          </w:tcPr>
          <w:p w14:paraId="3A83D969" w14:textId="77777777" w:rsidR="00BB3061" w:rsidRPr="00A52AEE" w:rsidRDefault="00BB3061" w:rsidP="00FE68E8">
            <w:pPr>
              <w:jc w:val="right"/>
              <w:rPr>
                <w:lang w:eastAsia="en-GB"/>
              </w:rPr>
            </w:pPr>
            <w:r w:rsidRPr="00A52AEE">
              <w:rPr>
                <w:lang w:eastAsia="en-GB"/>
              </w:rPr>
              <w:t>24%</w:t>
            </w:r>
          </w:p>
        </w:tc>
        <w:tc>
          <w:tcPr>
            <w:tcW w:w="954" w:type="pct"/>
            <w:tcBorders>
              <w:top w:val="nil"/>
              <w:left w:val="nil"/>
              <w:bottom w:val="single" w:sz="4" w:space="0" w:color="auto"/>
              <w:right w:val="single" w:sz="4" w:space="0" w:color="auto"/>
            </w:tcBorders>
            <w:shd w:val="clear" w:color="auto" w:fill="auto"/>
            <w:noWrap/>
            <w:vAlign w:val="bottom"/>
            <w:hideMark/>
          </w:tcPr>
          <w:p w14:paraId="6F387732" w14:textId="77777777" w:rsidR="00BB3061" w:rsidRPr="00A52AEE" w:rsidRDefault="00BB3061" w:rsidP="00FE68E8">
            <w:pPr>
              <w:jc w:val="right"/>
              <w:rPr>
                <w:lang w:eastAsia="en-GB"/>
              </w:rPr>
            </w:pPr>
            <w:r w:rsidRPr="00A52AEE">
              <w:rPr>
                <w:lang w:eastAsia="en-GB"/>
              </w:rPr>
              <w:t>17%</w:t>
            </w:r>
          </w:p>
        </w:tc>
      </w:tr>
      <w:tr w:rsidR="00BB3061" w:rsidRPr="00A52AEE" w14:paraId="2EA1BE1C"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4F604FC" w14:textId="77777777" w:rsidR="00BB3061" w:rsidRPr="00A52AEE" w:rsidRDefault="00BB3061" w:rsidP="00A52AEE">
            <w:pPr>
              <w:rPr>
                <w:lang w:eastAsia="en-GB"/>
              </w:rPr>
            </w:pPr>
            <w:r w:rsidRPr="00A52AEE">
              <w:rPr>
                <w:lang w:eastAsia="en-GB"/>
              </w:rPr>
              <w:t>Camden</w:t>
            </w:r>
          </w:p>
        </w:tc>
        <w:tc>
          <w:tcPr>
            <w:tcW w:w="906" w:type="pct"/>
            <w:tcBorders>
              <w:top w:val="nil"/>
              <w:left w:val="nil"/>
              <w:bottom w:val="single" w:sz="4" w:space="0" w:color="auto"/>
              <w:right w:val="single" w:sz="4" w:space="0" w:color="auto"/>
            </w:tcBorders>
            <w:shd w:val="clear" w:color="auto" w:fill="auto"/>
            <w:noWrap/>
            <w:vAlign w:val="bottom"/>
            <w:hideMark/>
          </w:tcPr>
          <w:p w14:paraId="2D2A2372" w14:textId="77777777" w:rsidR="00BB3061" w:rsidRPr="00A52AEE" w:rsidRDefault="00BB3061" w:rsidP="00FE68E8">
            <w:pPr>
              <w:jc w:val="right"/>
              <w:rPr>
                <w:lang w:eastAsia="en-GB"/>
              </w:rPr>
            </w:pPr>
            <w:r w:rsidRPr="00A52AEE">
              <w:rPr>
                <w:lang w:eastAsia="en-GB"/>
              </w:rPr>
              <w:t>72%</w:t>
            </w:r>
          </w:p>
        </w:tc>
        <w:tc>
          <w:tcPr>
            <w:tcW w:w="690" w:type="pct"/>
            <w:tcBorders>
              <w:top w:val="nil"/>
              <w:left w:val="nil"/>
              <w:bottom w:val="single" w:sz="4" w:space="0" w:color="auto"/>
              <w:right w:val="single" w:sz="4" w:space="0" w:color="auto"/>
            </w:tcBorders>
            <w:shd w:val="clear" w:color="auto" w:fill="auto"/>
            <w:noWrap/>
            <w:vAlign w:val="bottom"/>
            <w:hideMark/>
          </w:tcPr>
          <w:p w14:paraId="449E9578" w14:textId="77777777" w:rsidR="00BB3061" w:rsidRPr="00A52AEE" w:rsidRDefault="00BB3061" w:rsidP="00FE68E8">
            <w:pPr>
              <w:jc w:val="right"/>
              <w:rPr>
                <w:lang w:eastAsia="en-GB"/>
              </w:rPr>
            </w:pPr>
            <w:r w:rsidRPr="00A52AEE">
              <w:rPr>
                <w:lang w:eastAsia="en-GB"/>
              </w:rPr>
              <w:t>16%</w:t>
            </w:r>
          </w:p>
        </w:tc>
        <w:tc>
          <w:tcPr>
            <w:tcW w:w="614" w:type="pct"/>
            <w:tcBorders>
              <w:top w:val="nil"/>
              <w:left w:val="nil"/>
              <w:bottom w:val="single" w:sz="4" w:space="0" w:color="auto"/>
              <w:right w:val="single" w:sz="4" w:space="0" w:color="auto"/>
            </w:tcBorders>
            <w:shd w:val="clear" w:color="auto" w:fill="auto"/>
            <w:noWrap/>
            <w:vAlign w:val="bottom"/>
            <w:hideMark/>
          </w:tcPr>
          <w:p w14:paraId="12D8FA42" w14:textId="77777777" w:rsidR="00BB3061" w:rsidRPr="00A52AEE" w:rsidRDefault="00BB3061" w:rsidP="00FE68E8">
            <w:pPr>
              <w:jc w:val="right"/>
              <w:rPr>
                <w:lang w:eastAsia="en-GB"/>
              </w:rPr>
            </w:pPr>
            <w:r w:rsidRPr="00A52AEE">
              <w:rPr>
                <w:lang w:eastAsia="en-GB"/>
              </w:rPr>
              <w:t>7%</w:t>
            </w:r>
          </w:p>
        </w:tc>
        <w:tc>
          <w:tcPr>
            <w:tcW w:w="460" w:type="pct"/>
            <w:tcBorders>
              <w:top w:val="nil"/>
              <w:left w:val="nil"/>
              <w:bottom w:val="single" w:sz="4" w:space="0" w:color="auto"/>
              <w:right w:val="single" w:sz="4" w:space="0" w:color="auto"/>
            </w:tcBorders>
            <w:shd w:val="clear" w:color="auto" w:fill="auto"/>
            <w:noWrap/>
            <w:vAlign w:val="bottom"/>
            <w:hideMark/>
          </w:tcPr>
          <w:p w14:paraId="29056B67" w14:textId="77777777" w:rsidR="00BB3061" w:rsidRPr="00A52AEE" w:rsidRDefault="00BB3061" w:rsidP="00FE68E8">
            <w:pPr>
              <w:jc w:val="right"/>
              <w:rPr>
                <w:lang w:eastAsia="en-GB"/>
              </w:rPr>
            </w:pPr>
            <w:r w:rsidRPr="00A52AEE">
              <w:rPr>
                <w:lang w:eastAsia="en-GB"/>
              </w:rPr>
              <w:t>3%</w:t>
            </w:r>
          </w:p>
        </w:tc>
        <w:tc>
          <w:tcPr>
            <w:tcW w:w="954" w:type="pct"/>
            <w:tcBorders>
              <w:top w:val="nil"/>
              <w:left w:val="nil"/>
              <w:bottom w:val="single" w:sz="4" w:space="0" w:color="auto"/>
              <w:right w:val="single" w:sz="4" w:space="0" w:color="auto"/>
            </w:tcBorders>
            <w:shd w:val="clear" w:color="auto" w:fill="auto"/>
            <w:noWrap/>
            <w:vAlign w:val="bottom"/>
            <w:hideMark/>
          </w:tcPr>
          <w:p w14:paraId="4FF61573" w14:textId="77777777" w:rsidR="00BB3061" w:rsidRPr="00A52AEE" w:rsidRDefault="00BB3061" w:rsidP="00FE68E8">
            <w:pPr>
              <w:jc w:val="right"/>
              <w:rPr>
                <w:lang w:eastAsia="en-GB"/>
              </w:rPr>
            </w:pPr>
            <w:r w:rsidRPr="00A52AEE">
              <w:rPr>
                <w:lang w:eastAsia="en-GB"/>
              </w:rPr>
              <w:t>3%</w:t>
            </w:r>
          </w:p>
        </w:tc>
      </w:tr>
      <w:tr w:rsidR="00BB3061" w:rsidRPr="00A52AEE" w14:paraId="03AE76AE"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0E071024" w14:textId="77777777" w:rsidR="00BB3061" w:rsidRPr="00A52AEE" w:rsidRDefault="00BB3061" w:rsidP="00A52AEE">
            <w:pPr>
              <w:rPr>
                <w:lang w:eastAsia="en-GB"/>
              </w:rPr>
            </w:pPr>
            <w:r w:rsidRPr="00A52AEE">
              <w:rPr>
                <w:lang w:eastAsia="en-GB"/>
              </w:rPr>
              <w:t>City of London</w:t>
            </w:r>
          </w:p>
        </w:tc>
        <w:tc>
          <w:tcPr>
            <w:tcW w:w="906" w:type="pct"/>
            <w:tcBorders>
              <w:top w:val="nil"/>
              <w:left w:val="nil"/>
              <w:bottom w:val="single" w:sz="4" w:space="0" w:color="auto"/>
              <w:right w:val="single" w:sz="4" w:space="0" w:color="auto"/>
            </w:tcBorders>
            <w:shd w:val="clear" w:color="auto" w:fill="auto"/>
            <w:noWrap/>
            <w:vAlign w:val="bottom"/>
            <w:hideMark/>
          </w:tcPr>
          <w:p w14:paraId="4002F1FF" w14:textId="77777777" w:rsidR="00BB3061" w:rsidRPr="00A52AEE" w:rsidRDefault="00BB3061" w:rsidP="00FE68E8">
            <w:pPr>
              <w:jc w:val="right"/>
              <w:rPr>
                <w:lang w:eastAsia="en-GB"/>
              </w:rPr>
            </w:pPr>
            <w:r w:rsidRPr="00A52AEE">
              <w:rPr>
                <w:lang w:eastAsia="en-GB"/>
              </w:rPr>
              <w:t>0%</w:t>
            </w:r>
          </w:p>
        </w:tc>
        <w:tc>
          <w:tcPr>
            <w:tcW w:w="690" w:type="pct"/>
            <w:tcBorders>
              <w:top w:val="nil"/>
              <w:left w:val="nil"/>
              <w:bottom w:val="single" w:sz="4" w:space="0" w:color="auto"/>
              <w:right w:val="single" w:sz="4" w:space="0" w:color="auto"/>
            </w:tcBorders>
            <w:shd w:val="clear" w:color="auto" w:fill="auto"/>
            <w:noWrap/>
            <w:vAlign w:val="bottom"/>
            <w:hideMark/>
          </w:tcPr>
          <w:p w14:paraId="4C0A90F6" w14:textId="77777777" w:rsidR="00BB3061" w:rsidRPr="00A52AEE" w:rsidRDefault="00BB3061" w:rsidP="00FE68E8">
            <w:pPr>
              <w:jc w:val="right"/>
              <w:rPr>
                <w:lang w:eastAsia="en-GB"/>
              </w:rPr>
            </w:pPr>
            <w:r w:rsidRPr="00A52AEE">
              <w:rPr>
                <w:lang w:eastAsia="en-GB"/>
              </w:rPr>
              <w:t>30%</w:t>
            </w:r>
          </w:p>
        </w:tc>
        <w:tc>
          <w:tcPr>
            <w:tcW w:w="614" w:type="pct"/>
            <w:tcBorders>
              <w:top w:val="nil"/>
              <w:left w:val="nil"/>
              <w:bottom w:val="single" w:sz="4" w:space="0" w:color="auto"/>
              <w:right w:val="single" w:sz="4" w:space="0" w:color="auto"/>
            </w:tcBorders>
            <w:shd w:val="clear" w:color="auto" w:fill="auto"/>
            <w:noWrap/>
            <w:vAlign w:val="bottom"/>
            <w:hideMark/>
          </w:tcPr>
          <w:p w14:paraId="4C681897" w14:textId="77777777" w:rsidR="00BB3061" w:rsidRPr="00A52AEE" w:rsidRDefault="00BB3061" w:rsidP="00FE68E8">
            <w:pPr>
              <w:jc w:val="right"/>
              <w:rPr>
                <w:lang w:eastAsia="en-GB"/>
              </w:rPr>
            </w:pPr>
            <w:r w:rsidRPr="00A52AEE">
              <w:rPr>
                <w:lang w:eastAsia="en-GB"/>
              </w:rPr>
              <w:t>26%</w:t>
            </w:r>
          </w:p>
        </w:tc>
        <w:tc>
          <w:tcPr>
            <w:tcW w:w="460" w:type="pct"/>
            <w:tcBorders>
              <w:top w:val="nil"/>
              <w:left w:val="nil"/>
              <w:bottom w:val="single" w:sz="4" w:space="0" w:color="auto"/>
              <w:right w:val="single" w:sz="4" w:space="0" w:color="auto"/>
            </w:tcBorders>
            <w:shd w:val="clear" w:color="auto" w:fill="auto"/>
            <w:noWrap/>
            <w:vAlign w:val="bottom"/>
            <w:hideMark/>
          </w:tcPr>
          <w:p w14:paraId="50842FEC"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7A2F4D1E" w14:textId="77777777" w:rsidR="00BB3061" w:rsidRPr="00A52AEE" w:rsidRDefault="00BB3061" w:rsidP="00FE68E8">
            <w:pPr>
              <w:jc w:val="right"/>
              <w:rPr>
                <w:lang w:eastAsia="en-GB"/>
              </w:rPr>
            </w:pPr>
            <w:r w:rsidRPr="00A52AEE">
              <w:rPr>
                <w:lang w:eastAsia="en-GB"/>
              </w:rPr>
              <w:t>43%</w:t>
            </w:r>
          </w:p>
        </w:tc>
      </w:tr>
      <w:tr w:rsidR="00BB3061" w:rsidRPr="00A52AEE" w14:paraId="26728834"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570BB193" w14:textId="77777777" w:rsidR="00BB3061" w:rsidRPr="00A52AEE" w:rsidRDefault="00BB3061" w:rsidP="00A52AEE">
            <w:pPr>
              <w:rPr>
                <w:lang w:eastAsia="en-GB"/>
              </w:rPr>
            </w:pPr>
            <w:r w:rsidRPr="00A52AEE">
              <w:rPr>
                <w:lang w:eastAsia="en-GB"/>
              </w:rPr>
              <w:t>Croydon</w:t>
            </w:r>
          </w:p>
        </w:tc>
        <w:tc>
          <w:tcPr>
            <w:tcW w:w="906" w:type="pct"/>
            <w:tcBorders>
              <w:top w:val="nil"/>
              <w:left w:val="nil"/>
              <w:bottom w:val="single" w:sz="4" w:space="0" w:color="auto"/>
              <w:right w:val="single" w:sz="4" w:space="0" w:color="auto"/>
            </w:tcBorders>
            <w:shd w:val="clear" w:color="auto" w:fill="auto"/>
            <w:noWrap/>
            <w:vAlign w:val="bottom"/>
            <w:hideMark/>
          </w:tcPr>
          <w:p w14:paraId="76A82F5D" w14:textId="77777777" w:rsidR="00BB3061" w:rsidRPr="00A52AEE" w:rsidRDefault="00BB3061" w:rsidP="00FE68E8">
            <w:pPr>
              <w:jc w:val="right"/>
              <w:rPr>
                <w:lang w:eastAsia="en-GB"/>
              </w:rPr>
            </w:pPr>
            <w:r w:rsidRPr="00A52AEE">
              <w:rPr>
                <w:lang w:eastAsia="en-GB"/>
              </w:rPr>
              <w:t>38%</w:t>
            </w:r>
          </w:p>
        </w:tc>
        <w:tc>
          <w:tcPr>
            <w:tcW w:w="690" w:type="pct"/>
            <w:tcBorders>
              <w:top w:val="nil"/>
              <w:left w:val="nil"/>
              <w:bottom w:val="single" w:sz="4" w:space="0" w:color="auto"/>
              <w:right w:val="single" w:sz="4" w:space="0" w:color="auto"/>
            </w:tcBorders>
            <w:shd w:val="clear" w:color="auto" w:fill="auto"/>
            <w:noWrap/>
            <w:vAlign w:val="bottom"/>
            <w:hideMark/>
          </w:tcPr>
          <w:p w14:paraId="2D2DF042" w14:textId="77777777" w:rsidR="00BB3061" w:rsidRPr="00A52AEE" w:rsidRDefault="00BB3061" w:rsidP="00FE68E8">
            <w:pPr>
              <w:jc w:val="right"/>
              <w:rPr>
                <w:lang w:eastAsia="en-GB"/>
              </w:rPr>
            </w:pPr>
            <w:r w:rsidRPr="00A52AEE">
              <w:rPr>
                <w:lang w:eastAsia="en-GB"/>
              </w:rPr>
              <w:t>39%</w:t>
            </w:r>
          </w:p>
        </w:tc>
        <w:tc>
          <w:tcPr>
            <w:tcW w:w="614" w:type="pct"/>
            <w:tcBorders>
              <w:top w:val="nil"/>
              <w:left w:val="nil"/>
              <w:bottom w:val="single" w:sz="4" w:space="0" w:color="auto"/>
              <w:right w:val="single" w:sz="4" w:space="0" w:color="auto"/>
            </w:tcBorders>
            <w:shd w:val="clear" w:color="auto" w:fill="auto"/>
            <w:noWrap/>
            <w:vAlign w:val="bottom"/>
            <w:hideMark/>
          </w:tcPr>
          <w:p w14:paraId="5666D5FD" w14:textId="77777777" w:rsidR="00BB3061" w:rsidRPr="00A52AEE" w:rsidRDefault="00BB3061" w:rsidP="00FE68E8">
            <w:pPr>
              <w:jc w:val="right"/>
              <w:rPr>
                <w:lang w:eastAsia="en-GB"/>
              </w:rPr>
            </w:pPr>
            <w:r w:rsidRPr="00A52AEE">
              <w:rPr>
                <w:lang w:eastAsia="en-GB"/>
              </w:rPr>
              <w:t>12%</w:t>
            </w:r>
          </w:p>
        </w:tc>
        <w:tc>
          <w:tcPr>
            <w:tcW w:w="460" w:type="pct"/>
            <w:tcBorders>
              <w:top w:val="nil"/>
              <w:left w:val="nil"/>
              <w:bottom w:val="single" w:sz="4" w:space="0" w:color="auto"/>
              <w:right w:val="single" w:sz="4" w:space="0" w:color="auto"/>
            </w:tcBorders>
            <w:shd w:val="clear" w:color="auto" w:fill="auto"/>
            <w:noWrap/>
            <w:vAlign w:val="bottom"/>
            <w:hideMark/>
          </w:tcPr>
          <w:p w14:paraId="422C25B9" w14:textId="77777777" w:rsidR="00BB3061" w:rsidRPr="00A52AEE" w:rsidRDefault="00BB3061" w:rsidP="00FE68E8">
            <w:pPr>
              <w:jc w:val="right"/>
              <w:rPr>
                <w:lang w:eastAsia="en-GB"/>
              </w:rPr>
            </w:pPr>
            <w:r w:rsidRPr="00A52AEE">
              <w:rPr>
                <w:lang w:eastAsia="en-GB"/>
              </w:rPr>
              <w:t>6%</w:t>
            </w:r>
          </w:p>
        </w:tc>
        <w:tc>
          <w:tcPr>
            <w:tcW w:w="954" w:type="pct"/>
            <w:tcBorders>
              <w:top w:val="nil"/>
              <w:left w:val="nil"/>
              <w:bottom w:val="single" w:sz="4" w:space="0" w:color="auto"/>
              <w:right w:val="single" w:sz="4" w:space="0" w:color="auto"/>
            </w:tcBorders>
            <w:shd w:val="clear" w:color="auto" w:fill="auto"/>
            <w:noWrap/>
            <w:vAlign w:val="bottom"/>
            <w:hideMark/>
          </w:tcPr>
          <w:p w14:paraId="32B009BE" w14:textId="77777777" w:rsidR="00BB3061" w:rsidRPr="00A52AEE" w:rsidRDefault="00BB3061" w:rsidP="00FE68E8">
            <w:pPr>
              <w:jc w:val="right"/>
              <w:rPr>
                <w:lang w:eastAsia="en-GB"/>
              </w:rPr>
            </w:pPr>
            <w:r w:rsidRPr="00A52AEE">
              <w:rPr>
                <w:lang w:eastAsia="en-GB"/>
              </w:rPr>
              <w:t>4%</w:t>
            </w:r>
          </w:p>
        </w:tc>
      </w:tr>
      <w:tr w:rsidR="00BB3061" w:rsidRPr="00A52AEE" w14:paraId="46747C63"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2E005FD" w14:textId="77777777" w:rsidR="00BB3061" w:rsidRPr="00A52AEE" w:rsidRDefault="00BB3061" w:rsidP="00A52AEE">
            <w:pPr>
              <w:rPr>
                <w:lang w:eastAsia="en-GB"/>
              </w:rPr>
            </w:pPr>
            <w:r w:rsidRPr="00A52AEE">
              <w:rPr>
                <w:lang w:eastAsia="en-GB"/>
              </w:rPr>
              <w:t>Ealing</w:t>
            </w:r>
          </w:p>
        </w:tc>
        <w:tc>
          <w:tcPr>
            <w:tcW w:w="906" w:type="pct"/>
            <w:tcBorders>
              <w:top w:val="nil"/>
              <w:left w:val="nil"/>
              <w:bottom w:val="single" w:sz="4" w:space="0" w:color="auto"/>
              <w:right w:val="single" w:sz="4" w:space="0" w:color="auto"/>
            </w:tcBorders>
            <w:shd w:val="clear" w:color="auto" w:fill="auto"/>
            <w:noWrap/>
            <w:vAlign w:val="bottom"/>
            <w:hideMark/>
          </w:tcPr>
          <w:p w14:paraId="37527F3F" w14:textId="77777777" w:rsidR="00BB3061" w:rsidRPr="00A52AEE" w:rsidRDefault="00BB3061" w:rsidP="00FE68E8">
            <w:pPr>
              <w:jc w:val="right"/>
              <w:rPr>
                <w:lang w:eastAsia="en-GB"/>
              </w:rPr>
            </w:pPr>
            <w:r w:rsidRPr="00A52AEE">
              <w:rPr>
                <w:lang w:eastAsia="en-GB"/>
              </w:rPr>
              <w:t>48%</w:t>
            </w:r>
          </w:p>
        </w:tc>
        <w:tc>
          <w:tcPr>
            <w:tcW w:w="690" w:type="pct"/>
            <w:tcBorders>
              <w:top w:val="nil"/>
              <w:left w:val="nil"/>
              <w:bottom w:val="single" w:sz="4" w:space="0" w:color="auto"/>
              <w:right w:val="single" w:sz="4" w:space="0" w:color="auto"/>
            </w:tcBorders>
            <w:shd w:val="clear" w:color="auto" w:fill="auto"/>
            <w:noWrap/>
            <w:vAlign w:val="bottom"/>
            <w:hideMark/>
          </w:tcPr>
          <w:p w14:paraId="72E86089" w14:textId="77777777" w:rsidR="00BB3061" w:rsidRPr="00A52AEE" w:rsidRDefault="00BB3061" w:rsidP="00FE68E8">
            <w:pPr>
              <w:jc w:val="right"/>
              <w:rPr>
                <w:lang w:eastAsia="en-GB"/>
              </w:rPr>
            </w:pPr>
            <w:r w:rsidRPr="00A52AEE">
              <w:rPr>
                <w:lang w:eastAsia="en-GB"/>
              </w:rPr>
              <w:t>29%</w:t>
            </w:r>
          </w:p>
        </w:tc>
        <w:tc>
          <w:tcPr>
            <w:tcW w:w="614" w:type="pct"/>
            <w:tcBorders>
              <w:top w:val="nil"/>
              <w:left w:val="nil"/>
              <w:bottom w:val="single" w:sz="4" w:space="0" w:color="auto"/>
              <w:right w:val="single" w:sz="4" w:space="0" w:color="auto"/>
            </w:tcBorders>
            <w:shd w:val="clear" w:color="auto" w:fill="auto"/>
            <w:noWrap/>
            <w:vAlign w:val="bottom"/>
            <w:hideMark/>
          </w:tcPr>
          <w:p w14:paraId="57CC6101" w14:textId="77777777" w:rsidR="00BB3061" w:rsidRPr="00A52AEE" w:rsidRDefault="00BB3061" w:rsidP="00FE68E8">
            <w:pPr>
              <w:jc w:val="right"/>
              <w:rPr>
                <w:lang w:eastAsia="en-GB"/>
              </w:rPr>
            </w:pPr>
            <w:r w:rsidRPr="00A52AEE">
              <w:rPr>
                <w:lang w:eastAsia="en-GB"/>
              </w:rPr>
              <w:t>14%</w:t>
            </w:r>
          </w:p>
        </w:tc>
        <w:tc>
          <w:tcPr>
            <w:tcW w:w="460" w:type="pct"/>
            <w:tcBorders>
              <w:top w:val="nil"/>
              <w:left w:val="nil"/>
              <w:bottom w:val="single" w:sz="4" w:space="0" w:color="auto"/>
              <w:right w:val="single" w:sz="4" w:space="0" w:color="auto"/>
            </w:tcBorders>
            <w:shd w:val="clear" w:color="auto" w:fill="auto"/>
            <w:noWrap/>
            <w:vAlign w:val="bottom"/>
            <w:hideMark/>
          </w:tcPr>
          <w:p w14:paraId="56B2394E" w14:textId="77777777" w:rsidR="00BB3061" w:rsidRPr="00A52AEE" w:rsidRDefault="00BB3061" w:rsidP="00FE68E8">
            <w:pPr>
              <w:jc w:val="right"/>
              <w:rPr>
                <w:lang w:eastAsia="en-GB"/>
              </w:rPr>
            </w:pPr>
            <w:r w:rsidRPr="00A52AEE">
              <w:rPr>
                <w:lang w:eastAsia="en-GB"/>
              </w:rPr>
              <w:t>4%</w:t>
            </w:r>
          </w:p>
        </w:tc>
        <w:tc>
          <w:tcPr>
            <w:tcW w:w="954" w:type="pct"/>
            <w:tcBorders>
              <w:top w:val="nil"/>
              <w:left w:val="nil"/>
              <w:bottom w:val="single" w:sz="4" w:space="0" w:color="auto"/>
              <w:right w:val="single" w:sz="4" w:space="0" w:color="auto"/>
            </w:tcBorders>
            <w:shd w:val="clear" w:color="auto" w:fill="auto"/>
            <w:noWrap/>
            <w:vAlign w:val="bottom"/>
            <w:hideMark/>
          </w:tcPr>
          <w:p w14:paraId="0E4D4C4A" w14:textId="77777777" w:rsidR="00BB3061" w:rsidRPr="00A52AEE" w:rsidRDefault="00BB3061" w:rsidP="00FE68E8">
            <w:pPr>
              <w:jc w:val="right"/>
              <w:rPr>
                <w:lang w:eastAsia="en-GB"/>
              </w:rPr>
            </w:pPr>
            <w:r w:rsidRPr="00A52AEE">
              <w:rPr>
                <w:lang w:eastAsia="en-GB"/>
              </w:rPr>
              <w:t>4%</w:t>
            </w:r>
          </w:p>
        </w:tc>
      </w:tr>
      <w:tr w:rsidR="00BB3061" w:rsidRPr="00A52AEE" w14:paraId="31B465B7"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DD4C312" w14:textId="77777777" w:rsidR="00BB3061" w:rsidRPr="00A52AEE" w:rsidRDefault="00BB3061" w:rsidP="00A52AEE">
            <w:pPr>
              <w:rPr>
                <w:lang w:eastAsia="en-GB"/>
              </w:rPr>
            </w:pPr>
            <w:r w:rsidRPr="00A52AEE">
              <w:rPr>
                <w:lang w:eastAsia="en-GB"/>
              </w:rPr>
              <w:t>Enfield</w:t>
            </w:r>
          </w:p>
        </w:tc>
        <w:tc>
          <w:tcPr>
            <w:tcW w:w="906" w:type="pct"/>
            <w:tcBorders>
              <w:top w:val="nil"/>
              <w:left w:val="nil"/>
              <w:bottom w:val="single" w:sz="4" w:space="0" w:color="auto"/>
              <w:right w:val="single" w:sz="4" w:space="0" w:color="auto"/>
            </w:tcBorders>
            <w:shd w:val="clear" w:color="auto" w:fill="auto"/>
            <w:noWrap/>
            <w:vAlign w:val="bottom"/>
            <w:hideMark/>
          </w:tcPr>
          <w:p w14:paraId="664C72F6" w14:textId="77777777" w:rsidR="00BB3061" w:rsidRPr="00A52AEE" w:rsidRDefault="00BB3061" w:rsidP="00FE68E8">
            <w:pPr>
              <w:jc w:val="right"/>
              <w:rPr>
                <w:lang w:eastAsia="en-GB"/>
              </w:rPr>
            </w:pPr>
            <w:r w:rsidRPr="00A52AEE">
              <w:rPr>
                <w:lang w:eastAsia="en-GB"/>
              </w:rPr>
              <w:t>66%</w:t>
            </w:r>
          </w:p>
        </w:tc>
        <w:tc>
          <w:tcPr>
            <w:tcW w:w="690" w:type="pct"/>
            <w:tcBorders>
              <w:top w:val="nil"/>
              <w:left w:val="nil"/>
              <w:bottom w:val="single" w:sz="4" w:space="0" w:color="auto"/>
              <w:right w:val="single" w:sz="4" w:space="0" w:color="auto"/>
            </w:tcBorders>
            <w:shd w:val="clear" w:color="auto" w:fill="auto"/>
            <w:noWrap/>
            <w:vAlign w:val="bottom"/>
            <w:hideMark/>
          </w:tcPr>
          <w:p w14:paraId="1DE33716" w14:textId="77777777" w:rsidR="00BB3061" w:rsidRPr="00A52AEE" w:rsidRDefault="00BB3061" w:rsidP="00FE68E8">
            <w:pPr>
              <w:jc w:val="right"/>
              <w:rPr>
                <w:lang w:eastAsia="en-GB"/>
              </w:rPr>
            </w:pPr>
            <w:r w:rsidRPr="00A52AEE">
              <w:rPr>
                <w:lang w:eastAsia="en-GB"/>
              </w:rPr>
              <w:t>16%</w:t>
            </w:r>
          </w:p>
        </w:tc>
        <w:tc>
          <w:tcPr>
            <w:tcW w:w="614" w:type="pct"/>
            <w:tcBorders>
              <w:top w:val="nil"/>
              <w:left w:val="nil"/>
              <w:bottom w:val="single" w:sz="4" w:space="0" w:color="auto"/>
              <w:right w:val="single" w:sz="4" w:space="0" w:color="auto"/>
            </w:tcBorders>
            <w:shd w:val="clear" w:color="auto" w:fill="auto"/>
            <w:noWrap/>
            <w:vAlign w:val="bottom"/>
            <w:hideMark/>
          </w:tcPr>
          <w:p w14:paraId="30C51A2A" w14:textId="77777777" w:rsidR="00BB3061" w:rsidRPr="00A52AEE" w:rsidRDefault="00BB3061" w:rsidP="00FE68E8">
            <w:pPr>
              <w:jc w:val="right"/>
              <w:rPr>
                <w:lang w:eastAsia="en-GB"/>
              </w:rPr>
            </w:pPr>
            <w:r w:rsidRPr="00A52AEE">
              <w:rPr>
                <w:lang w:eastAsia="en-GB"/>
              </w:rPr>
              <w:t>10%</w:t>
            </w:r>
          </w:p>
        </w:tc>
        <w:tc>
          <w:tcPr>
            <w:tcW w:w="460" w:type="pct"/>
            <w:tcBorders>
              <w:top w:val="nil"/>
              <w:left w:val="nil"/>
              <w:bottom w:val="single" w:sz="4" w:space="0" w:color="auto"/>
              <w:right w:val="single" w:sz="4" w:space="0" w:color="auto"/>
            </w:tcBorders>
            <w:shd w:val="clear" w:color="auto" w:fill="auto"/>
            <w:noWrap/>
            <w:vAlign w:val="bottom"/>
            <w:hideMark/>
          </w:tcPr>
          <w:p w14:paraId="14898890" w14:textId="77777777" w:rsidR="00BB3061" w:rsidRPr="00A52AEE" w:rsidRDefault="00BB3061" w:rsidP="00FE68E8">
            <w:pPr>
              <w:jc w:val="right"/>
              <w:rPr>
                <w:lang w:eastAsia="en-GB"/>
              </w:rPr>
            </w:pPr>
            <w:r w:rsidRPr="00A52AEE">
              <w:rPr>
                <w:lang w:eastAsia="en-GB"/>
              </w:rPr>
              <w:t>5%</w:t>
            </w:r>
          </w:p>
        </w:tc>
        <w:tc>
          <w:tcPr>
            <w:tcW w:w="954" w:type="pct"/>
            <w:tcBorders>
              <w:top w:val="nil"/>
              <w:left w:val="nil"/>
              <w:bottom w:val="single" w:sz="4" w:space="0" w:color="auto"/>
              <w:right w:val="single" w:sz="4" w:space="0" w:color="auto"/>
            </w:tcBorders>
            <w:shd w:val="clear" w:color="auto" w:fill="auto"/>
            <w:noWrap/>
            <w:vAlign w:val="bottom"/>
            <w:hideMark/>
          </w:tcPr>
          <w:p w14:paraId="7B48C4D7" w14:textId="77777777" w:rsidR="00BB3061" w:rsidRPr="00A52AEE" w:rsidRDefault="00BB3061" w:rsidP="00FE68E8">
            <w:pPr>
              <w:jc w:val="right"/>
              <w:rPr>
                <w:lang w:eastAsia="en-GB"/>
              </w:rPr>
            </w:pPr>
            <w:r w:rsidRPr="00A52AEE">
              <w:rPr>
                <w:lang w:eastAsia="en-GB"/>
              </w:rPr>
              <w:t>3%</w:t>
            </w:r>
          </w:p>
        </w:tc>
      </w:tr>
      <w:tr w:rsidR="00BB3061" w:rsidRPr="00A52AEE" w14:paraId="5544F9BA"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0AEEFD3" w14:textId="77777777" w:rsidR="00BB3061" w:rsidRPr="00A52AEE" w:rsidRDefault="00BB3061" w:rsidP="00A52AEE">
            <w:pPr>
              <w:rPr>
                <w:lang w:eastAsia="en-GB"/>
              </w:rPr>
            </w:pPr>
            <w:r w:rsidRPr="00A52AEE">
              <w:rPr>
                <w:lang w:eastAsia="en-GB"/>
              </w:rPr>
              <w:t>Greenwich</w:t>
            </w:r>
          </w:p>
        </w:tc>
        <w:tc>
          <w:tcPr>
            <w:tcW w:w="906" w:type="pct"/>
            <w:tcBorders>
              <w:top w:val="nil"/>
              <w:left w:val="nil"/>
              <w:bottom w:val="single" w:sz="4" w:space="0" w:color="auto"/>
              <w:right w:val="single" w:sz="4" w:space="0" w:color="auto"/>
            </w:tcBorders>
            <w:shd w:val="clear" w:color="auto" w:fill="auto"/>
            <w:noWrap/>
            <w:vAlign w:val="bottom"/>
            <w:hideMark/>
          </w:tcPr>
          <w:p w14:paraId="02336366" w14:textId="77777777" w:rsidR="00BB3061" w:rsidRPr="00A52AEE" w:rsidRDefault="00BB3061" w:rsidP="00FE68E8">
            <w:pPr>
              <w:jc w:val="right"/>
              <w:rPr>
                <w:lang w:eastAsia="en-GB"/>
              </w:rPr>
            </w:pPr>
            <w:r w:rsidRPr="00A52AEE">
              <w:rPr>
                <w:lang w:eastAsia="en-GB"/>
              </w:rPr>
              <w:t>59%</w:t>
            </w:r>
          </w:p>
        </w:tc>
        <w:tc>
          <w:tcPr>
            <w:tcW w:w="690" w:type="pct"/>
            <w:tcBorders>
              <w:top w:val="nil"/>
              <w:left w:val="nil"/>
              <w:bottom w:val="single" w:sz="4" w:space="0" w:color="auto"/>
              <w:right w:val="single" w:sz="4" w:space="0" w:color="auto"/>
            </w:tcBorders>
            <w:shd w:val="clear" w:color="auto" w:fill="auto"/>
            <w:noWrap/>
            <w:vAlign w:val="bottom"/>
            <w:hideMark/>
          </w:tcPr>
          <w:p w14:paraId="0878E958" w14:textId="77777777" w:rsidR="00BB3061" w:rsidRPr="00A52AEE" w:rsidRDefault="00BB3061" w:rsidP="00FE68E8">
            <w:pPr>
              <w:jc w:val="right"/>
              <w:rPr>
                <w:lang w:eastAsia="en-GB"/>
              </w:rPr>
            </w:pPr>
            <w:r w:rsidRPr="00A52AEE">
              <w:rPr>
                <w:lang w:eastAsia="en-GB"/>
              </w:rPr>
              <w:t>30%</w:t>
            </w:r>
          </w:p>
        </w:tc>
        <w:tc>
          <w:tcPr>
            <w:tcW w:w="614" w:type="pct"/>
            <w:tcBorders>
              <w:top w:val="nil"/>
              <w:left w:val="nil"/>
              <w:bottom w:val="single" w:sz="4" w:space="0" w:color="auto"/>
              <w:right w:val="single" w:sz="4" w:space="0" w:color="auto"/>
            </w:tcBorders>
            <w:shd w:val="clear" w:color="auto" w:fill="auto"/>
            <w:noWrap/>
            <w:vAlign w:val="bottom"/>
            <w:hideMark/>
          </w:tcPr>
          <w:p w14:paraId="219C8BAC" w14:textId="77777777" w:rsidR="00BB3061" w:rsidRPr="00A52AEE" w:rsidRDefault="00BB3061" w:rsidP="00FE68E8">
            <w:pPr>
              <w:jc w:val="right"/>
              <w:rPr>
                <w:lang w:eastAsia="en-GB"/>
              </w:rPr>
            </w:pPr>
            <w:r w:rsidRPr="00A52AEE">
              <w:rPr>
                <w:lang w:eastAsia="en-GB"/>
              </w:rPr>
              <w:t>7%</w:t>
            </w:r>
          </w:p>
        </w:tc>
        <w:tc>
          <w:tcPr>
            <w:tcW w:w="460" w:type="pct"/>
            <w:tcBorders>
              <w:top w:val="nil"/>
              <w:left w:val="nil"/>
              <w:bottom w:val="single" w:sz="4" w:space="0" w:color="auto"/>
              <w:right w:val="single" w:sz="4" w:space="0" w:color="auto"/>
            </w:tcBorders>
            <w:shd w:val="clear" w:color="auto" w:fill="auto"/>
            <w:noWrap/>
            <w:vAlign w:val="bottom"/>
            <w:hideMark/>
          </w:tcPr>
          <w:p w14:paraId="0DA70086" w14:textId="77777777" w:rsidR="00BB3061" w:rsidRPr="00A52AEE" w:rsidRDefault="00BB3061" w:rsidP="00FE68E8">
            <w:pPr>
              <w:jc w:val="right"/>
              <w:rPr>
                <w:lang w:eastAsia="en-GB"/>
              </w:rPr>
            </w:pPr>
            <w:r w:rsidRPr="00A52AEE">
              <w:rPr>
                <w:lang w:eastAsia="en-GB"/>
              </w:rPr>
              <w:t>4%</w:t>
            </w:r>
          </w:p>
        </w:tc>
        <w:tc>
          <w:tcPr>
            <w:tcW w:w="954" w:type="pct"/>
            <w:tcBorders>
              <w:top w:val="nil"/>
              <w:left w:val="nil"/>
              <w:bottom w:val="single" w:sz="4" w:space="0" w:color="auto"/>
              <w:right w:val="single" w:sz="4" w:space="0" w:color="auto"/>
            </w:tcBorders>
            <w:shd w:val="clear" w:color="auto" w:fill="auto"/>
            <w:noWrap/>
            <w:vAlign w:val="bottom"/>
            <w:hideMark/>
          </w:tcPr>
          <w:p w14:paraId="5ACBBE00" w14:textId="77777777" w:rsidR="00BB3061" w:rsidRPr="00A52AEE" w:rsidRDefault="00BB3061" w:rsidP="00FE68E8">
            <w:pPr>
              <w:jc w:val="right"/>
              <w:rPr>
                <w:lang w:eastAsia="en-GB"/>
              </w:rPr>
            </w:pPr>
            <w:r w:rsidRPr="00A52AEE">
              <w:rPr>
                <w:lang w:eastAsia="en-GB"/>
              </w:rPr>
              <w:t>0%</w:t>
            </w:r>
          </w:p>
        </w:tc>
      </w:tr>
      <w:tr w:rsidR="00BB3061" w:rsidRPr="00A52AEE" w14:paraId="3F5C240D"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522D3022" w14:textId="77777777" w:rsidR="00BB3061" w:rsidRPr="00A52AEE" w:rsidRDefault="00BB3061" w:rsidP="00A52AEE">
            <w:pPr>
              <w:rPr>
                <w:lang w:eastAsia="en-GB"/>
              </w:rPr>
            </w:pPr>
            <w:r w:rsidRPr="00A52AEE">
              <w:rPr>
                <w:lang w:eastAsia="en-GB"/>
              </w:rPr>
              <w:t>Hackney</w:t>
            </w:r>
          </w:p>
        </w:tc>
        <w:tc>
          <w:tcPr>
            <w:tcW w:w="906" w:type="pct"/>
            <w:tcBorders>
              <w:top w:val="nil"/>
              <w:left w:val="nil"/>
              <w:bottom w:val="single" w:sz="4" w:space="0" w:color="auto"/>
              <w:right w:val="single" w:sz="4" w:space="0" w:color="auto"/>
            </w:tcBorders>
            <w:shd w:val="clear" w:color="auto" w:fill="auto"/>
            <w:noWrap/>
            <w:vAlign w:val="bottom"/>
            <w:hideMark/>
          </w:tcPr>
          <w:p w14:paraId="2A9C60D8" w14:textId="77777777" w:rsidR="00BB3061" w:rsidRPr="00A52AEE" w:rsidRDefault="00BB3061" w:rsidP="00FE68E8">
            <w:pPr>
              <w:jc w:val="right"/>
              <w:rPr>
                <w:lang w:eastAsia="en-GB"/>
              </w:rPr>
            </w:pPr>
            <w:r w:rsidRPr="00A52AEE">
              <w:rPr>
                <w:lang w:eastAsia="en-GB"/>
              </w:rPr>
              <w:t>86%</w:t>
            </w:r>
          </w:p>
        </w:tc>
        <w:tc>
          <w:tcPr>
            <w:tcW w:w="690" w:type="pct"/>
            <w:tcBorders>
              <w:top w:val="nil"/>
              <w:left w:val="nil"/>
              <w:bottom w:val="single" w:sz="4" w:space="0" w:color="auto"/>
              <w:right w:val="single" w:sz="4" w:space="0" w:color="auto"/>
            </w:tcBorders>
            <w:shd w:val="clear" w:color="auto" w:fill="auto"/>
            <w:noWrap/>
            <w:vAlign w:val="bottom"/>
            <w:hideMark/>
          </w:tcPr>
          <w:p w14:paraId="4C3C05CD" w14:textId="77777777" w:rsidR="00BB3061" w:rsidRPr="00A52AEE" w:rsidRDefault="00BB3061" w:rsidP="00FE68E8">
            <w:pPr>
              <w:jc w:val="right"/>
              <w:rPr>
                <w:lang w:eastAsia="en-GB"/>
              </w:rPr>
            </w:pPr>
            <w:r w:rsidRPr="00A52AEE">
              <w:rPr>
                <w:lang w:eastAsia="en-GB"/>
              </w:rPr>
              <w:t>13%</w:t>
            </w:r>
          </w:p>
        </w:tc>
        <w:tc>
          <w:tcPr>
            <w:tcW w:w="614" w:type="pct"/>
            <w:tcBorders>
              <w:top w:val="nil"/>
              <w:left w:val="nil"/>
              <w:bottom w:val="single" w:sz="4" w:space="0" w:color="auto"/>
              <w:right w:val="single" w:sz="4" w:space="0" w:color="auto"/>
            </w:tcBorders>
            <w:shd w:val="clear" w:color="auto" w:fill="auto"/>
            <w:noWrap/>
            <w:vAlign w:val="bottom"/>
            <w:hideMark/>
          </w:tcPr>
          <w:p w14:paraId="35B76051" w14:textId="77777777" w:rsidR="00BB3061" w:rsidRPr="00A52AEE" w:rsidRDefault="00BB3061" w:rsidP="00FE68E8">
            <w:pPr>
              <w:jc w:val="right"/>
              <w:rPr>
                <w:lang w:eastAsia="en-GB"/>
              </w:rPr>
            </w:pPr>
            <w:r w:rsidRPr="00A52AEE">
              <w:rPr>
                <w:lang w:eastAsia="en-GB"/>
              </w:rPr>
              <w:t>2%</w:t>
            </w:r>
          </w:p>
        </w:tc>
        <w:tc>
          <w:tcPr>
            <w:tcW w:w="460" w:type="pct"/>
            <w:tcBorders>
              <w:top w:val="nil"/>
              <w:left w:val="nil"/>
              <w:bottom w:val="single" w:sz="4" w:space="0" w:color="auto"/>
              <w:right w:val="single" w:sz="4" w:space="0" w:color="auto"/>
            </w:tcBorders>
            <w:shd w:val="clear" w:color="auto" w:fill="auto"/>
            <w:noWrap/>
            <w:vAlign w:val="bottom"/>
            <w:hideMark/>
          </w:tcPr>
          <w:p w14:paraId="56F6CAE8"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54D30B0F" w14:textId="77777777" w:rsidR="00BB3061" w:rsidRPr="00A52AEE" w:rsidRDefault="00BB3061" w:rsidP="00FE68E8">
            <w:pPr>
              <w:jc w:val="right"/>
              <w:rPr>
                <w:lang w:eastAsia="en-GB"/>
              </w:rPr>
            </w:pPr>
            <w:r w:rsidRPr="00A52AEE">
              <w:rPr>
                <w:lang w:eastAsia="en-GB"/>
              </w:rPr>
              <w:t>0%</w:t>
            </w:r>
          </w:p>
        </w:tc>
      </w:tr>
      <w:tr w:rsidR="00BB3061" w:rsidRPr="00A52AEE" w14:paraId="7F9A0E66"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CDFEC40" w14:textId="28D5E758" w:rsidR="00BB3061" w:rsidRPr="00A52AEE" w:rsidRDefault="005E08C9" w:rsidP="00A52AEE">
            <w:pPr>
              <w:rPr>
                <w:lang w:eastAsia="en-GB"/>
              </w:rPr>
            </w:pPr>
            <w:r>
              <w:rPr>
                <w:lang w:eastAsia="en-GB"/>
              </w:rPr>
              <w:t xml:space="preserve">Hammersmith &amp; </w:t>
            </w:r>
            <w:r w:rsidR="00BB3061" w:rsidRPr="00A52AEE">
              <w:rPr>
                <w:lang w:eastAsia="en-GB"/>
              </w:rPr>
              <w:t>Fulham</w:t>
            </w:r>
          </w:p>
        </w:tc>
        <w:tc>
          <w:tcPr>
            <w:tcW w:w="906" w:type="pct"/>
            <w:tcBorders>
              <w:top w:val="nil"/>
              <w:left w:val="nil"/>
              <w:bottom w:val="single" w:sz="4" w:space="0" w:color="auto"/>
              <w:right w:val="single" w:sz="4" w:space="0" w:color="auto"/>
            </w:tcBorders>
            <w:shd w:val="clear" w:color="auto" w:fill="auto"/>
            <w:noWrap/>
            <w:vAlign w:val="bottom"/>
            <w:hideMark/>
          </w:tcPr>
          <w:p w14:paraId="457731CF" w14:textId="77777777" w:rsidR="00BB3061" w:rsidRPr="00A52AEE" w:rsidRDefault="00BB3061" w:rsidP="00FE68E8">
            <w:pPr>
              <w:jc w:val="right"/>
              <w:rPr>
                <w:lang w:eastAsia="en-GB"/>
              </w:rPr>
            </w:pPr>
            <w:r w:rsidRPr="00A52AEE">
              <w:rPr>
                <w:lang w:eastAsia="en-GB"/>
              </w:rPr>
              <w:t>68%</w:t>
            </w:r>
          </w:p>
        </w:tc>
        <w:tc>
          <w:tcPr>
            <w:tcW w:w="690" w:type="pct"/>
            <w:tcBorders>
              <w:top w:val="nil"/>
              <w:left w:val="nil"/>
              <w:bottom w:val="single" w:sz="4" w:space="0" w:color="auto"/>
              <w:right w:val="single" w:sz="4" w:space="0" w:color="auto"/>
            </w:tcBorders>
            <w:shd w:val="clear" w:color="auto" w:fill="auto"/>
            <w:noWrap/>
            <w:vAlign w:val="bottom"/>
            <w:hideMark/>
          </w:tcPr>
          <w:p w14:paraId="08BEB4E2" w14:textId="77777777" w:rsidR="00BB3061" w:rsidRPr="00A52AEE" w:rsidRDefault="00BB3061" w:rsidP="00FE68E8">
            <w:pPr>
              <w:jc w:val="right"/>
              <w:rPr>
                <w:lang w:eastAsia="en-GB"/>
              </w:rPr>
            </w:pPr>
            <w:r w:rsidRPr="00A52AEE">
              <w:rPr>
                <w:lang w:eastAsia="en-GB"/>
              </w:rPr>
              <w:t>16%</w:t>
            </w:r>
          </w:p>
        </w:tc>
        <w:tc>
          <w:tcPr>
            <w:tcW w:w="614" w:type="pct"/>
            <w:tcBorders>
              <w:top w:val="nil"/>
              <w:left w:val="nil"/>
              <w:bottom w:val="single" w:sz="4" w:space="0" w:color="auto"/>
              <w:right w:val="single" w:sz="4" w:space="0" w:color="auto"/>
            </w:tcBorders>
            <w:shd w:val="clear" w:color="auto" w:fill="auto"/>
            <w:noWrap/>
            <w:vAlign w:val="bottom"/>
            <w:hideMark/>
          </w:tcPr>
          <w:p w14:paraId="172DFE0C" w14:textId="77777777" w:rsidR="00BB3061" w:rsidRPr="00A52AEE" w:rsidRDefault="00BB3061" w:rsidP="00FE68E8">
            <w:pPr>
              <w:jc w:val="right"/>
              <w:rPr>
                <w:lang w:eastAsia="en-GB"/>
              </w:rPr>
            </w:pPr>
            <w:r w:rsidRPr="00A52AEE">
              <w:rPr>
                <w:lang w:eastAsia="en-GB"/>
              </w:rPr>
              <w:t>9%</w:t>
            </w:r>
          </w:p>
        </w:tc>
        <w:tc>
          <w:tcPr>
            <w:tcW w:w="460" w:type="pct"/>
            <w:tcBorders>
              <w:top w:val="nil"/>
              <w:left w:val="nil"/>
              <w:bottom w:val="single" w:sz="4" w:space="0" w:color="auto"/>
              <w:right w:val="single" w:sz="4" w:space="0" w:color="auto"/>
            </w:tcBorders>
            <w:shd w:val="clear" w:color="auto" w:fill="auto"/>
            <w:noWrap/>
            <w:vAlign w:val="bottom"/>
            <w:hideMark/>
          </w:tcPr>
          <w:p w14:paraId="5A77D1D3" w14:textId="77777777" w:rsidR="00BB3061" w:rsidRPr="00A52AEE" w:rsidRDefault="00BB3061" w:rsidP="00FE68E8">
            <w:pPr>
              <w:jc w:val="right"/>
              <w:rPr>
                <w:lang w:eastAsia="en-GB"/>
              </w:rPr>
            </w:pPr>
            <w:r w:rsidRPr="00A52AEE">
              <w:rPr>
                <w:lang w:eastAsia="en-GB"/>
              </w:rPr>
              <w:t>4%</w:t>
            </w:r>
          </w:p>
        </w:tc>
        <w:tc>
          <w:tcPr>
            <w:tcW w:w="954" w:type="pct"/>
            <w:tcBorders>
              <w:top w:val="nil"/>
              <w:left w:val="nil"/>
              <w:bottom w:val="single" w:sz="4" w:space="0" w:color="auto"/>
              <w:right w:val="single" w:sz="4" w:space="0" w:color="auto"/>
            </w:tcBorders>
            <w:shd w:val="clear" w:color="auto" w:fill="auto"/>
            <w:noWrap/>
            <w:vAlign w:val="bottom"/>
            <w:hideMark/>
          </w:tcPr>
          <w:p w14:paraId="41B95FB9" w14:textId="77777777" w:rsidR="00BB3061" w:rsidRPr="00A52AEE" w:rsidRDefault="00BB3061" w:rsidP="00FE68E8">
            <w:pPr>
              <w:jc w:val="right"/>
              <w:rPr>
                <w:lang w:eastAsia="en-GB"/>
              </w:rPr>
            </w:pPr>
            <w:r w:rsidRPr="00A52AEE">
              <w:rPr>
                <w:lang w:eastAsia="en-GB"/>
              </w:rPr>
              <w:t>3%</w:t>
            </w:r>
          </w:p>
        </w:tc>
      </w:tr>
      <w:tr w:rsidR="00BB3061" w:rsidRPr="00A52AEE" w14:paraId="6822CA3B"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54276939" w14:textId="77777777" w:rsidR="00BB3061" w:rsidRPr="00A52AEE" w:rsidRDefault="00BB3061" w:rsidP="00A52AEE">
            <w:pPr>
              <w:rPr>
                <w:lang w:eastAsia="en-GB"/>
              </w:rPr>
            </w:pPr>
            <w:r w:rsidRPr="00A52AEE">
              <w:rPr>
                <w:lang w:eastAsia="en-GB"/>
              </w:rPr>
              <w:t>Haringey</w:t>
            </w:r>
          </w:p>
        </w:tc>
        <w:tc>
          <w:tcPr>
            <w:tcW w:w="906" w:type="pct"/>
            <w:tcBorders>
              <w:top w:val="nil"/>
              <w:left w:val="nil"/>
              <w:bottom w:val="single" w:sz="4" w:space="0" w:color="auto"/>
              <w:right w:val="single" w:sz="4" w:space="0" w:color="auto"/>
            </w:tcBorders>
            <w:shd w:val="clear" w:color="auto" w:fill="auto"/>
            <w:noWrap/>
            <w:vAlign w:val="bottom"/>
            <w:hideMark/>
          </w:tcPr>
          <w:p w14:paraId="06FC8774" w14:textId="77777777" w:rsidR="00BB3061" w:rsidRPr="00A52AEE" w:rsidRDefault="00BB3061" w:rsidP="00FE68E8">
            <w:pPr>
              <w:jc w:val="right"/>
              <w:rPr>
                <w:lang w:eastAsia="en-GB"/>
              </w:rPr>
            </w:pPr>
            <w:r w:rsidRPr="00A52AEE">
              <w:rPr>
                <w:lang w:eastAsia="en-GB"/>
              </w:rPr>
              <w:t>81%</w:t>
            </w:r>
          </w:p>
        </w:tc>
        <w:tc>
          <w:tcPr>
            <w:tcW w:w="690" w:type="pct"/>
            <w:tcBorders>
              <w:top w:val="nil"/>
              <w:left w:val="nil"/>
              <w:bottom w:val="single" w:sz="4" w:space="0" w:color="auto"/>
              <w:right w:val="single" w:sz="4" w:space="0" w:color="auto"/>
            </w:tcBorders>
            <w:shd w:val="clear" w:color="auto" w:fill="auto"/>
            <w:noWrap/>
            <w:vAlign w:val="bottom"/>
            <w:hideMark/>
          </w:tcPr>
          <w:p w14:paraId="20E51528" w14:textId="77777777" w:rsidR="00BB3061" w:rsidRPr="00A52AEE" w:rsidRDefault="00BB3061" w:rsidP="00FE68E8">
            <w:pPr>
              <w:jc w:val="right"/>
              <w:rPr>
                <w:lang w:eastAsia="en-GB"/>
              </w:rPr>
            </w:pPr>
            <w:r w:rsidRPr="00A52AEE">
              <w:rPr>
                <w:lang w:eastAsia="en-GB"/>
              </w:rPr>
              <w:t>11%</w:t>
            </w:r>
          </w:p>
        </w:tc>
        <w:tc>
          <w:tcPr>
            <w:tcW w:w="614" w:type="pct"/>
            <w:tcBorders>
              <w:top w:val="nil"/>
              <w:left w:val="nil"/>
              <w:bottom w:val="single" w:sz="4" w:space="0" w:color="auto"/>
              <w:right w:val="single" w:sz="4" w:space="0" w:color="auto"/>
            </w:tcBorders>
            <w:shd w:val="clear" w:color="auto" w:fill="auto"/>
            <w:noWrap/>
            <w:vAlign w:val="bottom"/>
            <w:hideMark/>
          </w:tcPr>
          <w:p w14:paraId="0F6952DC" w14:textId="77777777" w:rsidR="00BB3061" w:rsidRPr="00A52AEE" w:rsidRDefault="00BB3061" w:rsidP="00FE68E8">
            <w:pPr>
              <w:jc w:val="right"/>
              <w:rPr>
                <w:lang w:eastAsia="en-GB"/>
              </w:rPr>
            </w:pPr>
            <w:r w:rsidRPr="00A52AEE">
              <w:rPr>
                <w:lang w:eastAsia="en-GB"/>
              </w:rPr>
              <w:t>3%</w:t>
            </w:r>
          </w:p>
        </w:tc>
        <w:tc>
          <w:tcPr>
            <w:tcW w:w="460" w:type="pct"/>
            <w:tcBorders>
              <w:top w:val="nil"/>
              <w:left w:val="nil"/>
              <w:bottom w:val="single" w:sz="4" w:space="0" w:color="auto"/>
              <w:right w:val="single" w:sz="4" w:space="0" w:color="auto"/>
            </w:tcBorders>
            <w:shd w:val="clear" w:color="auto" w:fill="auto"/>
            <w:noWrap/>
            <w:vAlign w:val="bottom"/>
            <w:hideMark/>
          </w:tcPr>
          <w:p w14:paraId="569C85A8" w14:textId="77777777" w:rsidR="00BB3061" w:rsidRPr="00A52AEE" w:rsidRDefault="00BB3061" w:rsidP="00FE68E8">
            <w:pPr>
              <w:jc w:val="right"/>
              <w:rPr>
                <w:lang w:eastAsia="en-GB"/>
              </w:rPr>
            </w:pPr>
            <w:r w:rsidRPr="00A52AEE">
              <w:rPr>
                <w:lang w:eastAsia="en-GB"/>
              </w:rPr>
              <w:t>4%</w:t>
            </w:r>
          </w:p>
        </w:tc>
        <w:tc>
          <w:tcPr>
            <w:tcW w:w="954" w:type="pct"/>
            <w:tcBorders>
              <w:top w:val="nil"/>
              <w:left w:val="nil"/>
              <w:bottom w:val="single" w:sz="4" w:space="0" w:color="auto"/>
              <w:right w:val="single" w:sz="4" w:space="0" w:color="auto"/>
            </w:tcBorders>
            <w:shd w:val="clear" w:color="auto" w:fill="auto"/>
            <w:noWrap/>
            <w:vAlign w:val="bottom"/>
            <w:hideMark/>
          </w:tcPr>
          <w:p w14:paraId="4DC05FAA" w14:textId="77777777" w:rsidR="00BB3061" w:rsidRPr="00A52AEE" w:rsidRDefault="00BB3061" w:rsidP="00FE68E8">
            <w:pPr>
              <w:jc w:val="right"/>
              <w:rPr>
                <w:lang w:eastAsia="en-GB"/>
              </w:rPr>
            </w:pPr>
            <w:r w:rsidRPr="00A52AEE">
              <w:rPr>
                <w:lang w:eastAsia="en-GB"/>
              </w:rPr>
              <w:t>1%</w:t>
            </w:r>
          </w:p>
        </w:tc>
      </w:tr>
      <w:tr w:rsidR="00BB3061" w:rsidRPr="00A52AEE" w14:paraId="14DD02F2"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9B53298" w14:textId="77777777" w:rsidR="00BB3061" w:rsidRPr="00A52AEE" w:rsidRDefault="00BB3061" w:rsidP="00A52AEE">
            <w:pPr>
              <w:rPr>
                <w:lang w:eastAsia="en-GB"/>
              </w:rPr>
            </w:pPr>
            <w:r w:rsidRPr="00A52AEE">
              <w:rPr>
                <w:lang w:eastAsia="en-GB"/>
              </w:rPr>
              <w:t>Harrow</w:t>
            </w:r>
          </w:p>
        </w:tc>
        <w:tc>
          <w:tcPr>
            <w:tcW w:w="906" w:type="pct"/>
            <w:tcBorders>
              <w:top w:val="nil"/>
              <w:left w:val="nil"/>
              <w:bottom w:val="single" w:sz="4" w:space="0" w:color="auto"/>
              <w:right w:val="single" w:sz="4" w:space="0" w:color="auto"/>
            </w:tcBorders>
            <w:shd w:val="clear" w:color="auto" w:fill="auto"/>
            <w:noWrap/>
            <w:vAlign w:val="bottom"/>
            <w:hideMark/>
          </w:tcPr>
          <w:p w14:paraId="5762C00B" w14:textId="77777777" w:rsidR="00BB3061" w:rsidRPr="00A52AEE" w:rsidRDefault="00BB3061" w:rsidP="00FE68E8">
            <w:pPr>
              <w:jc w:val="right"/>
              <w:rPr>
                <w:lang w:eastAsia="en-GB"/>
              </w:rPr>
            </w:pPr>
            <w:r w:rsidRPr="00A52AEE">
              <w:rPr>
                <w:lang w:eastAsia="en-GB"/>
              </w:rPr>
              <w:t>22%</w:t>
            </w:r>
          </w:p>
        </w:tc>
        <w:tc>
          <w:tcPr>
            <w:tcW w:w="690" w:type="pct"/>
            <w:tcBorders>
              <w:top w:val="nil"/>
              <w:left w:val="nil"/>
              <w:bottom w:val="single" w:sz="4" w:space="0" w:color="auto"/>
              <w:right w:val="single" w:sz="4" w:space="0" w:color="auto"/>
            </w:tcBorders>
            <w:shd w:val="clear" w:color="auto" w:fill="auto"/>
            <w:noWrap/>
            <w:vAlign w:val="bottom"/>
            <w:hideMark/>
          </w:tcPr>
          <w:p w14:paraId="026E4323" w14:textId="77777777" w:rsidR="00BB3061" w:rsidRPr="00A52AEE" w:rsidRDefault="00BB3061" w:rsidP="00FE68E8">
            <w:pPr>
              <w:jc w:val="right"/>
              <w:rPr>
                <w:lang w:eastAsia="en-GB"/>
              </w:rPr>
            </w:pPr>
            <w:r w:rsidRPr="00A52AEE">
              <w:rPr>
                <w:lang w:eastAsia="en-GB"/>
              </w:rPr>
              <w:t>45%</w:t>
            </w:r>
          </w:p>
        </w:tc>
        <w:tc>
          <w:tcPr>
            <w:tcW w:w="614" w:type="pct"/>
            <w:tcBorders>
              <w:top w:val="nil"/>
              <w:left w:val="nil"/>
              <w:bottom w:val="single" w:sz="4" w:space="0" w:color="auto"/>
              <w:right w:val="single" w:sz="4" w:space="0" w:color="auto"/>
            </w:tcBorders>
            <w:shd w:val="clear" w:color="auto" w:fill="auto"/>
            <w:noWrap/>
            <w:vAlign w:val="bottom"/>
            <w:hideMark/>
          </w:tcPr>
          <w:p w14:paraId="5B1240B9" w14:textId="77777777" w:rsidR="00BB3061" w:rsidRPr="00A52AEE" w:rsidRDefault="00BB3061" w:rsidP="00FE68E8">
            <w:pPr>
              <w:jc w:val="right"/>
              <w:rPr>
                <w:lang w:eastAsia="en-GB"/>
              </w:rPr>
            </w:pPr>
            <w:r w:rsidRPr="00A52AEE">
              <w:rPr>
                <w:lang w:eastAsia="en-GB"/>
              </w:rPr>
              <w:t>19%</w:t>
            </w:r>
          </w:p>
        </w:tc>
        <w:tc>
          <w:tcPr>
            <w:tcW w:w="460" w:type="pct"/>
            <w:tcBorders>
              <w:top w:val="nil"/>
              <w:left w:val="nil"/>
              <w:bottom w:val="single" w:sz="4" w:space="0" w:color="auto"/>
              <w:right w:val="single" w:sz="4" w:space="0" w:color="auto"/>
            </w:tcBorders>
            <w:shd w:val="clear" w:color="auto" w:fill="auto"/>
            <w:noWrap/>
            <w:vAlign w:val="bottom"/>
            <w:hideMark/>
          </w:tcPr>
          <w:p w14:paraId="6649DD16" w14:textId="77777777" w:rsidR="00BB3061" w:rsidRPr="00A52AEE" w:rsidRDefault="00BB3061" w:rsidP="00FE68E8">
            <w:pPr>
              <w:jc w:val="right"/>
              <w:rPr>
                <w:lang w:eastAsia="en-GB"/>
              </w:rPr>
            </w:pPr>
            <w:r w:rsidRPr="00A52AEE">
              <w:rPr>
                <w:lang w:eastAsia="en-GB"/>
              </w:rPr>
              <w:t>10%</w:t>
            </w:r>
          </w:p>
        </w:tc>
        <w:tc>
          <w:tcPr>
            <w:tcW w:w="954" w:type="pct"/>
            <w:tcBorders>
              <w:top w:val="nil"/>
              <w:left w:val="nil"/>
              <w:bottom w:val="single" w:sz="4" w:space="0" w:color="auto"/>
              <w:right w:val="single" w:sz="4" w:space="0" w:color="auto"/>
            </w:tcBorders>
            <w:shd w:val="clear" w:color="auto" w:fill="auto"/>
            <w:noWrap/>
            <w:vAlign w:val="bottom"/>
            <w:hideMark/>
          </w:tcPr>
          <w:p w14:paraId="3AB38AB5" w14:textId="77777777" w:rsidR="00BB3061" w:rsidRPr="00A52AEE" w:rsidRDefault="00BB3061" w:rsidP="00FE68E8">
            <w:pPr>
              <w:jc w:val="right"/>
              <w:rPr>
                <w:lang w:eastAsia="en-GB"/>
              </w:rPr>
            </w:pPr>
            <w:r w:rsidRPr="00A52AEE">
              <w:rPr>
                <w:lang w:eastAsia="en-GB"/>
              </w:rPr>
              <w:t>3%</w:t>
            </w:r>
          </w:p>
        </w:tc>
      </w:tr>
      <w:tr w:rsidR="00BB3061" w:rsidRPr="00A52AEE" w14:paraId="78721D2C"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DC6B26F" w14:textId="77777777" w:rsidR="00BB3061" w:rsidRPr="00A52AEE" w:rsidRDefault="00BB3061" w:rsidP="00A52AEE">
            <w:pPr>
              <w:rPr>
                <w:lang w:eastAsia="en-GB"/>
              </w:rPr>
            </w:pPr>
            <w:r w:rsidRPr="00A52AEE">
              <w:rPr>
                <w:lang w:eastAsia="en-GB"/>
              </w:rPr>
              <w:t>Havering</w:t>
            </w:r>
          </w:p>
        </w:tc>
        <w:tc>
          <w:tcPr>
            <w:tcW w:w="906" w:type="pct"/>
            <w:tcBorders>
              <w:top w:val="nil"/>
              <w:left w:val="nil"/>
              <w:bottom w:val="single" w:sz="4" w:space="0" w:color="auto"/>
              <w:right w:val="single" w:sz="4" w:space="0" w:color="auto"/>
            </w:tcBorders>
            <w:shd w:val="clear" w:color="auto" w:fill="auto"/>
            <w:noWrap/>
            <w:vAlign w:val="bottom"/>
            <w:hideMark/>
          </w:tcPr>
          <w:p w14:paraId="4AB85930" w14:textId="77777777" w:rsidR="00BB3061" w:rsidRPr="00A52AEE" w:rsidRDefault="00BB3061" w:rsidP="00FE68E8">
            <w:pPr>
              <w:jc w:val="right"/>
              <w:rPr>
                <w:lang w:eastAsia="en-GB"/>
              </w:rPr>
            </w:pPr>
            <w:r w:rsidRPr="00A52AEE">
              <w:rPr>
                <w:lang w:eastAsia="en-GB"/>
              </w:rPr>
              <w:t>12%</w:t>
            </w:r>
          </w:p>
        </w:tc>
        <w:tc>
          <w:tcPr>
            <w:tcW w:w="690" w:type="pct"/>
            <w:tcBorders>
              <w:top w:val="nil"/>
              <w:left w:val="nil"/>
              <w:bottom w:val="single" w:sz="4" w:space="0" w:color="auto"/>
              <w:right w:val="single" w:sz="4" w:space="0" w:color="auto"/>
            </w:tcBorders>
            <w:shd w:val="clear" w:color="auto" w:fill="auto"/>
            <w:noWrap/>
            <w:vAlign w:val="bottom"/>
            <w:hideMark/>
          </w:tcPr>
          <w:p w14:paraId="1D4272DC" w14:textId="77777777" w:rsidR="00BB3061" w:rsidRPr="00A52AEE" w:rsidRDefault="00BB3061" w:rsidP="00FE68E8">
            <w:pPr>
              <w:jc w:val="right"/>
              <w:rPr>
                <w:lang w:eastAsia="en-GB"/>
              </w:rPr>
            </w:pPr>
            <w:r w:rsidRPr="00A52AEE">
              <w:rPr>
                <w:lang w:eastAsia="en-GB"/>
              </w:rPr>
              <w:t>23%</w:t>
            </w:r>
          </w:p>
        </w:tc>
        <w:tc>
          <w:tcPr>
            <w:tcW w:w="614" w:type="pct"/>
            <w:tcBorders>
              <w:top w:val="nil"/>
              <w:left w:val="nil"/>
              <w:bottom w:val="single" w:sz="4" w:space="0" w:color="auto"/>
              <w:right w:val="single" w:sz="4" w:space="0" w:color="auto"/>
            </w:tcBorders>
            <w:shd w:val="clear" w:color="auto" w:fill="auto"/>
            <w:noWrap/>
            <w:vAlign w:val="bottom"/>
            <w:hideMark/>
          </w:tcPr>
          <w:p w14:paraId="193D3565" w14:textId="77777777" w:rsidR="00BB3061" w:rsidRPr="00A52AEE" w:rsidRDefault="00BB3061" w:rsidP="00FE68E8">
            <w:pPr>
              <w:jc w:val="right"/>
              <w:rPr>
                <w:lang w:eastAsia="en-GB"/>
              </w:rPr>
            </w:pPr>
            <w:r w:rsidRPr="00A52AEE">
              <w:rPr>
                <w:lang w:eastAsia="en-GB"/>
              </w:rPr>
              <w:t>27%</w:t>
            </w:r>
          </w:p>
        </w:tc>
        <w:tc>
          <w:tcPr>
            <w:tcW w:w="460" w:type="pct"/>
            <w:tcBorders>
              <w:top w:val="nil"/>
              <w:left w:val="nil"/>
              <w:bottom w:val="single" w:sz="4" w:space="0" w:color="auto"/>
              <w:right w:val="single" w:sz="4" w:space="0" w:color="auto"/>
            </w:tcBorders>
            <w:shd w:val="clear" w:color="auto" w:fill="auto"/>
            <w:noWrap/>
            <w:vAlign w:val="bottom"/>
            <w:hideMark/>
          </w:tcPr>
          <w:p w14:paraId="5C362481" w14:textId="77777777" w:rsidR="00BB3061" w:rsidRPr="00A52AEE" w:rsidRDefault="00BB3061" w:rsidP="00FE68E8">
            <w:pPr>
              <w:jc w:val="right"/>
              <w:rPr>
                <w:lang w:eastAsia="en-GB"/>
              </w:rPr>
            </w:pPr>
            <w:r w:rsidRPr="00A52AEE">
              <w:rPr>
                <w:lang w:eastAsia="en-GB"/>
              </w:rPr>
              <w:t>26%</w:t>
            </w:r>
          </w:p>
        </w:tc>
        <w:tc>
          <w:tcPr>
            <w:tcW w:w="954" w:type="pct"/>
            <w:tcBorders>
              <w:top w:val="nil"/>
              <w:left w:val="nil"/>
              <w:bottom w:val="single" w:sz="4" w:space="0" w:color="auto"/>
              <w:right w:val="single" w:sz="4" w:space="0" w:color="auto"/>
            </w:tcBorders>
            <w:shd w:val="clear" w:color="auto" w:fill="auto"/>
            <w:noWrap/>
            <w:vAlign w:val="bottom"/>
            <w:hideMark/>
          </w:tcPr>
          <w:p w14:paraId="24234746" w14:textId="77777777" w:rsidR="00BB3061" w:rsidRPr="00A52AEE" w:rsidRDefault="00BB3061" w:rsidP="00FE68E8">
            <w:pPr>
              <w:jc w:val="right"/>
              <w:rPr>
                <w:lang w:eastAsia="en-GB"/>
              </w:rPr>
            </w:pPr>
            <w:r w:rsidRPr="00A52AEE">
              <w:rPr>
                <w:lang w:eastAsia="en-GB"/>
              </w:rPr>
              <w:t>12%</w:t>
            </w:r>
          </w:p>
        </w:tc>
      </w:tr>
      <w:tr w:rsidR="00BB3061" w:rsidRPr="00A52AEE" w14:paraId="3249490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CD60B88" w14:textId="77777777" w:rsidR="00BB3061" w:rsidRPr="00A52AEE" w:rsidRDefault="00BB3061" w:rsidP="00A52AEE">
            <w:pPr>
              <w:rPr>
                <w:lang w:eastAsia="en-GB"/>
              </w:rPr>
            </w:pPr>
            <w:r w:rsidRPr="00A52AEE">
              <w:rPr>
                <w:lang w:eastAsia="en-GB"/>
              </w:rPr>
              <w:t>Hillingdon</w:t>
            </w:r>
          </w:p>
        </w:tc>
        <w:tc>
          <w:tcPr>
            <w:tcW w:w="906" w:type="pct"/>
            <w:tcBorders>
              <w:top w:val="nil"/>
              <w:left w:val="nil"/>
              <w:bottom w:val="single" w:sz="4" w:space="0" w:color="auto"/>
              <w:right w:val="single" w:sz="4" w:space="0" w:color="auto"/>
            </w:tcBorders>
            <w:shd w:val="clear" w:color="auto" w:fill="auto"/>
            <w:noWrap/>
            <w:vAlign w:val="bottom"/>
            <w:hideMark/>
          </w:tcPr>
          <w:p w14:paraId="4A8545A2" w14:textId="77777777" w:rsidR="00BB3061" w:rsidRPr="00A52AEE" w:rsidRDefault="00BB3061" w:rsidP="00FE68E8">
            <w:pPr>
              <w:jc w:val="right"/>
              <w:rPr>
                <w:lang w:eastAsia="en-GB"/>
              </w:rPr>
            </w:pPr>
            <w:r w:rsidRPr="00A52AEE">
              <w:rPr>
                <w:lang w:eastAsia="en-GB"/>
              </w:rPr>
              <w:t>34%</w:t>
            </w:r>
          </w:p>
        </w:tc>
        <w:tc>
          <w:tcPr>
            <w:tcW w:w="690" w:type="pct"/>
            <w:tcBorders>
              <w:top w:val="nil"/>
              <w:left w:val="nil"/>
              <w:bottom w:val="single" w:sz="4" w:space="0" w:color="auto"/>
              <w:right w:val="single" w:sz="4" w:space="0" w:color="auto"/>
            </w:tcBorders>
            <w:shd w:val="clear" w:color="auto" w:fill="auto"/>
            <w:noWrap/>
            <w:vAlign w:val="bottom"/>
            <w:hideMark/>
          </w:tcPr>
          <w:p w14:paraId="75CD40E6" w14:textId="77777777" w:rsidR="00BB3061" w:rsidRPr="00A52AEE" w:rsidRDefault="00BB3061" w:rsidP="00FE68E8">
            <w:pPr>
              <w:jc w:val="right"/>
              <w:rPr>
                <w:lang w:eastAsia="en-GB"/>
              </w:rPr>
            </w:pPr>
            <w:r w:rsidRPr="00A52AEE">
              <w:rPr>
                <w:lang w:eastAsia="en-GB"/>
              </w:rPr>
              <w:t>34%</w:t>
            </w:r>
          </w:p>
        </w:tc>
        <w:tc>
          <w:tcPr>
            <w:tcW w:w="614" w:type="pct"/>
            <w:tcBorders>
              <w:top w:val="nil"/>
              <w:left w:val="nil"/>
              <w:bottom w:val="single" w:sz="4" w:space="0" w:color="auto"/>
              <w:right w:val="single" w:sz="4" w:space="0" w:color="auto"/>
            </w:tcBorders>
            <w:shd w:val="clear" w:color="auto" w:fill="auto"/>
            <w:noWrap/>
            <w:vAlign w:val="bottom"/>
            <w:hideMark/>
          </w:tcPr>
          <w:p w14:paraId="5E3FAAB8" w14:textId="77777777" w:rsidR="00BB3061" w:rsidRPr="00A52AEE" w:rsidRDefault="00BB3061" w:rsidP="00FE68E8">
            <w:pPr>
              <w:jc w:val="right"/>
              <w:rPr>
                <w:lang w:eastAsia="en-GB"/>
              </w:rPr>
            </w:pPr>
            <w:r w:rsidRPr="00A52AEE">
              <w:rPr>
                <w:lang w:eastAsia="en-GB"/>
              </w:rPr>
              <w:t>14%</w:t>
            </w:r>
          </w:p>
        </w:tc>
        <w:tc>
          <w:tcPr>
            <w:tcW w:w="460" w:type="pct"/>
            <w:tcBorders>
              <w:top w:val="nil"/>
              <w:left w:val="nil"/>
              <w:bottom w:val="single" w:sz="4" w:space="0" w:color="auto"/>
              <w:right w:val="single" w:sz="4" w:space="0" w:color="auto"/>
            </w:tcBorders>
            <w:shd w:val="clear" w:color="auto" w:fill="auto"/>
            <w:noWrap/>
            <w:vAlign w:val="bottom"/>
            <w:hideMark/>
          </w:tcPr>
          <w:p w14:paraId="4B8535BA" w14:textId="77777777" w:rsidR="00BB3061" w:rsidRPr="00A52AEE" w:rsidRDefault="00BB3061" w:rsidP="00FE68E8">
            <w:pPr>
              <w:jc w:val="right"/>
              <w:rPr>
                <w:lang w:eastAsia="en-GB"/>
              </w:rPr>
            </w:pPr>
            <w:r w:rsidRPr="00A52AEE">
              <w:rPr>
                <w:lang w:eastAsia="en-GB"/>
              </w:rPr>
              <w:t>12%</w:t>
            </w:r>
          </w:p>
        </w:tc>
        <w:tc>
          <w:tcPr>
            <w:tcW w:w="954" w:type="pct"/>
            <w:tcBorders>
              <w:top w:val="nil"/>
              <w:left w:val="nil"/>
              <w:bottom w:val="single" w:sz="4" w:space="0" w:color="auto"/>
              <w:right w:val="single" w:sz="4" w:space="0" w:color="auto"/>
            </w:tcBorders>
            <w:shd w:val="clear" w:color="auto" w:fill="auto"/>
            <w:noWrap/>
            <w:vAlign w:val="bottom"/>
            <w:hideMark/>
          </w:tcPr>
          <w:p w14:paraId="506AF517" w14:textId="77777777" w:rsidR="00BB3061" w:rsidRPr="00A52AEE" w:rsidRDefault="00BB3061" w:rsidP="00FE68E8">
            <w:pPr>
              <w:jc w:val="right"/>
              <w:rPr>
                <w:lang w:eastAsia="en-GB"/>
              </w:rPr>
            </w:pPr>
            <w:r w:rsidRPr="00A52AEE">
              <w:rPr>
                <w:lang w:eastAsia="en-GB"/>
              </w:rPr>
              <w:t>6%</w:t>
            </w:r>
          </w:p>
        </w:tc>
      </w:tr>
      <w:tr w:rsidR="00BB3061" w:rsidRPr="00A52AEE" w14:paraId="48581CD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0825014" w14:textId="77777777" w:rsidR="00BB3061" w:rsidRPr="00A52AEE" w:rsidRDefault="00BB3061" w:rsidP="00A52AEE">
            <w:pPr>
              <w:rPr>
                <w:lang w:eastAsia="en-GB"/>
              </w:rPr>
            </w:pPr>
            <w:r w:rsidRPr="00A52AEE">
              <w:rPr>
                <w:lang w:eastAsia="en-GB"/>
              </w:rPr>
              <w:t>Hounslow</w:t>
            </w:r>
          </w:p>
        </w:tc>
        <w:tc>
          <w:tcPr>
            <w:tcW w:w="906" w:type="pct"/>
            <w:tcBorders>
              <w:top w:val="nil"/>
              <w:left w:val="nil"/>
              <w:bottom w:val="single" w:sz="4" w:space="0" w:color="auto"/>
              <w:right w:val="single" w:sz="4" w:space="0" w:color="auto"/>
            </w:tcBorders>
            <w:shd w:val="clear" w:color="auto" w:fill="auto"/>
            <w:noWrap/>
            <w:vAlign w:val="bottom"/>
            <w:hideMark/>
          </w:tcPr>
          <w:p w14:paraId="6246E941" w14:textId="77777777" w:rsidR="00BB3061" w:rsidRPr="00A52AEE" w:rsidRDefault="00BB3061" w:rsidP="00FE68E8">
            <w:pPr>
              <w:jc w:val="right"/>
              <w:rPr>
                <w:lang w:eastAsia="en-GB"/>
              </w:rPr>
            </w:pPr>
            <w:r w:rsidRPr="00A52AEE">
              <w:rPr>
                <w:lang w:eastAsia="en-GB"/>
              </w:rPr>
              <w:t>38%</w:t>
            </w:r>
          </w:p>
        </w:tc>
        <w:tc>
          <w:tcPr>
            <w:tcW w:w="690" w:type="pct"/>
            <w:tcBorders>
              <w:top w:val="nil"/>
              <w:left w:val="nil"/>
              <w:bottom w:val="single" w:sz="4" w:space="0" w:color="auto"/>
              <w:right w:val="single" w:sz="4" w:space="0" w:color="auto"/>
            </w:tcBorders>
            <w:shd w:val="clear" w:color="auto" w:fill="auto"/>
            <w:noWrap/>
            <w:vAlign w:val="bottom"/>
            <w:hideMark/>
          </w:tcPr>
          <w:p w14:paraId="556F4239" w14:textId="77777777" w:rsidR="00BB3061" w:rsidRPr="00A52AEE" w:rsidRDefault="00BB3061" w:rsidP="00FE68E8">
            <w:pPr>
              <w:jc w:val="right"/>
              <w:rPr>
                <w:lang w:eastAsia="en-GB"/>
              </w:rPr>
            </w:pPr>
            <w:r w:rsidRPr="00A52AEE">
              <w:rPr>
                <w:lang w:eastAsia="en-GB"/>
              </w:rPr>
              <w:t>38%</w:t>
            </w:r>
          </w:p>
        </w:tc>
        <w:tc>
          <w:tcPr>
            <w:tcW w:w="614" w:type="pct"/>
            <w:tcBorders>
              <w:top w:val="nil"/>
              <w:left w:val="nil"/>
              <w:bottom w:val="single" w:sz="4" w:space="0" w:color="auto"/>
              <w:right w:val="single" w:sz="4" w:space="0" w:color="auto"/>
            </w:tcBorders>
            <w:shd w:val="clear" w:color="auto" w:fill="auto"/>
            <w:noWrap/>
            <w:vAlign w:val="bottom"/>
            <w:hideMark/>
          </w:tcPr>
          <w:p w14:paraId="284C55DB" w14:textId="77777777" w:rsidR="00BB3061" w:rsidRPr="00A52AEE" w:rsidRDefault="00BB3061" w:rsidP="00FE68E8">
            <w:pPr>
              <w:jc w:val="right"/>
              <w:rPr>
                <w:lang w:eastAsia="en-GB"/>
              </w:rPr>
            </w:pPr>
            <w:r w:rsidRPr="00A52AEE">
              <w:rPr>
                <w:lang w:eastAsia="en-GB"/>
              </w:rPr>
              <w:t>20%</w:t>
            </w:r>
          </w:p>
        </w:tc>
        <w:tc>
          <w:tcPr>
            <w:tcW w:w="460" w:type="pct"/>
            <w:tcBorders>
              <w:top w:val="nil"/>
              <w:left w:val="nil"/>
              <w:bottom w:val="single" w:sz="4" w:space="0" w:color="auto"/>
              <w:right w:val="single" w:sz="4" w:space="0" w:color="auto"/>
            </w:tcBorders>
            <w:shd w:val="clear" w:color="auto" w:fill="auto"/>
            <w:noWrap/>
            <w:vAlign w:val="bottom"/>
            <w:hideMark/>
          </w:tcPr>
          <w:p w14:paraId="13868189" w14:textId="77777777" w:rsidR="00BB3061" w:rsidRPr="00A52AEE" w:rsidRDefault="00BB3061" w:rsidP="00FE68E8">
            <w:pPr>
              <w:jc w:val="right"/>
              <w:rPr>
                <w:lang w:eastAsia="en-GB"/>
              </w:rPr>
            </w:pPr>
            <w:r w:rsidRPr="00A52AEE">
              <w:rPr>
                <w:lang w:eastAsia="en-GB"/>
              </w:rPr>
              <w:t>3%</w:t>
            </w:r>
          </w:p>
        </w:tc>
        <w:tc>
          <w:tcPr>
            <w:tcW w:w="954" w:type="pct"/>
            <w:tcBorders>
              <w:top w:val="nil"/>
              <w:left w:val="nil"/>
              <w:bottom w:val="single" w:sz="4" w:space="0" w:color="auto"/>
              <w:right w:val="single" w:sz="4" w:space="0" w:color="auto"/>
            </w:tcBorders>
            <w:shd w:val="clear" w:color="auto" w:fill="auto"/>
            <w:noWrap/>
            <w:vAlign w:val="bottom"/>
            <w:hideMark/>
          </w:tcPr>
          <w:p w14:paraId="2A24297B" w14:textId="77777777" w:rsidR="00BB3061" w:rsidRPr="00A52AEE" w:rsidRDefault="00BB3061" w:rsidP="00FE68E8">
            <w:pPr>
              <w:jc w:val="right"/>
              <w:rPr>
                <w:lang w:eastAsia="en-GB"/>
              </w:rPr>
            </w:pPr>
            <w:r w:rsidRPr="00A52AEE">
              <w:rPr>
                <w:lang w:eastAsia="en-GB"/>
              </w:rPr>
              <w:t>2%</w:t>
            </w:r>
          </w:p>
        </w:tc>
      </w:tr>
      <w:tr w:rsidR="00BB3061" w:rsidRPr="00A52AEE" w14:paraId="62D25048"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7563C30" w14:textId="77777777" w:rsidR="00BB3061" w:rsidRPr="00A52AEE" w:rsidRDefault="00BB3061" w:rsidP="00A52AEE">
            <w:pPr>
              <w:rPr>
                <w:lang w:eastAsia="en-GB"/>
              </w:rPr>
            </w:pPr>
            <w:r w:rsidRPr="00A52AEE">
              <w:rPr>
                <w:lang w:eastAsia="en-GB"/>
              </w:rPr>
              <w:t>Islington</w:t>
            </w:r>
          </w:p>
        </w:tc>
        <w:tc>
          <w:tcPr>
            <w:tcW w:w="906" w:type="pct"/>
            <w:tcBorders>
              <w:top w:val="nil"/>
              <w:left w:val="nil"/>
              <w:bottom w:val="single" w:sz="4" w:space="0" w:color="auto"/>
              <w:right w:val="single" w:sz="4" w:space="0" w:color="auto"/>
            </w:tcBorders>
            <w:shd w:val="clear" w:color="auto" w:fill="auto"/>
            <w:noWrap/>
            <w:vAlign w:val="bottom"/>
            <w:hideMark/>
          </w:tcPr>
          <w:p w14:paraId="424FFB78" w14:textId="77777777" w:rsidR="00BB3061" w:rsidRPr="00A52AEE" w:rsidRDefault="00BB3061" w:rsidP="00FE68E8">
            <w:pPr>
              <w:jc w:val="right"/>
              <w:rPr>
                <w:lang w:eastAsia="en-GB"/>
              </w:rPr>
            </w:pPr>
            <w:r w:rsidRPr="00A52AEE">
              <w:rPr>
                <w:lang w:eastAsia="en-GB"/>
              </w:rPr>
              <w:t>87%</w:t>
            </w:r>
          </w:p>
        </w:tc>
        <w:tc>
          <w:tcPr>
            <w:tcW w:w="690" w:type="pct"/>
            <w:tcBorders>
              <w:top w:val="nil"/>
              <w:left w:val="nil"/>
              <w:bottom w:val="single" w:sz="4" w:space="0" w:color="auto"/>
              <w:right w:val="single" w:sz="4" w:space="0" w:color="auto"/>
            </w:tcBorders>
            <w:shd w:val="clear" w:color="auto" w:fill="auto"/>
            <w:noWrap/>
            <w:vAlign w:val="bottom"/>
            <w:hideMark/>
          </w:tcPr>
          <w:p w14:paraId="116EF227" w14:textId="77777777" w:rsidR="00BB3061" w:rsidRPr="00A52AEE" w:rsidRDefault="00BB3061" w:rsidP="00FE68E8">
            <w:pPr>
              <w:jc w:val="right"/>
              <w:rPr>
                <w:lang w:eastAsia="en-GB"/>
              </w:rPr>
            </w:pPr>
            <w:r w:rsidRPr="00A52AEE">
              <w:rPr>
                <w:lang w:eastAsia="en-GB"/>
              </w:rPr>
              <w:t>8%</w:t>
            </w:r>
          </w:p>
        </w:tc>
        <w:tc>
          <w:tcPr>
            <w:tcW w:w="614" w:type="pct"/>
            <w:tcBorders>
              <w:top w:val="nil"/>
              <w:left w:val="nil"/>
              <w:bottom w:val="single" w:sz="4" w:space="0" w:color="auto"/>
              <w:right w:val="single" w:sz="4" w:space="0" w:color="auto"/>
            </w:tcBorders>
            <w:shd w:val="clear" w:color="auto" w:fill="auto"/>
            <w:noWrap/>
            <w:vAlign w:val="bottom"/>
            <w:hideMark/>
          </w:tcPr>
          <w:p w14:paraId="684C878D" w14:textId="77777777" w:rsidR="00BB3061" w:rsidRPr="00A52AEE" w:rsidRDefault="00BB3061" w:rsidP="00FE68E8">
            <w:pPr>
              <w:jc w:val="right"/>
              <w:rPr>
                <w:lang w:eastAsia="en-GB"/>
              </w:rPr>
            </w:pPr>
            <w:r w:rsidRPr="00A52AEE">
              <w:rPr>
                <w:lang w:eastAsia="en-GB"/>
              </w:rPr>
              <w:t>4%</w:t>
            </w:r>
          </w:p>
        </w:tc>
        <w:tc>
          <w:tcPr>
            <w:tcW w:w="460" w:type="pct"/>
            <w:tcBorders>
              <w:top w:val="nil"/>
              <w:left w:val="nil"/>
              <w:bottom w:val="single" w:sz="4" w:space="0" w:color="auto"/>
              <w:right w:val="single" w:sz="4" w:space="0" w:color="auto"/>
            </w:tcBorders>
            <w:shd w:val="clear" w:color="auto" w:fill="auto"/>
            <w:noWrap/>
            <w:vAlign w:val="bottom"/>
            <w:hideMark/>
          </w:tcPr>
          <w:p w14:paraId="5AF90DB4"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1F8F984C" w14:textId="77777777" w:rsidR="00BB3061" w:rsidRPr="00A52AEE" w:rsidRDefault="00BB3061" w:rsidP="00FE68E8">
            <w:pPr>
              <w:jc w:val="right"/>
              <w:rPr>
                <w:lang w:eastAsia="en-GB"/>
              </w:rPr>
            </w:pPr>
            <w:r w:rsidRPr="00A52AEE">
              <w:rPr>
                <w:lang w:eastAsia="en-GB"/>
              </w:rPr>
              <w:t>0%</w:t>
            </w:r>
          </w:p>
        </w:tc>
      </w:tr>
      <w:tr w:rsidR="00BB3061" w:rsidRPr="00A52AEE" w14:paraId="0BD9ACE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395ECE98" w14:textId="77777777" w:rsidR="00BB3061" w:rsidRPr="00A52AEE" w:rsidRDefault="00BB3061" w:rsidP="00A52AEE">
            <w:pPr>
              <w:rPr>
                <w:lang w:eastAsia="en-GB"/>
              </w:rPr>
            </w:pPr>
            <w:r w:rsidRPr="00A52AEE">
              <w:rPr>
                <w:lang w:eastAsia="en-GB"/>
              </w:rPr>
              <w:t>Kensington and Chelsea</w:t>
            </w:r>
          </w:p>
        </w:tc>
        <w:tc>
          <w:tcPr>
            <w:tcW w:w="906" w:type="pct"/>
            <w:tcBorders>
              <w:top w:val="nil"/>
              <w:left w:val="nil"/>
              <w:bottom w:val="single" w:sz="4" w:space="0" w:color="auto"/>
              <w:right w:val="single" w:sz="4" w:space="0" w:color="auto"/>
            </w:tcBorders>
            <w:shd w:val="clear" w:color="auto" w:fill="auto"/>
            <w:noWrap/>
            <w:vAlign w:val="bottom"/>
            <w:hideMark/>
          </w:tcPr>
          <w:p w14:paraId="05288167" w14:textId="77777777" w:rsidR="00BB3061" w:rsidRPr="00A52AEE" w:rsidRDefault="00BB3061" w:rsidP="00FE68E8">
            <w:pPr>
              <w:jc w:val="right"/>
              <w:rPr>
                <w:lang w:eastAsia="en-GB"/>
              </w:rPr>
            </w:pPr>
            <w:r w:rsidRPr="00A52AEE">
              <w:rPr>
                <w:lang w:eastAsia="en-GB"/>
              </w:rPr>
              <w:t>53%</w:t>
            </w:r>
          </w:p>
        </w:tc>
        <w:tc>
          <w:tcPr>
            <w:tcW w:w="690" w:type="pct"/>
            <w:tcBorders>
              <w:top w:val="nil"/>
              <w:left w:val="nil"/>
              <w:bottom w:val="single" w:sz="4" w:space="0" w:color="auto"/>
              <w:right w:val="single" w:sz="4" w:space="0" w:color="auto"/>
            </w:tcBorders>
            <w:shd w:val="clear" w:color="auto" w:fill="auto"/>
            <w:noWrap/>
            <w:vAlign w:val="bottom"/>
            <w:hideMark/>
          </w:tcPr>
          <w:p w14:paraId="7DF8FA45" w14:textId="77777777" w:rsidR="00BB3061" w:rsidRPr="00A52AEE" w:rsidRDefault="00BB3061" w:rsidP="00FE68E8">
            <w:pPr>
              <w:jc w:val="right"/>
              <w:rPr>
                <w:lang w:eastAsia="en-GB"/>
              </w:rPr>
            </w:pPr>
            <w:r w:rsidRPr="00A52AEE">
              <w:rPr>
                <w:lang w:eastAsia="en-GB"/>
              </w:rPr>
              <w:t>19%</w:t>
            </w:r>
          </w:p>
        </w:tc>
        <w:tc>
          <w:tcPr>
            <w:tcW w:w="614" w:type="pct"/>
            <w:tcBorders>
              <w:top w:val="nil"/>
              <w:left w:val="nil"/>
              <w:bottom w:val="single" w:sz="4" w:space="0" w:color="auto"/>
              <w:right w:val="single" w:sz="4" w:space="0" w:color="auto"/>
            </w:tcBorders>
            <w:shd w:val="clear" w:color="auto" w:fill="auto"/>
            <w:noWrap/>
            <w:vAlign w:val="bottom"/>
            <w:hideMark/>
          </w:tcPr>
          <w:p w14:paraId="53A62F90" w14:textId="77777777" w:rsidR="00BB3061" w:rsidRPr="00A52AEE" w:rsidRDefault="00BB3061" w:rsidP="00FE68E8">
            <w:pPr>
              <w:jc w:val="right"/>
              <w:rPr>
                <w:lang w:eastAsia="en-GB"/>
              </w:rPr>
            </w:pPr>
            <w:r w:rsidRPr="00A52AEE">
              <w:rPr>
                <w:lang w:eastAsia="en-GB"/>
              </w:rPr>
              <w:t>11%</w:t>
            </w:r>
          </w:p>
        </w:tc>
        <w:tc>
          <w:tcPr>
            <w:tcW w:w="460" w:type="pct"/>
            <w:tcBorders>
              <w:top w:val="nil"/>
              <w:left w:val="nil"/>
              <w:bottom w:val="single" w:sz="4" w:space="0" w:color="auto"/>
              <w:right w:val="single" w:sz="4" w:space="0" w:color="auto"/>
            </w:tcBorders>
            <w:shd w:val="clear" w:color="auto" w:fill="auto"/>
            <w:noWrap/>
            <w:vAlign w:val="bottom"/>
            <w:hideMark/>
          </w:tcPr>
          <w:p w14:paraId="297B82F4" w14:textId="77777777" w:rsidR="00BB3061" w:rsidRPr="00A52AEE" w:rsidRDefault="00BB3061" w:rsidP="00FE68E8">
            <w:pPr>
              <w:jc w:val="right"/>
              <w:rPr>
                <w:lang w:eastAsia="en-GB"/>
              </w:rPr>
            </w:pPr>
            <w:r w:rsidRPr="00A52AEE">
              <w:rPr>
                <w:lang w:eastAsia="en-GB"/>
              </w:rPr>
              <w:t>4%</w:t>
            </w:r>
          </w:p>
        </w:tc>
        <w:tc>
          <w:tcPr>
            <w:tcW w:w="954" w:type="pct"/>
            <w:tcBorders>
              <w:top w:val="nil"/>
              <w:left w:val="nil"/>
              <w:bottom w:val="single" w:sz="4" w:space="0" w:color="auto"/>
              <w:right w:val="single" w:sz="4" w:space="0" w:color="auto"/>
            </w:tcBorders>
            <w:shd w:val="clear" w:color="auto" w:fill="auto"/>
            <w:noWrap/>
            <w:vAlign w:val="bottom"/>
            <w:hideMark/>
          </w:tcPr>
          <w:p w14:paraId="025B83BD" w14:textId="77777777" w:rsidR="00BB3061" w:rsidRPr="00A52AEE" w:rsidRDefault="00BB3061" w:rsidP="00FE68E8">
            <w:pPr>
              <w:jc w:val="right"/>
              <w:rPr>
                <w:lang w:eastAsia="en-GB"/>
              </w:rPr>
            </w:pPr>
            <w:r w:rsidRPr="00A52AEE">
              <w:rPr>
                <w:lang w:eastAsia="en-GB"/>
              </w:rPr>
              <w:t>13%</w:t>
            </w:r>
          </w:p>
        </w:tc>
      </w:tr>
      <w:tr w:rsidR="00BB3061" w:rsidRPr="00A52AEE" w14:paraId="40BFBB26"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38C9BE3B" w14:textId="77777777" w:rsidR="00BB3061" w:rsidRPr="00A52AEE" w:rsidRDefault="00BB3061" w:rsidP="00A52AEE">
            <w:pPr>
              <w:rPr>
                <w:lang w:eastAsia="en-GB"/>
              </w:rPr>
            </w:pPr>
            <w:r w:rsidRPr="00A52AEE">
              <w:rPr>
                <w:lang w:eastAsia="en-GB"/>
              </w:rPr>
              <w:t>Kingston upon Thames</w:t>
            </w:r>
          </w:p>
        </w:tc>
        <w:tc>
          <w:tcPr>
            <w:tcW w:w="906" w:type="pct"/>
            <w:tcBorders>
              <w:top w:val="nil"/>
              <w:left w:val="nil"/>
              <w:bottom w:val="single" w:sz="4" w:space="0" w:color="auto"/>
              <w:right w:val="single" w:sz="4" w:space="0" w:color="auto"/>
            </w:tcBorders>
            <w:shd w:val="clear" w:color="auto" w:fill="auto"/>
            <w:noWrap/>
            <w:vAlign w:val="bottom"/>
            <w:hideMark/>
          </w:tcPr>
          <w:p w14:paraId="2E93B863" w14:textId="77777777" w:rsidR="00BB3061" w:rsidRPr="00A52AEE" w:rsidRDefault="00BB3061" w:rsidP="00FE68E8">
            <w:pPr>
              <w:jc w:val="right"/>
              <w:rPr>
                <w:lang w:eastAsia="en-GB"/>
              </w:rPr>
            </w:pPr>
            <w:r w:rsidRPr="00A52AEE">
              <w:rPr>
                <w:lang w:eastAsia="en-GB"/>
              </w:rPr>
              <w:t>11%</w:t>
            </w:r>
          </w:p>
        </w:tc>
        <w:tc>
          <w:tcPr>
            <w:tcW w:w="690" w:type="pct"/>
            <w:tcBorders>
              <w:top w:val="nil"/>
              <w:left w:val="nil"/>
              <w:bottom w:val="single" w:sz="4" w:space="0" w:color="auto"/>
              <w:right w:val="single" w:sz="4" w:space="0" w:color="auto"/>
            </w:tcBorders>
            <w:shd w:val="clear" w:color="auto" w:fill="auto"/>
            <w:noWrap/>
            <w:vAlign w:val="bottom"/>
            <w:hideMark/>
          </w:tcPr>
          <w:p w14:paraId="74158C26" w14:textId="77777777" w:rsidR="00BB3061" w:rsidRPr="00A52AEE" w:rsidRDefault="00BB3061" w:rsidP="00FE68E8">
            <w:pPr>
              <w:jc w:val="right"/>
              <w:rPr>
                <w:lang w:eastAsia="en-GB"/>
              </w:rPr>
            </w:pPr>
            <w:r w:rsidRPr="00A52AEE">
              <w:rPr>
                <w:lang w:eastAsia="en-GB"/>
              </w:rPr>
              <w:t>26%</w:t>
            </w:r>
          </w:p>
        </w:tc>
        <w:tc>
          <w:tcPr>
            <w:tcW w:w="614" w:type="pct"/>
            <w:tcBorders>
              <w:top w:val="nil"/>
              <w:left w:val="nil"/>
              <w:bottom w:val="single" w:sz="4" w:space="0" w:color="auto"/>
              <w:right w:val="single" w:sz="4" w:space="0" w:color="auto"/>
            </w:tcBorders>
            <w:shd w:val="clear" w:color="auto" w:fill="auto"/>
            <w:noWrap/>
            <w:vAlign w:val="bottom"/>
            <w:hideMark/>
          </w:tcPr>
          <w:p w14:paraId="79AE7401" w14:textId="77777777" w:rsidR="00BB3061" w:rsidRPr="00A52AEE" w:rsidRDefault="00BB3061" w:rsidP="00FE68E8">
            <w:pPr>
              <w:jc w:val="right"/>
              <w:rPr>
                <w:lang w:eastAsia="en-GB"/>
              </w:rPr>
            </w:pPr>
            <w:r w:rsidRPr="00A52AEE">
              <w:rPr>
                <w:lang w:eastAsia="en-GB"/>
              </w:rPr>
              <w:t>25%</w:t>
            </w:r>
          </w:p>
        </w:tc>
        <w:tc>
          <w:tcPr>
            <w:tcW w:w="460" w:type="pct"/>
            <w:tcBorders>
              <w:top w:val="nil"/>
              <w:left w:val="nil"/>
              <w:bottom w:val="single" w:sz="4" w:space="0" w:color="auto"/>
              <w:right w:val="single" w:sz="4" w:space="0" w:color="auto"/>
            </w:tcBorders>
            <w:shd w:val="clear" w:color="auto" w:fill="auto"/>
            <w:noWrap/>
            <w:vAlign w:val="bottom"/>
            <w:hideMark/>
          </w:tcPr>
          <w:p w14:paraId="34A54147" w14:textId="77777777" w:rsidR="00BB3061" w:rsidRPr="00A52AEE" w:rsidRDefault="00BB3061" w:rsidP="00FE68E8">
            <w:pPr>
              <w:jc w:val="right"/>
              <w:rPr>
                <w:lang w:eastAsia="en-GB"/>
              </w:rPr>
            </w:pPr>
            <w:r w:rsidRPr="00A52AEE">
              <w:rPr>
                <w:lang w:eastAsia="en-GB"/>
              </w:rPr>
              <w:t>20%</w:t>
            </w:r>
          </w:p>
        </w:tc>
        <w:tc>
          <w:tcPr>
            <w:tcW w:w="954" w:type="pct"/>
            <w:tcBorders>
              <w:top w:val="nil"/>
              <w:left w:val="nil"/>
              <w:bottom w:val="single" w:sz="4" w:space="0" w:color="auto"/>
              <w:right w:val="single" w:sz="4" w:space="0" w:color="auto"/>
            </w:tcBorders>
            <w:shd w:val="clear" w:color="auto" w:fill="auto"/>
            <w:noWrap/>
            <w:vAlign w:val="bottom"/>
            <w:hideMark/>
          </w:tcPr>
          <w:p w14:paraId="42C5FE76" w14:textId="77777777" w:rsidR="00BB3061" w:rsidRPr="00A52AEE" w:rsidRDefault="00BB3061" w:rsidP="00FE68E8">
            <w:pPr>
              <w:jc w:val="right"/>
              <w:rPr>
                <w:lang w:eastAsia="en-GB"/>
              </w:rPr>
            </w:pPr>
            <w:r w:rsidRPr="00A52AEE">
              <w:rPr>
                <w:lang w:eastAsia="en-GB"/>
              </w:rPr>
              <w:t>19%</w:t>
            </w:r>
          </w:p>
        </w:tc>
      </w:tr>
      <w:tr w:rsidR="00BB3061" w:rsidRPr="00A52AEE" w14:paraId="0787841C"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67B892F" w14:textId="77777777" w:rsidR="00BB3061" w:rsidRPr="00A52AEE" w:rsidRDefault="00BB3061" w:rsidP="00A52AEE">
            <w:pPr>
              <w:rPr>
                <w:lang w:eastAsia="en-GB"/>
              </w:rPr>
            </w:pPr>
            <w:r w:rsidRPr="00A52AEE">
              <w:rPr>
                <w:lang w:eastAsia="en-GB"/>
              </w:rPr>
              <w:t>Lambeth</w:t>
            </w:r>
          </w:p>
        </w:tc>
        <w:tc>
          <w:tcPr>
            <w:tcW w:w="906" w:type="pct"/>
            <w:tcBorders>
              <w:top w:val="nil"/>
              <w:left w:val="nil"/>
              <w:bottom w:val="single" w:sz="4" w:space="0" w:color="auto"/>
              <w:right w:val="single" w:sz="4" w:space="0" w:color="auto"/>
            </w:tcBorders>
            <w:shd w:val="clear" w:color="auto" w:fill="auto"/>
            <w:noWrap/>
            <w:vAlign w:val="bottom"/>
            <w:hideMark/>
          </w:tcPr>
          <w:p w14:paraId="1C4A8487" w14:textId="77777777" w:rsidR="00BB3061" w:rsidRPr="00A52AEE" w:rsidRDefault="00BB3061" w:rsidP="00FE68E8">
            <w:pPr>
              <w:jc w:val="right"/>
              <w:rPr>
                <w:lang w:eastAsia="en-GB"/>
              </w:rPr>
            </w:pPr>
            <w:r w:rsidRPr="00A52AEE">
              <w:rPr>
                <w:lang w:eastAsia="en-GB"/>
              </w:rPr>
              <w:t>72%</w:t>
            </w:r>
          </w:p>
        </w:tc>
        <w:tc>
          <w:tcPr>
            <w:tcW w:w="690" w:type="pct"/>
            <w:tcBorders>
              <w:top w:val="nil"/>
              <w:left w:val="nil"/>
              <w:bottom w:val="single" w:sz="4" w:space="0" w:color="auto"/>
              <w:right w:val="single" w:sz="4" w:space="0" w:color="auto"/>
            </w:tcBorders>
            <w:shd w:val="clear" w:color="auto" w:fill="auto"/>
            <w:noWrap/>
            <w:vAlign w:val="bottom"/>
            <w:hideMark/>
          </w:tcPr>
          <w:p w14:paraId="71CAE836" w14:textId="77777777" w:rsidR="00BB3061" w:rsidRPr="00A52AEE" w:rsidRDefault="00BB3061" w:rsidP="00FE68E8">
            <w:pPr>
              <w:jc w:val="right"/>
              <w:rPr>
                <w:lang w:eastAsia="en-GB"/>
              </w:rPr>
            </w:pPr>
            <w:r w:rsidRPr="00A52AEE">
              <w:rPr>
                <w:lang w:eastAsia="en-GB"/>
              </w:rPr>
              <w:t>22%</w:t>
            </w:r>
          </w:p>
        </w:tc>
        <w:tc>
          <w:tcPr>
            <w:tcW w:w="614" w:type="pct"/>
            <w:tcBorders>
              <w:top w:val="nil"/>
              <w:left w:val="nil"/>
              <w:bottom w:val="single" w:sz="4" w:space="0" w:color="auto"/>
              <w:right w:val="single" w:sz="4" w:space="0" w:color="auto"/>
            </w:tcBorders>
            <w:shd w:val="clear" w:color="auto" w:fill="auto"/>
            <w:noWrap/>
            <w:vAlign w:val="bottom"/>
            <w:hideMark/>
          </w:tcPr>
          <w:p w14:paraId="103B502A" w14:textId="77777777" w:rsidR="00BB3061" w:rsidRPr="00A52AEE" w:rsidRDefault="00BB3061" w:rsidP="00FE68E8">
            <w:pPr>
              <w:jc w:val="right"/>
              <w:rPr>
                <w:lang w:eastAsia="en-GB"/>
              </w:rPr>
            </w:pPr>
            <w:r w:rsidRPr="00A52AEE">
              <w:rPr>
                <w:lang w:eastAsia="en-GB"/>
              </w:rPr>
              <w:t>4%</w:t>
            </w:r>
          </w:p>
        </w:tc>
        <w:tc>
          <w:tcPr>
            <w:tcW w:w="460" w:type="pct"/>
            <w:tcBorders>
              <w:top w:val="nil"/>
              <w:left w:val="nil"/>
              <w:bottom w:val="single" w:sz="4" w:space="0" w:color="auto"/>
              <w:right w:val="single" w:sz="4" w:space="0" w:color="auto"/>
            </w:tcBorders>
            <w:shd w:val="clear" w:color="auto" w:fill="auto"/>
            <w:noWrap/>
            <w:vAlign w:val="bottom"/>
            <w:hideMark/>
          </w:tcPr>
          <w:p w14:paraId="4E7F0824" w14:textId="77777777" w:rsidR="00BB3061" w:rsidRPr="00A52AEE" w:rsidRDefault="00BB3061" w:rsidP="00FE68E8">
            <w:pPr>
              <w:jc w:val="right"/>
              <w:rPr>
                <w:lang w:eastAsia="en-GB"/>
              </w:rPr>
            </w:pPr>
            <w:r w:rsidRPr="00A52AEE">
              <w:rPr>
                <w:lang w:eastAsia="en-GB"/>
              </w:rPr>
              <w:t>2%</w:t>
            </w:r>
          </w:p>
        </w:tc>
        <w:tc>
          <w:tcPr>
            <w:tcW w:w="954" w:type="pct"/>
            <w:tcBorders>
              <w:top w:val="nil"/>
              <w:left w:val="nil"/>
              <w:bottom w:val="single" w:sz="4" w:space="0" w:color="auto"/>
              <w:right w:val="single" w:sz="4" w:space="0" w:color="auto"/>
            </w:tcBorders>
            <w:shd w:val="clear" w:color="auto" w:fill="auto"/>
            <w:noWrap/>
            <w:vAlign w:val="bottom"/>
            <w:hideMark/>
          </w:tcPr>
          <w:p w14:paraId="7A681F59" w14:textId="77777777" w:rsidR="00BB3061" w:rsidRPr="00A52AEE" w:rsidRDefault="00BB3061" w:rsidP="00FE68E8">
            <w:pPr>
              <w:jc w:val="right"/>
              <w:rPr>
                <w:lang w:eastAsia="en-GB"/>
              </w:rPr>
            </w:pPr>
            <w:r w:rsidRPr="00A52AEE">
              <w:rPr>
                <w:lang w:eastAsia="en-GB"/>
              </w:rPr>
              <w:t>0%</w:t>
            </w:r>
          </w:p>
        </w:tc>
      </w:tr>
      <w:tr w:rsidR="00BB3061" w:rsidRPr="00A52AEE" w14:paraId="25829CCB"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4E3D380" w14:textId="77777777" w:rsidR="00BB3061" w:rsidRPr="00A52AEE" w:rsidRDefault="00BB3061" w:rsidP="00A52AEE">
            <w:pPr>
              <w:rPr>
                <w:lang w:eastAsia="en-GB"/>
              </w:rPr>
            </w:pPr>
            <w:r w:rsidRPr="00A52AEE">
              <w:rPr>
                <w:lang w:eastAsia="en-GB"/>
              </w:rPr>
              <w:t>Lewisham</w:t>
            </w:r>
          </w:p>
        </w:tc>
        <w:tc>
          <w:tcPr>
            <w:tcW w:w="906" w:type="pct"/>
            <w:tcBorders>
              <w:top w:val="nil"/>
              <w:left w:val="nil"/>
              <w:bottom w:val="single" w:sz="4" w:space="0" w:color="auto"/>
              <w:right w:val="single" w:sz="4" w:space="0" w:color="auto"/>
            </w:tcBorders>
            <w:shd w:val="clear" w:color="auto" w:fill="auto"/>
            <w:noWrap/>
            <w:vAlign w:val="bottom"/>
            <w:hideMark/>
          </w:tcPr>
          <w:p w14:paraId="6335D194" w14:textId="77777777" w:rsidR="00BB3061" w:rsidRPr="00A52AEE" w:rsidRDefault="00BB3061" w:rsidP="00FE68E8">
            <w:pPr>
              <w:jc w:val="right"/>
              <w:rPr>
                <w:lang w:eastAsia="en-GB"/>
              </w:rPr>
            </w:pPr>
            <w:r w:rsidRPr="00A52AEE">
              <w:rPr>
                <w:lang w:eastAsia="en-GB"/>
              </w:rPr>
              <w:t>57%</w:t>
            </w:r>
          </w:p>
        </w:tc>
        <w:tc>
          <w:tcPr>
            <w:tcW w:w="690" w:type="pct"/>
            <w:tcBorders>
              <w:top w:val="nil"/>
              <w:left w:val="nil"/>
              <w:bottom w:val="single" w:sz="4" w:space="0" w:color="auto"/>
              <w:right w:val="single" w:sz="4" w:space="0" w:color="auto"/>
            </w:tcBorders>
            <w:shd w:val="clear" w:color="auto" w:fill="auto"/>
            <w:noWrap/>
            <w:vAlign w:val="bottom"/>
            <w:hideMark/>
          </w:tcPr>
          <w:p w14:paraId="22B6132D" w14:textId="77777777" w:rsidR="00BB3061" w:rsidRPr="00A52AEE" w:rsidRDefault="00BB3061" w:rsidP="00FE68E8">
            <w:pPr>
              <w:jc w:val="right"/>
              <w:rPr>
                <w:lang w:eastAsia="en-GB"/>
              </w:rPr>
            </w:pPr>
            <w:r w:rsidRPr="00A52AEE">
              <w:rPr>
                <w:lang w:eastAsia="en-GB"/>
              </w:rPr>
              <w:t>34%</w:t>
            </w:r>
          </w:p>
        </w:tc>
        <w:tc>
          <w:tcPr>
            <w:tcW w:w="614" w:type="pct"/>
            <w:tcBorders>
              <w:top w:val="nil"/>
              <w:left w:val="nil"/>
              <w:bottom w:val="single" w:sz="4" w:space="0" w:color="auto"/>
              <w:right w:val="single" w:sz="4" w:space="0" w:color="auto"/>
            </w:tcBorders>
            <w:shd w:val="clear" w:color="auto" w:fill="auto"/>
            <w:noWrap/>
            <w:vAlign w:val="bottom"/>
            <w:hideMark/>
          </w:tcPr>
          <w:p w14:paraId="3E0A7B37" w14:textId="77777777" w:rsidR="00BB3061" w:rsidRPr="00A52AEE" w:rsidRDefault="00BB3061" w:rsidP="00FE68E8">
            <w:pPr>
              <w:jc w:val="right"/>
              <w:rPr>
                <w:lang w:eastAsia="en-GB"/>
              </w:rPr>
            </w:pPr>
            <w:r w:rsidRPr="00A52AEE">
              <w:rPr>
                <w:lang w:eastAsia="en-GB"/>
              </w:rPr>
              <w:t>7%</w:t>
            </w:r>
          </w:p>
        </w:tc>
        <w:tc>
          <w:tcPr>
            <w:tcW w:w="460" w:type="pct"/>
            <w:tcBorders>
              <w:top w:val="nil"/>
              <w:left w:val="nil"/>
              <w:bottom w:val="single" w:sz="4" w:space="0" w:color="auto"/>
              <w:right w:val="single" w:sz="4" w:space="0" w:color="auto"/>
            </w:tcBorders>
            <w:shd w:val="clear" w:color="auto" w:fill="auto"/>
            <w:noWrap/>
            <w:vAlign w:val="bottom"/>
            <w:hideMark/>
          </w:tcPr>
          <w:p w14:paraId="3325CCF7" w14:textId="77777777" w:rsidR="00BB3061" w:rsidRPr="00A52AEE" w:rsidRDefault="00BB3061" w:rsidP="00FE68E8">
            <w:pPr>
              <w:jc w:val="right"/>
              <w:rPr>
                <w:lang w:eastAsia="en-GB"/>
              </w:rPr>
            </w:pPr>
            <w:r w:rsidRPr="00A52AEE">
              <w:rPr>
                <w:lang w:eastAsia="en-GB"/>
              </w:rPr>
              <w:t>1%</w:t>
            </w:r>
          </w:p>
        </w:tc>
        <w:tc>
          <w:tcPr>
            <w:tcW w:w="954" w:type="pct"/>
            <w:tcBorders>
              <w:top w:val="nil"/>
              <w:left w:val="nil"/>
              <w:bottom w:val="single" w:sz="4" w:space="0" w:color="auto"/>
              <w:right w:val="single" w:sz="4" w:space="0" w:color="auto"/>
            </w:tcBorders>
            <w:shd w:val="clear" w:color="auto" w:fill="auto"/>
            <w:noWrap/>
            <w:vAlign w:val="bottom"/>
            <w:hideMark/>
          </w:tcPr>
          <w:p w14:paraId="4C34ED5B" w14:textId="77777777" w:rsidR="00BB3061" w:rsidRPr="00A52AEE" w:rsidRDefault="00BB3061" w:rsidP="00FE68E8">
            <w:pPr>
              <w:jc w:val="right"/>
              <w:rPr>
                <w:lang w:eastAsia="en-GB"/>
              </w:rPr>
            </w:pPr>
            <w:r w:rsidRPr="00A52AEE">
              <w:rPr>
                <w:lang w:eastAsia="en-GB"/>
              </w:rPr>
              <w:t>0%</w:t>
            </w:r>
          </w:p>
        </w:tc>
      </w:tr>
      <w:tr w:rsidR="00BB3061" w:rsidRPr="00A52AEE" w14:paraId="7C9057F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EC5DE55" w14:textId="77777777" w:rsidR="00BB3061" w:rsidRPr="00A52AEE" w:rsidRDefault="00BB3061" w:rsidP="00A52AEE">
            <w:pPr>
              <w:rPr>
                <w:lang w:eastAsia="en-GB"/>
              </w:rPr>
            </w:pPr>
            <w:r w:rsidRPr="00A52AEE">
              <w:rPr>
                <w:lang w:eastAsia="en-GB"/>
              </w:rPr>
              <w:t>Merton</w:t>
            </w:r>
          </w:p>
        </w:tc>
        <w:tc>
          <w:tcPr>
            <w:tcW w:w="906" w:type="pct"/>
            <w:tcBorders>
              <w:top w:val="nil"/>
              <w:left w:val="nil"/>
              <w:bottom w:val="single" w:sz="4" w:space="0" w:color="auto"/>
              <w:right w:val="single" w:sz="4" w:space="0" w:color="auto"/>
            </w:tcBorders>
            <w:shd w:val="clear" w:color="auto" w:fill="auto"/>
            <w:noWrap/>
            <w:vAlign w:val="bottom"/>
            <w:hideMark/>
          </w:tcPr>
          <w:p w14:paraId="27EF1A67" w14:textId="77777777" w:rsidR="00BB3061" w:rsidRPr="00A52AEE" w:rsidRDefault="00BB3061" w:rsidP="00FE68E8">
            <w:pPr>
              <w:jc w:val="right"/>
              <w:rPr>
                <w:lang w:eastAsia="en-GB"/>
              </w:rPr>
            </w:pPr>
            <w:r w:rsidRPr="00A52AEE">
              <w:rPr>
                <w:lang w:eastAsia="en-GB"/>
              </w:rPr>
              <w:t>30%</w:t>
            </w:r>
          </w:p>
        </w:tc>
        <w:tc>
          <w:tcPr>
            <w:tcW w:w="690" w:type="pct"/>
            <w:tcBorders>
              <w:top w:val="nil"/>
              <w:left w:val="nil"/>
              <w:bottom w:val="single" w:sz="4" w:space="0" w:color="auto"/>
              <w:right w:val="single" w:sz="4" w:space="0" w:color="auto"/>
            </w:tcBorders>
            <w:shd w:val="clear" w:color="auto" w:fill="auto"/>
            <w:noWrap/>
            <w:vAlign w:val="bottom"/>
            <w:hideMark/>
          </w:tcPr>
          <w:p w14:paraId="1AD4ABC0" w14:textId="77777777" w:rsidR="00BB3061" w:rsidRPr="00A52AEE" w:rsidRDefault="00BB3061" w:rsidP="00FE68E8">
            <w:pPr>
              <w:jc w:val="right"/>
              <w:rPr>
                <w:lang w:eastAsia="en-GB"/>
              </w:rPr>
            </w:pPr>
            <w:r w:rsidRPr="00A52AEE">
              <w:rPr>
                <w:lang w:eastAsia="en-GB"/>
              </w:rPr>
              <w:t>31%</w:t>
            </w:r>
          </w:p>
        </w:tc>
        <w:tc>
          <w:tcPr>
            <w:tcW w:w="614" w:type="pct"/>
            <w:tcBorders>
              <w:top w:val="nil"/>
              <w:left w:val="nil"/>
              <w:bottom w:val="single" w:sz="4" w:space="0" w:color="auto"/>
              <w:right w:val="single" w:sz="4" w:space="0" w:color="auto"/>
            </w:tcBorders>
            <w:shd w:val="clear" w:color="auto" w:fill="auto"/>
            <w:noWrap/>
            <w:vAlign w:val="bottom"/>
            <w:hideMark/>
          </w:tcPr>
          <w:p w14:paraId="6BCD9F6B" w14:textId="77777777" w:rsidR="00BB3061" w:rsidRPr="00A52AEE" w:rsidRDefault="00BB3061" w:rsidP="00FE68E8">
            <w:pPr>
              <w:jc w:val="right"/>
              <w:rPr>
                <w:lang w:eastAsia="en-GB"/>
              </w:rPr>
            </w:pPr>
            <w:r w:rsidRPr="00A52AEE">
              <w:rPr>
                <w:lang w:eastAsia="en-GB"/>
              </w:rPr>
              <w:t>21%</w:t>
            </w:r>
          </w:p>
        </w:tc>
        <w:tc>
          <w:tcPr>
            <w:tcW w:w="460" w:type="pct"/>
            <w:tcBorders>
              <w:top w:val="nil"/>
              <w:left w:val="nil"/>
              <w:bottom w:val="single" w:sz="4" w:space="0" w:color="auto"/>
              <w:right w:val="single" w:sz="4" w:space="0" w:color="auto"/>
            </w:tcBorders>
            <w:shd w:val="clear" w:color="auto" w:fill="auto"/>
            <w:noWrap/>
            <w:vAlign w:val="bottom"/>
            <w:hideMark/>
          </w:tcPr>
          <w:p w14:paraId="4A69AE54" w14:textId="77777777" w:rsidR="00BB3061" w:rsidRPr="00A52AEE" w:rsidRDefault="00BB3061" w:rsidP="00FE68E8">
            <w:pPr>
              <w:jc w:val="right"/>
              <w:rPr>
                <w:lang w:eastAsia="en-GB"/>
              </w:rPr>
            </w:pPr>
            <w:r w:rsidRPr="00A52AEE">
              <w:rPr>
                <w:lang w:eastAsia="en-GB"/>
              </w:rPr>
              <w:t>11%</w:t>
            </w:r>
          </w:p>
        </w:tc>
        <w:tc>
          <w:tcPr>
            <w:tcW w:w="954" w:type="pct"/>
            <w:tcBorders>
              <w:top w:val="nil"/>
              <w:left w:val="nil"/>
              <w:bottom w:val="single" w:sz="4" w:space="0" w:color="auto"/>
              <w:right w:val="single" w:sz="4" w:space="0" w:color="auto"/>
            </w:tcBorders>
            <w:shd w:val="clear" w:color="auto" w:fill="auto"/>
            <w:noWrap/>
            <w:vAlign w:val="bottom"/>
            <w:hideMark/>
          </w:tcPr>
          <w:p w14:paraId="53519A11" w14:textId="77777777" w:rsidR="00BB3061" w:rsidRPr="00A52AEE" w:rsidRDefault="00BB3061" w:rsidP="00FE68E8">
            <w:pPr>
              <w:jc w:val="right"/>
              <w:rPr>
                <w:lang w:eastAsia="en-GB"/>
              </w:rPr>
            </w:pPr>
            <w:r w:rsidRPr="00A52AEE">
              <w:rPr>
                <w:lang w:eastAsia="en-GB"/>
              </w:rPr>
              <w:t>8%</w:t>
            </w:r>
          </w:p>
        </w:tc>
      </w:tr>
      <w:tr w:rsidR="00BB3061" w:rsidRPr="00A52AEE" w14:paraId="404737B8"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88A8341" w14:textId="77777777" w:rsidR="00BB3061" w:rsidRPr="00A52AEE" w:rsidRDefault="00BB3061" w:rsidP="00A52AEE">
            <w:pPr>
              <w:rPr>
                <w:lang w:eastAsia="en-GB"/>
              </w:rPr>
            </w:pPr>
            <w:r w:rsidRPr="00A52AEE">
              <w:rPr>
                <w:lang w:eastAsia="en-GB"/>
              </w:rPr>
              <w:t>Newham</w:t>
            </w:r>
          </w:p>
        </w:tc>
        <w:tc>
          <w:tcPr>
            <w:tcW w:w="906" w:type="pct"/>
            <w:tcBorders>
              <w:top w:val="nil"/>
              <w:left w:val="nil"/>
              <w:bottom w:val="single" w:sz="4" w:space="0" w:color="auto"/>
              <w:right w:val="single" w:sz="4" w:space="0" w:color="auto"/>
            </w:tcBorders>
            <w:shd w:val="clear" w:color="auto" w:fill="auto"/>
            <w:noWrap/>
            <w:vAlign w:val="bottom"/>
            <w:hideMark/>
          </w:tcPr>
          <w:p w14:paraId="04DA3234" w14:textId="77777777" w:rsidR="00BB3061" w:rsidRPr="00A52AEE" w:rsidRDefault="00BB3061" w:rsidP="00FE68E8">
            <w:pPr>
              <w:jc w:val="right"/>
              <w:rPr>
                <w:lang w:eastAsia="en-GB"/>
              </w:rPr>
            </w:pPr>
            <w:r w:rsidRPr="00A52AEE">
              <w:rPr>
                <w:lang w:eastAsia="en-GB"/>
              </w:rPr>
              <w:t>97%</w:t>
            </w:r>
          </w:p>
        </w:tc>
        <w:tc>
          <w:tcPr>
            <w:tcW w:w="690" w:type="pct"/>
            <w:tcBorders>
              <w:top w:val="nil"/>
              <w:left w:val="nil"/>
              <w:bottom w:val="single" w:sz="4" w:space="0" w:color="auto"/>
              <w:right w:val="single" w:sz="4" w:space="0" w:color="auto"/>
            </w:tcBorders>
            <w:shd w:val="clear" w:color="auto" w:fill="auto"/>
            <w:noWrap/>
            <w:vAlign w:val="bottom"/>
            <w:hideMark/>
          </w:tcPr>
          <w:p w14:paraId="41C4A359" w14:textId="77777777" w:rsidR="00BB3061" w:rsidRPr="00A52AEE" w:rsidRDefault="00BB3061" w:rsidP="00FE68E8">
            <w:pPr>
              <w:jc w:val="right"/>
              <w:rPr>
                <w:lang w:eastAsia="en-GB"/>
              </w:rPr>
            </w:pPr>
            <w:r w:rsidRPr="00A52AEE">
              <w:rPr>
                <w:lang w:eastAsia="en-GB"/>
              </w:rPr>
              <w:t>3%</w:t>
            </w:r>
          </w:p>
        </w:tc>
        <w:tc>
          <w:tcPr>
            <w:tcW w:w="614" w:type="pct"/>
            <w:tcBorders>
              <w:top w:val="nil"/>
              <w:left w:val="nil"/>
              <w:bottom w:val="single" w:sz="4" w:space="0" w:color="auto"/>
              <w:right w:val="single" w:sz="4" w:space="0" w:color="auto"/>
            </w:tcBorders>
            <w:shd w:val="clear" w:color="auto" w:fill="auto"/>
            <w:noWrap/>
            <w:vAlign w:val="bottom"/>
            <w:hideMark/>
          </w:tcPr>
          <w:p w14:paraId="2FBB587D" w14:textId="77777777" w:rsidR="00BB3061" w:rsidRPr="00A52AEE" w:rsidRDefault="00BB3061" w:rsidP="00FE68E8">
            <w:pPr>
              <w:jc w:val="right"/>
              <w:rPr>
                <w:lang w:eastAsia="en-GB"/>
              </w:rPr>
            </w:pPr>
            <w:r w:rsidRPr="00A52AEE">
              <w:rPr>
                <w:lang w:eastAsia="en-GB"/>
              </w:rPr>
              <w:t>0%</w:t>
            </w:r>
          </w:p>
        </w:tc>
        <w:tc>
          <w:tcPr>
            <w:tcW w:w="460" w:type="pct"/>
            <w:tcBorders>
              <w:top w:val="nil"/>
              <w:left w:val="nil"/>
              <w:bottom w:val="single" w:sz="4" w:space="0" w:color="auto"/>
              <w:right w:val="single" w:sz="4" w:space="0" w:color="auto"/>
            </w:tcBorders>
            <w:shd w:val="clear" w:color="auto" w:fill="auto"/>
            <w:noWrap/>
            <w:vAlign w:val="bottom"/>
            <w:hideMark/>
          </w:tcPr>
          <w:p w14:paraId="413E6E01"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130EF7DB" w14:textId="77777777" w:rsidR="00BB3061" w:rsidRPr="00A52AEE" w:rsidRDefault="00BB3061" w:rsidP="00FE68E8">
            <w:pPr>
              <w:jc w:val="right"/>
              <w:rPr>
                <w:lang w:eastAsia="en-GB"/>
              </w:rPr>
            </w:pPr>
            <w:r w:rsidRPr="00A52AEE">
              <w:rPr>
                <w:lang w:eastAsia="en-GB"/>
              </w:rPr>
              <w:t>0%</w:t>
            </w:r>
          </w:p>
        </w:tc>
      </w:tr>
      <w:tr w:rsidR="00BB3061" w:rsidRPr="00A52AEE" w14:paraId="063F3AAF"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0731594D" w14:textId="77777777" w:rsidR="00BB3061" w:rsidRPr="00A52AEE" w:rsidRDefault="00BB3061" w:rsidP="00A52AEE">
            <w:pPr>
              <w:rPr>
                <w:lang w:eastAsia="en-GB"/>
              </w:rPr>
            </w:pPr>
            <w:r w:rsidRPr="00A52AEE">
              <w:rPr>
                <w:lang w:eastAsia="en-GB"/>
              </w:rPr>
              <w:t>Redbridge</w:t>
            </w:r>
          </w:p>
        </w:tc>
        <w:tc>
          <w:tcPr>
            <w:tcW w:w="906" w:type="pct"/>
            <w:tcBorders>
              <w:top w:val="nil"/>
              <w:left w:val="nil"/>
              <w:bottom w:val="single" w:sz="4" w:space="0" w:color="auto"/>
              <w:right w:val="single" w:sz="4" w:space="0" w:color="auto"/>
            </w:tcBorders>
            <w:shd w:val="clear" w:color="auto" w:fill="auto"/>
            <w:noWrap/>
            <w:vAlign w:val="bottom"/>
            <w:hideMark/>
          </w:tcPr>
          <w:p w14:paraId="0B3B8F15" w14:textId="77777777" w:rsidR="00BB3061" w:rsidRPr="00A52AEE" w:rsidRDefault="00BB3061" w:rsidP="00FE68E8">
            <w:pPr>
              <w:jc w:val="right"/>
              <w:rPr>
                <w:lang w:eastAsia="en-GB"/>
              </w:rPr>
            </w:pPr>
            <w:r w:rsidRPr="00A52AEE">
              <w:rPr>
                <w:lang w:eastAsia="en-GB"/>
              </w:rPr>
              <w:t>37%</w:t>
            </w:r>
          </w:p>
        </w:tc>
        <w:tc>
          <w:tcPr>
            <w:tcW w:w="690" w:type="pct"/>
            <w:tcBorders>
              <w:top w:val="nil"/>
              <w:left w:val="nil"/>
              <w:bottom w:val="single" w:sz="4" w:space="0" w:color="auto"/>
              <w:right w:val="single" w:sz="4" w:space="0" w:color="auto"/>
            </w:tcBorders>
            <w:shd w:val="clear" w:color="auto" w:fill="auto"/>
            <w:noWrap/>
            <w:vAlign w:val="bottom"/>
            <w:hideMark/>
          </w:tcPr>
          <w:p w14:paraId="06ECBD46" w14:textId="77777777" w:rsidR="00BB3061" w:rsidRPr="00A52AEE" w:rsidRDefault="00BB3061" w:rsidP="00FE68E8">
            <w:pPr>
              <w:jc w:val="right"/>
              <w:rPr>
                <w:lang w:eastAsia="en-GB"/>
              </w:rPr>
            </w:pPr>
            <w:r w:rsidRPr="00A52AEE">
              <w:rPr>
                <w:lang w:eastAsia="en-GB"/>
              </w:rPr>
              <w:t>41%</w:t>
            </w:r>
          </w:p>
        </w:tc>
        <w:tc>
          <w:tcPr>
            <w:tcW w:w="614" w:type="pct"/>
            <w:tcBorders>
              <w:top w:val="nil"/>
              <w:left w:val="nil"/>
              <w:bottom w:val="single" w:sz="4" w:space="0" w:color="auto"/>
              <w:right w:val="single" w:sz="4" w:space="0" w:color="auto"/>
            </w:tcBorders>
            <w:shd w:val="clear" w:color="auto" w:fill="auto"/>
            <w:noWrap/>
            <w:vAlign w:val="bottom"/>
            <w:hideMark/>
          </w:tcPr>
          <w:p w14:paraId="4325D316" w14:textId="77777777" w:rsidR="00BB3061" w:rsidRPr="00A52AEE" w:rsidRDefault="00BB3061" w:rsidP="00FE68E8">
            <w:pPr>
              <w:jc w:val="right"/>
              <w:rPr>
                <w:lang w:eastAsia="en-GB"/>
              </w:rPr>
            </w:pPr>
            <w:r w:rsidRPr="00A52AEE">
              <w:rPr>
                <w:lang w:eastAsia="en-GB"/>
              </w:rPr>
              <w:t>15%</w:t>
            </w:r>
          </w:p>
        </w:tc>
        <w:tc>
          <w:tcPr>
            <w:tcW w:w="460" w:type="pct"/>
            <w:tcBorders>
              <w:top w:val="nil"/>
              <w:left w:val="nil"/>
              <w:bottom w:val="single" w:sz="4" w:space="0" w:color="auto"/>
              <w:right w:val="single" w:sz="4" w:space="0" w:color="auto"/>
            </w:tcBorders>
            <w:shd w:val="clear" w:color="auto" w:fill="auto"/>
            <w:noWrap/>
            <w:vAlign w:val="bottom"/>
            <w:hideMark/>
          </w:tcPr>
          <w:p w14:paraId="1D1FD6B9" w14:textId="77777777" w:rsidR="00BB3061" w:rsidRPr="00A52AEE" w:rsidRDefault="00BB3061" w:rsidP="00FE68E8">
            <w:pPr>
              <w:jc w:val="right"/>
              <w:rPr>
                <w:lang w:eastAsia="en-GB"/>
              </w:rPr>
            </w:pPr>
            <w:r w:rsidRPr="00A52AEE">
              <w:rPr>
                <w:lang w:eastAsia="en-GB"/>
              </w:rPr>
              <w:t>3%</w:t>
            </w:r>
          </w:p>
        </w:tc>
        <w:tc>
          <w:tcPr>
            <w:tcW w:w="954" w:type="pct"/>
            <w:tcBorders>
              <w:top w:val="nil"/>
              <w:left w:val="nil"/>
              <w:bottom w:val="single" w:sz="4" w:space="0" w:color="auto"/>
              <w:right w:val="single" w:sz="4" w:space="0" w:color="auto"/>
            </w:tcBorders>
            <w:shd w:val="clear" w:color="auto" w:fill="auto"/>
            <w:noWrap/>
            <w:vAlign w:val="bottom"/>
            <w:hideMark/>
          </w:tcPr>
          <w:p w14:paraId="697D47FA" w14:textId="77777777" w:rsidR="00BB3061" w:rsidRPr="00A52AEE" w:rsidRDefault="00BB3061" w:rsidP="00FE68E8">
            <w:pPr>
              <w:jc w:val="right"/>
              <w:rPr>
                <w:lang w:eastAsia="en-GB"/>
              </w:rPr>
            </w:pPr>
            <w:r w:rsidRPr="00A52AEE">
              <w:rPr>
                <w:lang w:eastAsia="en-GB"/>
              </w:rPr>
              <w:t>3%</w:t>
            </w:r>
          </w:p>
        </w:tc>
      </w:tr>
      <w:tr w:rsidR="00BB3061" w:rsidRPr="00A52AEE" w14:paraId="1F803F7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42BAFE87" w14:textId="77777777" w:rsidR="00BB3061" w:rsidRPr="00A52AEE" w:rsidRDefault="00BB3061" w:rsidP="00A52AEE">
            <w:pPr>
              <w:rPr>
                <w:lang w:eastAsia="en-GB"/>
              </w:rPr>
            </w:pPr>
            <w:r w:rsidRPr="00A52AEE">
              <w:rPr>
                <w:lang w:eastAsia="en-GB"/>
              </w:rPr>
              <w:t>Richmond upon Thames</w:t>
            </w:r>
          </w:p>
        </w:tc>
        <w:tc>
          <w:tcPr>
            <w:tcW w:w="906" w:type="pct"/>
            <w:tcBorders>
              <w:top w:val="nil"/>
              <w:left w:val="nil"/>
              <w:bottom w:val="single" w:sz="4" w:space="0" w:color="auto"/>
              <w:right w:val="single" w:sz="4" w:space="0" w:color="auto"/>
            </w:tcBorders>
            <w:shd w:val="clear" w:color="auto" w:fill="auto"/>
            <w:noWrap/>
            <w:vAlign w:val="bottom"/>
            <w:hideMark/>
          </w:tcPr>
          <w:p w14:paraId="1AC3484D" w14:textId="77777777" w:rsidR="00BB3061" w:rsidRPr="00A52AEE" w:rsidRDefault="00BB3061" w:rsidP="00FE68E8">
            <w:pPr>
              <w:jc w:val="right"/>
              <w:rPr>
                <w:lang w:eastAsia="en-GB"/>
              </w:rPr>
            </w:pPr>
            <w:r w:rsidRPr="00A52AEE">
              <w:rPr>
                <w:lang w:eastAsia="en-GB"/>
              </w:rPr>
              <w:t>4%</w:t>
            </w:r>
          </w:p>
        </w:tc>
        <w:tc>
          <w:tcPr>
            <w:tcW w:w="690" w:type="pct"/>
            <w:tcBorders>
              <w:top w:val="nil"/>
              <w:left w:val="nil"/>
              <w:bottom w:val="single" w:sz="4" w:space="0" w:color="auto"/>
              <w:right w:val="single" w:sz="4" w:space="0" w:color="auto"/>
            </w:tcBorders>
            <w:shd w:val="clear" w:color="auto" w:fill="auto"/>
            <w:noWrap/>
            <w:vAlign w:val="bottom"/>
            <w:hideMark/>
          </w:tcPr>
          <w:p w14:paraId="50B981D8" w14:textId="77777777" w:rsidR="00BB3061" w:rsidRPr="00A52AEE" w:rsidRDefault="00BB3061" w:rsidP="00FE68E8">
            <w:pPr>
              <w:jc w:val="right"/>
              <w:rPr>
                <w:lang w:eastAsia="en-GB"/>
              </w:rPr>
            </w:pPr>
            <w:r w:rsidRPr="00A52AEE">
              <w:rPr>
                <w:lang w:eastAsia="en-GB"/>
              </w:rPr>
              <w:t>14%</w:t>
            </w:r>
          </w:p>
        </w:tc>
        <w:tc>
          <w:tcPr>
            <w:tcW w:w="614" w:type="pct"/>
            <w:tcBorders>
              <w:top w:val="nil"/>
              <w:left w:val="nil"/>
              <w:bottom w:val="single" w:sz="4" w:space="0" w:color="auto"/>
              <w:right w:val="single" w:sz="4" w:space="0" w:color="auto"/>
            </w:tcBorders>
            <w:shd w:val="clear" w:color="auto" w:fill="auto"/>
            <w:noWrap/>
            <w:vAlign w:val="bottom"/>
            <w:hideMark/>
          </w:tcPr>
          <w:p w14:paraId="77B72D6E" w14:textId="77777777" w:rsidR="00BB3061" w:rsidRPr="00A52AEE" w:rsidRDefault="00BB3061" w:rsidP="00FE68E8">
            <w:pPr>
              <w:jc w:val="right"/>
              <w:rPr>
                <w:lang w:eastAsia="en-GB"/>
              </w:rPr>
            </w:pPr>
            <w:r w:rsidRPr="00A52AEE">
              <w:rPr>
                <w:lang w:eastAsia="en-GB"/>
              </w:rPr>
              <w:t>22%</w:t>
            </w:r>
          </w:p>
        </w:tc>
        <w:tc>
          <w:tcPr>
            <w:tcW w:w="460" w:type="pct"/>
            <w:tcBorders>
              <w:top w:val="nil"/>
              <w:left w:val="nil"/>
              <w:bottom w:val="single" w:sz="4" w:space="0" w:color="auto"/>
              <w:right w:val="single" w:sz="4" w:space="0" w:color="auto"/>
            </w:tcBorders>
            <w:shd w:val="clear" w:color="auto" w:fill="auto"/>
            <w:noWrap/>
            <w:vAlign w:val="bottom"/>
            <w:hideMark/>
          </w:tcPr>
          <w:p w14:paraId="4956DFBA" w14:textId="77777777" w:rsidR="00BB3061" w:rsidRPr="00A52AEE" w:rsidRDefault="00BB3061" w:rsidP="00FE68E8">
            <w:pPr>
              <w:jc w:val="right"/>
              <w:rPr>
                <w:lang w:eastAsia="en-GB"/>
              </w:rPr>
            </w:pPr>
            <w:r w:rsidRPr="00A52AEE">
              <w:rPr>
                <w:lang w:eastAsia="en-GB"/>
              </w:rPr>
              <w:t>31%</w:t>
            </w:r>
          </w:p>
        </w:tc>
        <w:tc>
          <w:tcPr>
            <w:tcW w:w="954" w:type="pct"/>
            <w:tcBorders>
              <w:top w:val="nil"/>
              <w:left w:val="nil"/>
              <w:bottom w:val="single" w:sz="4" w:space="0" w:color="auto"/>
              <w:right w:val="single" w:sz="4" w:space="0" w:color="auto"/>
            </w:tcBorders>
            <w:shd w:val="clear" w:color="auto" w:fill="auto"/>
            <w:noWrap/>
            <w:vAlign w:val="bottom"/>
            <w:hideMark/>
          </w:tcPr>
          <w:p w14:paraId="24D1CBB2" w14:textId="77777777" w:rsidR="00BB3061" w:rsidRPr="00A52AEE" w:rsidRDefault="00BB3061" w:rsidP="00FE68E8">
            <w:pPr>
              <w:jc w:val="right"/>
              <w:rPr>
                <w:lang w:eastAsia="en-GB"/>
              </w:rPr>
            </w:pPr>
            <w:r w:rsidRPr="00A52AEE">
              <w:rPr>
                <w:lang w:eastAsia="en-GB"/>
              </w:rPr>
              <w:t>29%</w:t>
            </w:r>
          </w:p>
        </w:tc>
      </w:tr>
      <w:tr w:rsidR="00BB3061" w:rsidRPr="00A52AEE" w14:paraId="0AFFCD00"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60E6203" w14:textId="77777777" w:rsidR="00BB3061" w:rsidRPr="00A52AEE" w:rsidRDefault="00BB3061" w:rsidP="00A52AEE">
            <w:pPr>
              <w:rPr>
                <w:lang w:eastAsia="en-GB"/>
              </w:rPr>
            </w:pPr>
            <w:r w:rsidRPr="00A52AEE">
              <w:rPr>
                <w:lang w:eastAsia="en-GB"/>
              </w:rPr>
              <w:t>Southwark</w:t>
            </w:r>
          </w:p>
        </w:tc>
        <w:tc>
          <w:tcPr>
            <w:tcW w:w="906" w:type="pct"/>
            <w:tcBorders>
              <w:top w:val="nil"/>
              <w:left w:val="nil"/>
              <w:bottom w:val="single" w:sz="4" w:space="0" w:color="auto"/>
              <w:right w:val="single" w:sz="4" w:space="0" w:color="auto"/>
            </w:tcBorders>
            <w:shd w:val="clear" w:color="auto" w:fill="auto"/>
            <w:noWrap/>
            <w:vAlign w:val="bottom"/>
            <w:hideMark/>
          </w:tcPr>
          <w:p w14:paraId="40D2DB04" w14:textId="77777777" w:rsidR="00BB3061" w:rsidRPr="00A52AEE" w:rsidRDefault="00BB3061" w:rsidP="00FE68E8">
            <w:pPr>
              <w:jc w:val="right"/>
              <w:rPr>
                <w:lang w:eastAsia="en-GB"/>
              </w:rPr>
            </w:pPr>
            <w:r w:rsidRPr="00A52AEE">
              <w:rPr>
                <w:lang w:eastAsia="en-GB"/>
              </w:rPr>
              <w:t>74%</w:t>
            </w:r>
          </w:p>
        </w:tc>
        <w:tc>
          <w:tcPr>
            <w:tcW w:w="690" w:type="pct"/>
            <w:tcBorders>
              <w:top w:val="nil"/>
              <w:left w:val="nil"/>
              <w:bottom w:val="single" w:sz="4" w:space="0" w:color="auto"/>
              <w:right w:val="single" w:sz="4" w:space="0" w:color="auto"/>
            </w:tcBorders>
            <w:shd w:val="clear" w:color="auto" w:fill="auto"/>
            <w:noWrap/>
            <w:vAlign w:val="bottom"/>
            <w:hideMark/>
          </w:tcPr>
          <w:p w14:paraId="7428FEB1" w14:textId="77777777" w:rsidR="00BB3061" w:rsidRPr="00A52AEE" w:rsidRDefault="00BB3061" w:rsidP="00FE68E8">
            <w:pPr>
              <w:jc w:val="right"/>
              <w:rPr>
                <w:lang w:eastAsia="en-GB"/>
              </w:rPr>
            </w:pPr>
            <w:r w:rsidRPr="00A52AEE">
              <w:rPr>
                <w:lang w:eastAsia="en-GB"/>
              </w:rPr>
              <w:t>19%</w:t>
            </w:r>
          </w:p>
        </w:tc>
        <w:tc>
          <w:tcPr>
            <w:tcW w:w="614" w:type="pct"/>
            <w:tcBorders>
              <w:top w:val="nil"/>
              <w:left w:val="nil"/>
              <w:bottom w:val="single" w:sz="4" w:space="0" w:color="auto"/>
              <w:right w:val="single" w:sz="4" w:space="0" w:color="auto"/>
            </w:tcBorders>
            <w:shd w:val="clear" w:color="auto" w:fill="auto"/>
            <w:noWrap/>
            <w:vAlign w:val="bottom"/>
            <w:hideMark/>
          </w:tcPr>
          <w:p w14:paraId="63BFCF20" w14:textId="77777777" w:rsidR="00BB3061" w:rsidRPr="00A52AEE" w:rsidRDefault="00BB3061" w:rsidP="00FE68E8">
            <w:pPr>
              <w:jc w:val="right"/>
              <w:rPr>
                <w:lang w:eastAsia="en-GB"/>
              </w:rPr>
            </w:pPr>
            <w:r w:rsidRPr="00A52AEE">
              <w:rPr>
                <w:lang w:eastAsia="en-GB"/>
              </w:rPr>
              <w:t>5%</w:t>
            </w:r>
          </w:p>
        </w:tc>
        <w:tc>
          <w:tcPr>
            <w:tcW w:w="460" w:type="pct"/>
            <w:tcBorders>
              <w:top w:val="nil"/>
              <w:left w:val="nil"/>
              <w:bottom w:val="single" w:sz="4" w:space="0" w:color="auto"/>
              <w:right w:val="single" w:sz="4" w:space="0" w:color="auto"/>
            </w:tcBorders>
            <w:shd w:val="clear" w:color="auto" w:fill="auto"/>
            <w:noWrap/>
            <w:vAlign w:val="bottom"/>
            <w:hideMark/>
          </w:tcPr>
          <w:p w14:paraId="5079DE28" w14:textId="77777777" w:rsidR="00BB3061" w:rsidRPr="00A52AEE" w:rsidRDefault="00BB3061" w:rsidP="00FE68E8">
            <w:pPr>
              <w:jc w:val="right"/>
              <w:rPr>
                <w:lang w:eastAsia="en-GB"/>
              </w:rPr>
            </w:pPr>
            <w:r w:rsidRPr="00A52AEE">
              <w:rPr>
                <w:lang w:eastAsia="en-GB"/>
              </w:rPr>
              <w:t>1%</w:t>
            </w:r>
          </w:p>
        </w:tc>
        <w:tc>
          <w:tcPr>
            <w:tcW w:w="954" w:type="pct"/>
            <w:tcBorders>
              <w:top w:val="nil"/>
              <w:left w:val="nil"/>
              <w:bottom w:val="single" w:sz="4" w:space="0" w:color="auto"/>
              <w:right w:val="single" w:sz="4" w:space="0" w:color="auto"/>
            </w:tcBorders>
            <w:shd w:val="clear" w:color="auto" w:fill="auto"/>
            <w:noWrap/>
            <w:vAlign w:val="bottom"/>
            <w:hideMark/>
          </w:tcPr>
          <w:p w14:paraId="6E4C9512" w14:textId="77777777" w:rsidR="00BB3061" w:rsidRPr="00A52AEE" w:rsidRDefault="00BB3061" w:rsidP="00FE68E8">
            <w:pPr>
              <w:jc w:val="right"/>
              <w:rPr>
                <w:lang w:eastAsia="en-GB"/>
              </w:rPr>
            </w:pPr>
            <w:r w:rsidRPr="00A52AEE">
              <w:rPr>
                <w:lang w:eastAsia="en-GB"/>
              </w:rPr>
              <w:t>1%</w:t>
            </w:r>
          </w:p>
        </w:tc>
      </w:tr>
      <w:tr w:rsidR="00BB3061" w:rsidRPr="00A52AEE" w14:paraId="17D62312"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12683D6A" w14:textId="77777777" w:rsidR="00BB3061" w:rsidRPr="00A52AEE" w:rsidRDefault="00BB3061" w:rsidP="00A52AEE">
            <w:pPr>
              <w:rPr>
                <w:lang w:eastAsia="en-GB"/>
              </w:rPr>
            </w:pPr>
            <w:r w:rsidRPr="00A52AEE">
              <w:rPr>
                <w:lang w:eastAsia="en-GB"/>
              </w:rPr>
              <w:t>Sutton</w:t>
            </w:r>
          </w:p>
        </w:tc>
        <w:tc>
          <w:tcPr>
            <w:tcW w:w="906" w:type="pct"/>
            <w:tcBorders>
              <w:top w:val="nil"/>
              <w:left w:val="nil"/>
              <w:bottom w:val="single" w:sz="4" w:space="0" w:color="auto"/>
              <w:right w:val="single" w:sz="4" w:space="0" w:color="auto"/>
            </w:tcBorders>
            <w:shd w:val="clear" w:color="auto" w:fill="auto"/>
            <w:noWrap/>
            <w:vAlign w:val="bottom"/>
            <w:hideMark/>
          </w:tcPr>
          <w:p w14:paraId="4408B8C4" w14:textId="77777777" w:rsidR="00BB3061" w:rsidRPr="00A52AEE" w:rsidRDefault="00BB3061" w:rsidP="00FE68E8">
            <w:pPr>
              <w:jc w:val="right"/>
              <w:rPr>
                <w:lang w:eastAsia="en-GB"/>
              </w:rPr>
            </w:pPr>
            <w:r w:rsidRPr="00A52AEE">
              <w:rPr>
                <w:lang w:eastAsia="en-GB"/>
              </w:rPr>
              <w:t>12%</w:t>
            </w:r>
          </w:p>
        </w:tc>
        <w:tc>
          <w:tcPr>
            <w:tcW w:w="690" w:type="pct"/>
            <w:tcBorders>
              <w:top w:val="nil"/>
              <w:left w:val="nil"/>
              <w:bottom w:val="single" w:sz="4" w:space="0" w:color="auto"/>
              <w:right w:val="single" w:sz="4" w:space="0" w:color="auto"/>
            </w:tcBorders>
            <w:shd w:val="clear" w:color="auto" w:fill="auto"/>
            <w:noWrap/>
            <w:vAlign w:val="bottom"/>
            <w:hideMark/>
          </w:tcPr>
          <w:p w14:paraId="1DA505F5" w14:textId="77777777" w:rsidR="00BB3061" w:rsidRPr="00A52AEE" w:rsidRDefault="00BB3061" w:rsidP="00FE68E8">
            <w:pPr>
              <w:jc w:val="right"/>
              <w:rPr>
                <w:lang w:eastAsia="en-GB"/>
              </w:rPr>
            </w:pPr>
            <w:r w:rsidRPr="00A52AEE">
              <w:rPr>
                <w:lang w:eastAsia="en-GB"/>
              </w:rPr>
              <w:t>29%</w:t>
            </w:r>
          </w:p>
        </w:tc>
        <w:tc>
          <w:tcPr>
            <w:tcW w:w="614" w:type="pct"/>
            <w:tcBorders>
              <w:top w:val="nil"/>
              <w:left w:val="nil"/>
              <w:bottom w:val="single" w:sz="4" w:space="0" w:color="auto"/>
              <w:right w:val="single" w:sz="4" w:space="0" w:color="auto"/>
            </w:tcBorders>
            <w:shd w:val="clear" w:color="auto" w:fill="auto"/>
            <w:noWrap/>
            <w:vAlign w:val="bottom"/>
            <w:hideMark/>
          </w:tcPr>
          <w:p w14:paraId="5EE237CE" w14:textId="77777777" w:rsidR="00BB3061" w:rsidRPr="00A52AEE" w:rsidRDefault="00BB3061" w:rsidP="00FE68E8">
            <w:pPr>
              <w:jc w:val="right"/>
              <w:rPr>
                <w:lang w:eastAsia="en-GB"/>
              </w:rPr>
            </w:pPr>
            <w:r w:rsidRPr="00A52AEE">
              <w:rPr>
                <w:lang w:eastAsia="en-GB"/>
              </w:rPr>
              <w:t>23%</w:t>
            </w:r>
          </w:p>
        </w:tc>
        <w:tc>
          <w:tcPr>
            <w:tcW w:w="460" w:type="pct"/>
            <w:tcBorders>
              <w:top w:val="nil"/>
              <w:left w:val="nil"/>
              <w:bottom w:val="single" w:sz="4" w:space="0" w:color="auto"/>
              <w:right w:val="single" w:sz="4" w:space="0" w:color="auto"/>
            </w:tcBorders>
            <w:shd w:val="clear" w:color="auto" w:fill="auto"/>
            <w:noWrap/>
            <w:vAlign w:val="bottom"/>
            <w:hideMark/>
          </w:tcPr>
          <w:p w14:paraId="2783D5B2" w14:textId="77777777" w:rsidR="00BB3061" w:rsidRPr="00A52AEE" w:rsidRDefault="00BB3061" w:rsidP="00FE68E8">
            <w:pPr>
              <w:jc w:val="right"/>
              <w:rPr>
                <w:lang w:eastAsia="en-GB"/>
              </w:rPr>
            </w:pPr>
            <w:r w:rsidRPr="00A52AEE">
              <w:rPr>
                <w:lang w:eastAsia="en-GB"/>
              </w:rPr>
              <w:t>23%</w:t>
            </w:r>
          </w:p>
        </w:tc>
        <w:tc>
          <w:tcPr>
            <w:tcW w:w="954" w:type="pct"/>
            <w:tcBorders>
              <w:top w:val="nil"/>
              <w:left w:val="nil"/>
              <w:bottom w:val="single" w:sz="4" w:space="0" w:color="auto"/>
              <w:right w:val="single" w:sz="4" w:space="0" w:color="auto"/>
            </w:tcBorders>
            <w:shd w:val="clear" w:color="auto" w:fill="auto"/>
            <w:noWrap/>
            <w:vAlign w:val="bottom"/>
            <w:hideMark/>
          </w:tcPr>
          <w:p w14:paraId="07A9CACF" w14:textId="77777777" w:rsidR="00BB3061" w:rsidRPr="00A52AEE" w:rsidRDefault="00BB3061" w:rsidP="00FE68E8">
            <w:pPr>
              <w:jc w:val="right"/>
              <w:rPr>
                <w:lang w:eastAsia="en-GB"/>
              </w:rPr>
            </w:pPr>
            <w:r w:rsidRPr="00A52AEE">
              <w:rPr>
                <w:lang w:eastAsia="en-GB"/>
              </w:rPr>
              <w:t>13%</w:t>
            </w:r>
          </w:p>
        </w:tc>
      </w:tr>
      <w:tr w:rsidR="00BB3061" w:rsidRPr="00A52AEE" w14:paraId="431767FC"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0D0C220A" w14:textId="77777777" w:rsidR="00BB3061" w:rsidRPr="00A52AEE" w:rsidRDefault="00BB3061" w:rsidP="00A52AEE">
            <w:pPr>
              <w:rPr>
                <w:lang w:eastAsia="en-GB"/>
              </w:rPr>
            </w:pPr>
            <w:r w:rsidRPr="00A52AEE">
              <w:rPr>
                <w:lang w:eastAsia="en-GB"/>
              </w:rPr>
              <w:t>Tower Hamlets</w:t>
            </w:r>
          </w:p>
        </w:tc>
        <w:tc>
          <w:tcPr>
            <w:tcW w:w="906" w:type="pct"/>
            <w:tcBorders>
              <w:top w:val="nil"/>
              <w:left w:val="nil"/>
              <w:bottom w:val="single" w:sz="4" w:space="0" w:color="auto"/>
              <w:right w:val="single" w:sz="4" w:space="0" w:color="auto"/>
            </w:tcBorders>
            <w:shd w:val="clear" w:color="auto" w:fill="auto"/>
            <w:noWrap/>
            <w:vAlign w:val="bottom"/>
            <w:hideMark/>
          </w:tcPr>
          <w:p w14:paraId="25828B76" w14:textId="77777777" w:rsidR="00BB3061" w:rsidRPr="00A52AEE" w:rsidRDefault="00BB3061" w:rsidP="00FE68E8">
            <w:pPr>
              <w:jc w:val="right"/>
              <w:rPr>
                <w:lang w:eastAsia="en-GB"/>
              </w:rPr>
            </w:pPr>
            <w:r w:rsidRPr="00A52AEE">
              <w:rPr>
                <w:lang w:eastAsia="en-GB"/>
              </w:rPr>
              <w:t>97%</w:t>
            </w:r>
          </w:p>
        </w:tc>
        <w:tc>
          <w:tcPr>
            <w:tcW w:w="690" w:type="pct"/>
            <w:tcBorders>
              <w:top w:val="nil"/>
              <w:left w:val="nil"/>
              <w:bottom w:val="single" w:sz="4" w:space="0" w:color="auto"/>
              <w:right w:val="single" w:sz="4" w:space="0" w:color="auto"/>
            </w:tcBorders>
            <w:shd w:val="clear" w:color="auto" w:fill="auto"/>
            <w:noWrap/>
            <w:vAlign w:val="bottom"/>
            <w:hideMark/>
          </w:tcPr>
          <w:p w14:paraId="1C2CFFB1" w14:textId="77777777" w:rsidR="00BB3061" w:rsidRPr="00A52AEE" w:rsidRDefault="00BB3061" w:rsidP="00FE68E8">
            <w:pPr>
              <w:jc w:val="right"/>
              <w:rPr>
                <w:lang w:eastAsia="en-GB"/>
              </w:rPr>
            </w:pPr>
            <w:r w:rsidRPr="00A52AEE">
              <w:rPr>
                <w:lang w:eastAsia="en-GB"/>
              </w:rPr>
              <w:t>2%</w:t>
            </w:r>
          </w:p>
        </w:tc>
        <w:tc>
          <w:tcPr>
            <w:tcW w:w="614" w:type="pct"/>
            <w:tcBorders>
              <w:top w:val="nil"/>
              <w:left w:val="nil"/>
              <w:bottom w:val="single" w:sz="4" w:space="0" w:color="auto"/>
              <w:right w:val="single" w:sz="4" w:space="0" w:color="auto"/>
            </w:tcBorders>
            <w:shd w:val="clear" w:color="auto" w:fill="auto"/>
            <w:noWrap/>
            <w:vAlign w:val="bottom"/>
            <w:hideMark/>
          </w:tcPr>
          <w:p w14:paraId="0559EA44" w14:textId="77777777" w:rsidR="00BB3061" w:rsidRPr="00A52AEE" w:rsidRDefault="00BB3061" w:rsidP="00FE68E8">
            <w:pPr>
              <w:jc w:val="right"/>
              <w:rPr>
                <w:lang w:eastAsia="en-GB"/>
              </w:rPr>
            </w:pPr>
            <w:r w:rsidRPr="00A52AEE">
              <w:rPr>
                <w:lang w:eastAsia="en-GB"/>
              </w:rPr>
              <w:t>1%</w:t>
            </w:r>
          </w:p>
        </w:tc>
        <w:tc>
          <w:tcPr>
            <w:tcW w:w="460" w:type="pct"/>
            <w:tcBorders>
              <w:top w:val="nil"/>
              <w:left w:val="nil"/>
              <w:bottom w:val="single" w:sz="4" w:space="0" w:color="auto"/>
              <w:right w:val="single" w:sz="4" w:space="0" w:color="auto"/>
            </w:tcBorders>
            <w:shd w:val="clear" w:color="auto" w:fill="auto"/>
            <w:noWrap/>
            <w:vAlign w:val="bottom"/>
            <w:hideMark/>
          </w:tcPr>
          <w:p w14:paraId="657CF8AF" w14:textId="77777777" w:rsidR="00BB3061" w:rsidRPr="00A52AEE" w:rsidRDefault="00BB3061" w:rsidP="00FE68E8">
            <w:pPr>
              <w:jc w:val="right"/>
              <w:rPr>
                <w:lang w:eastAsia="en-GB"/>
              </w:rPr>
            </w:pPr>
            <w:r w:rsidRPr="00A52AEE">
              <w:rPr>
                <w:lang w:eastAsia="en-GB"/>
              </w:rPr>
              <w:t>0%</w:t>
            </w:r>
          </w:p>
        </w:tc>
        <w:tc>
          <w:tcPr>
            <w:tcW w:w="954" w:type="pct"/>
            <w:tcBorders>
              <w:top w:val="nil"/>
              <w:left w:val="nil"/>
              <w:bottom w:val="single" w:sz="4" w:space="0" w:color="auto"/>
              <w:right w:val="single" w:sz="4" w:space="0" w:color="auto"/>
            </w:tcBorders>
            <w:shd w:val="clear" w:color="auto" w:fill="auto"/>
            <w:noWrap/>
            <w:vAlign w:val="bottom"/>
            <w:hideMark/>
          </w:tcPr>
          <w:p w14:paraId="065D4471" w14:textId="77777777" w:rsidR="00BB3061" w:rsidRPr="00A52AEE" w:rsidRDefault="00BB3061" w:rsidP="00FE68E8">
            <w:pPr>
              <w:jc w:val="right"/>
              <w:rPr>
                <w:lang w:eastAsia="en-GB"/>
              </w:rPr>
            </w:pPr>
            <w:r w:rsidRPr="00A52AEE">
              <w:rPr>
                <w:lang w:eastAsia="en-GB"/>
              </w:rPr>
              <w:t>0%</w:t>
            </w:r>
          </w:p>
        </w:tc>
      </w:tr>
      <w:tr w:rsidR="00BB3061" w:rsidRPr="00A52AEE" w14:paraId="4F94014D"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3FD0C94" w14:textId="77777777" w:rsidR="00BB3061" w:rsidRPr="00A52AEE" w:rsidRDefault="00BB3061" w:rsidP="00A52AEE">
            <w:pPr>
              <w:rPr>
                <w:lang w:eastAsia="en-GB"/>
              </w:rPr>
            </w:pPr>
            <w:r w:rsidRPr="00A52AEE">
              <w:rPr>
                <w:lang w:eastAsia="en-GB"/>
              </w:rPr>
              <w:t>Waltham Forest</w:t>
            </w:r>
          </w:p>
        </w:tc>
        <w:tc>
          <w:tcPr>
            <w:tcW w:w="906" w:type="pct"/>
            <w:tcBorders>
              <w:top w:val="nil"/>
              <w:left w:val="nil"/>
              <w:bottom w:val="single" w:sz="4" w:space="0" w:color="auto"/>
              <w:right w:val="single" w:sz="4" w:space="0" w:color="auto"/>
            </w:tcBorders>
            <w:shd w:val="clear" w:color="auto" w:fill="auto"/>
            <w:noWrap/>
            <w:vAlign w:val="bottom"/>
            <w:hideMark/>
          </w:tcPr>
          <w:p w14:paraId="4DD88865" w14:textId="77777777" w:rsidR="00BB3061" w:rsidRPr="00A52AEE" w:rsidRDefault="00BB3061" w:rsidP="00FE68E8">
            <w:pPr>
              <w:jc w:val="right"/>
              <w:rPr>
                <w:lang w:eastAsia="en-GB"/>
              </w:rPr>
            </w:pPr>
            <w:r w:rsidRPr="00A52AEE">
              <w:rPr>
                <w:lang w:eastAsia="en-GB"/>
              </w:rPr>
              <w:t>62%</w:t>
            </w:r>
          </w:p>
        </w:tc>
        <w:tc>
          <w:tcPr>
            <w:tcW w:w="690" w:type="pct"/>
            <w:tcBorders>
              <w:top w:val="nil"/>
              <w:left w:val="nil"/>
              <w:bottom w:val="single" w:sz="4" w:space="0" w:color="auto"/>
              <w:right w:val="single" w:sz="4" w:space="0" w:color="auto"/>
            </w:tcBorders>
            <w:shd w:val="clear" w:color="auto" w:fill="auto"/>
            <w:noWrap/>
            <w:vAlign w:val="bottom"/>
            <w:hideMark/>
          </w:tcPr>
          <w:p w14:paraId="06F563A3" w14:textId="77777777" w:rsidR="00BB3061" w:rsidRPr="00A52AEE" w:rsidRDefault="00BB3061" w:rsidP="00FE68E8">
            <w:pPr>
              <w:jc w:val="right"/>
              <w:rPr>
                <w:lang w:eastAsia="en-GB"/>
              </w:rPr>
            </w:pPr>
            <w:r w:rsidRPr="00A52AEE">
              <w:rPr>
                <w:lang w:eastAsia="en-GB"/>
              </w:rPr>
              <w:t>32%</w:t>
            </w:r>
          </w:p>
        </w:tc>
        <w:tc>
          <w:tcPr>
            <w:tcW w:w="614" w:type="pct"/>
            <w:tcBorders>
              <w:top w:val="nil"/>
              <w:left w:val="nil"/>
              <w:bottom w:val="single" w:sz="4" w:space="0" w:color="auto"/>
              <w:right w:val="single" w:sz="4" w:space="0" w:color="auto"/>
            </w:tcBorders>
            <w:shd w:val="clear" w:color="auto" w:fill="auto"/>
            <w:noWrap/>
            <w:vAlign w:val="bottom"/>
            <w:hideMark/>
          </w:tcPr>
          <w:p w14:paraId="0EFC08A2" w14:textId="77777777" w:rsidR="00BB3061" w:rsidRPr="00A52AEE" w:rsidRDefault="00BB3061" w:rsidP="00FE68E8">
            <w:pPr>
              <w:jc w:val="right"/>
              <w:rPr>
                <w:lang w:eastAsia="en-GB"/>
              </w:rPr>
            </w:pPr>
            <w:r w:rsidRPr="00A52AEE">
              <w:rPr>
                <w:lang w:eastAsia="en-GB"/>
              </w:rPr>
              <w:t>5%</w:t>
            </w:r>
          </w:p>
        </w:tc>
        <w:tc>
          <w:tcPr>
            <w:tcW w:w="460" w:type="pct"/>
            <w:tcBorders>
              <w:top w:val="nil"/>
              <w:left w:val="nil"/>
              <w:bottom w:val="single" w:sz="4" w:space="0" w:color="auto"/>
              <w:right w:val="single" w:sz="4" w:space="0" w:color="auto"/>
            </w:tcBorders>
            <w:shd w:val="clear" w:color="auto" w:fill="auto"/>
            <w:noWrap/>
            <w:vAlign w:val="bottom"/>
            <w:hideMark/>
          </w:tcPr>
          <w:p w14:paraId="75E3ECF7" w14:textId="77777777" w:rsidR="00BB3061" w:rsidRPr="00A52AEE" w:rsidRDefault="00BB3061" w:rsidP="00FE68E8">
            <w:pPr>
              <w:jc w:val="right"/>
              <w:rPr>
                <w:lang w:eastAsia="en-GB"/>
              </w:rPr>
            </w:pPr>
            <w:r w:rsidRPr="00A52AEE">
              <w:rPr>
                <w:lang w:eastAsia="en-GB"/>
              </w:rPr>
              <w:t>1%</w:t>
            </w:r>
          </w:p>
        </w:tc>
        <w:tc>
          <w:tcPr>
            <w:tcW w:w="954" w:type="pct"/>
            <w:tcBorders>
              <w:top w:val="nil"/>
              <w:left w:val="nil"/>
              <w:bottom w:val="single" w:sz="4" w:space="0" w:color="auto"/>
              <w:right w:val="single" w:sz="4" w:space="0" w:color="auto"/>
            </w:tcBorders>
            <w:shd w:val="clear" w:color="auto" w:fill="auto"/>
            <w:noWrap/>
            <w:vAlign w:val="bottom"/>
            <w:hideMark/>
          </w:tcPr>
          <w:p w14:paraId="4406AFD3" w14:textId="77777777" w:rsidR="00BB3061" w:rsidRPr="00A52AEE" w:rsidRDefault="00BB3061" w:rsidP="00FE68E8">
            <w:pPr>
              <w:jc w:val="right"/>
              <w:rPr>
                <w:lang w:eastAsia="en-GB"/>
              </w:rPr>
            </w:pPr>
            <w:r w:rsidRPr="00A52AEE">
              <w:rPr>
                <w:lang w:eastAsia="en-GB"/>
              </w:rPr>
              <w:t>0%</w:t>
            </w:r>
          </w:p>
        </w:tc>
      </w:tr>
      <w:tr w:rsidR="00BB3061" w:rsidRPr="00A52AEE" w14:paraId="23EDFA92"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C02C408" w14:textId="77777777" w:rsidR="00BB3061" w:rsidRPr="00A52AEE" w:rsidRDefault="00BB3061" w:rsidP="00A52AEE">
            <w:pPr>
              <w:rPr>
                <w:lang w:eastAsia="en-GB"/>
              </w:rPr>
            </w:pPr>
            <w:r w:rsidRPr="00A52AEE">
              <w:rPr>
                <w:lang w:eastAsia="en-GB"/>
              </w:rPr>
              <w:t>Wandsworth</w:t>
            </w:r>
          </w:p>
        </w:tc>
        <w:tc>
          <w:tcPr>
            <w:tcW w:w="906" w:type="pct"/>
            <w:tcBorders>
              <w:top w:val="nil"/>
              <w:left w:val="nil"/>
              <w:bottom w:val="single" w:sz="4" w:space="0" w:color="auto"/>
              <w:right w:val="single" w:sz="4" w:space="0" w:color="auto"/>
            </w:tcBorders>
            <w:shd w:val="clear" w:color="auto" w:fill="auto"/>
            <w:noWrap/>
            <w:vAlign w:val="bottom"/>
            <w:hideMark/>
          </w:tcPr>
          <w:p w14:paraId="112757AD" w14:textId="77777777" w:rsidR="00BB3061" w:rsidRPr="00A52AEE" w:rsidRDefault="00BB3061" w:rsidP="00FE68E8">
            <w:pPr>
              <w:jc w:val="right"/>
              <w:rPr>
                <w:lang w:eastAsia="en-GB"/>
              </w:rPr>
            </w:pPr>
            <w:r w:rsidRPr="00A52AEE">
              <w:rPr>
                <w:lang w:eastAsia="en-GB"/>
              </w:rPr>
              <w:t>54%</w:t>
            </w:r>
          </w:p>
        </w:tc>
        <w:tc>
          <w:tcPr>
            <w:tcW w:w="690" w:type="pct"/>
            <w:tcBorders>
              <w:top w:val="nil"/>
              <w:left w:val="nil"/>
              <w:bottom w:val="single" w:sz="4" w:space="0" w:color="auto"/>
              <w:right w:val="single" w:sz="4" w:space="0" w:color="auto"/>
            </w:tcBorders>
            <w:shd w:val="clear" w:color="auto" w:fill="auto"/>
            <w:noWrap/>
            <w:vAlign w:val="bottom"/>
            <w:hideMark/>
          </w:tcPr>
          <w:p w14:paraId="2D5B4990" w14:textId="77777777" w:rsidR="00BB3061" w:rsidRPr="00A52AEE" w:rsidRDefault="00BB3061" w:rsidP="00FE68E8">
            <w:pPr>
              <w:jc w:val="right"/>
              <w:rPr>
                <w:lang w:eastAsia="en-GB"/>
              </w:rPr>
            </w:pPr>
            <w:r w:rsidRPr="00A52AEE">
              <w:rPr>
                <w:lang w:eastAsia="en-GB"/>
              </w:rPr>
              <w:t>22%</w:t>
            </w:r>
          </w:p>
        </w:tc>
        <w:tc>
          <w:tcPr>
            <w:tcW w:w="614" w:type="pct"/>
            <w:tcBorders>
              <w:top w:val="nil"/>
              <w:left w:val="nil"/>
              <w:bottom w:val="single" w:sz="4" w:space="0" w:color="auto"/>
              <w:right w:val="single" w:sz="4" w:space="0" w:color="auto"/>
            </w:tcBorders>
            <w:shd w:val="clear" w:color="auto" w:fill="auto"/>
            <w:noWrap/>
            <w:vAlign w:val="bottom"/>
            <w:hideMark/>
          </w:tcPr>
          <w:p w14:paraId="2221D841" w14:textId="77777777" w:rsidR="00BB3061" w:rsidRPr="00A52AEE" w:rsidRDefault="00BB3061" w:rsidP="00FE68E8">
            <w:pPr>
              <w:jc w:val="right"/>
              <w:rPr>
                <w:lang w:eastAsia="en-GB"/>
              </w:rPr>
            </w:pPr>
            <w:r w:rsidRPr="00A52AEE">
              <w:rPr>
                <w:lang w:eastAsia="en-GB"/>
              </w:rPr>
              <w:t>12%</w:t>
            </w:r>
          </w:p>
        </w:tc>
        <w:tc>
          <w:tcPr>
            <w:tcW w:w="460" w:type="pct"/>
            <w:tcBorders>
              <w:top w:val="nil"/>
              <w:left w:val="nil"/>
              <w:bottom w:val="single" w:sz="4" w:space="0" w:color="auto"/>
              <w:right w:val="single" w:sz="4" w:space="0" w:color="auto"/>
            </w:tcBorders>
            <w:shd w:val="clear" w:color="auto" w:fill="auto"/>
            <w:noWrap/>
            <w:vAlign w:val="bottom"/>
            <w:hideMark/>
          </w:tcPr>
          <w:p w14:paraId="0771FF46" w14:textId="77777777" w:rsidR="00BB3061" w:rsidRPr="00A52AEE" w:rsidRDefault="00BB3061" w:rsidP="00FE68E8">
            <w:pPr>
              <w:jc w:val="right"/>
              <w:rPr>
                <w:lang w:eastAsia="en-GB"/>
              </w:rPr>
            </w:pPr>
            <w:r w:rsidRPr="00A52AEE">
              <w:rPr>
                <w:lang w:eastAsia="en-GB"/>
              </w:rPr>
              <w:t>6%</w:t>
            </w:r>
          </w:p>
        </w:tc>
        <w:tc>
          <w:tcPr>
            <w:tcW w:w="954" w:type="pct"/>
            <w:tcBorders>
              <w:top w:val="nil"/>
              <w:left w:val="nil"/>
              <w:bottom w:val="single" w:sz="4" w:space="0" w:color="auto"/>
              <w:right w:val="single" w:sz="4" w:space="0" w:color="auto"/>
            </w:tcBorders>
            <w:shd w:val="clear" w:color="auto" w:fill="auto"/>
            <w:noWrap/>
            <w:vAlign w:val="bottom"/>
            <w:hideMark/>
          </w:tcPr>
          <w:p w14:paraId="3B5AC2BF" w14:textId="77777777" w:rsidR="00BB3061" w:rsidRPr="00A52AEE" w:rsidRDefault="00BB3061" w:rsidP="00FE68E8">
            <w:pPr>
              <w:jc w:val="right"/>
              <w:rPr>
                <w:lang w:eastAsia="en-GB"/>
              </w:rPr>
            </w:pPr>
            <w:r w:rsidRPr="00A52AEE">
              <w:rPr>
                <w:lang w:eastAsia="en-GB"/>
              </w:rPr>
              <w:t>5%</w:t>
            </w:r>
          </w:p>
        </w:tc>
      </w:tr>
      <w:tr w:rsidR="00BB3061" w:rsidRPr="00A52AEE" w14:paraId="642510FF" w14:textId="77777777" w:rsidTr="00BB3061">
        <w:trPr>
          <w:trHeight w:val="30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14:paraId="7BB27D11" w14:textId="77777777" w:rsidR="00BB3061" w:rsidRPr="00A52AEE" w:rsidRDefault="00BB3061" w:rsidP="00A52AEE">
            <w:pPr>
              <w:rPr>
                <w:lang w:eastAsia="en-GB"/>
              </w:rPr>
            </w:pPr>
            <w:r w:rsidRPr="00A52AEE">
              <w:rPr>
                <w:lang w:eastAsia="en-GB"/>
              </w:rPr>
              <w:t>Westminster</w:t>
            </w:r>
          </w:p>
        </w:tc>
        <w:tc>
          <w:tcPr>
            <w:tcW w:w="906" w:type="pct"/>
            <w:tcBorders>
              <w:top w:val="nil"/>
              <w:left w:val="nil"/>
              <w:bottom w:val="single" w:sz="4" w:space="0" w:color="auto"/>
              <w:right w:val="single" w:sz="4" w:space="0" w:color="auto"/>
            </w:tcBorders>
            <w:shd w:val="clear" w:color="auto" w:fill="auto"/>
            <w:noWrap/>
            <w:vAlign w:val="bottom"/>
            <w:hideMark/>
          </w:tcPr>
          <w:p w14:paraId="0974E0B4" w14:textId="77777777" w:rsidR="00BB3061" w:rsidRPr="00A52AEE" w:rsidRDefault="00BB3061" w:rsidP="00FE68E8">
            <w:pPr>
              <w:jc w:val="right"/>
              <w:rPr>
                <w:lang w:eastAsia="en-GB"/>
              </w:rPr>
            </w:pPr>
            <w:r w:rsidRPr="00A52AEE">
              <w:rPr>
                <w:lang w:eastAsia="en-GB"/>
              </w:rPr>
              <w:t>62%</w:t>
            </w:r>
          </w:p>
        </w:tc>
        <w:tc>
          <w:tcPr>
            <w:tcW w:w="690" w:type="pct"/>
            <w:tcBorders>
              <w:top w:val="nil"/>
              <w:left w:val="nil"/>
              <w:bottom w:val="single" w:sz="4" w:space="0" w:color="auto"/>
              <w:right w:val="single" w:sz="4" w:space="0" w:color="auto"/>
            </w:tcBorders>
            <w:shd w:val="clear" w:color="auto" w:fill="auto"/>
            <w:noWrap/>
            <w:vAlign w:val="bottom"/>
            <w:hideMark/>
          </w:tcPr>
          <w:p w14:paraId="63DCFFAD" w14:textId="77777777" w:rsidR="00BB3061" w:rsidRPr="00A52AEE" w:rsidRDefault="00BB3061" w:rsidP="00FE68E8">
            <w:pPr>
              <w:jc w:val="right"/>
              <w:rPr>
                <w:lang w:eastAsia="en-GB"/>
              </w:rPr>
            </w:pPr>
            <w:r w:rsidRPr="00A52AEE">
              <w:rPr>
                <w:lang w:eastAsia="en-GB"/>
              </w:rPr>
              <w:t>17%</w:t>
            </w:r>
          </w:p>
        </w:tc>
        <w:tc>
          <w:tcPr>
            <w:tcW w:w="614" w:type="pct"/>
            <w:tcBorders>
              <w:top w:val="nil"/>
              <w:left w:val="nil"/>
              <w:bottom w:val="single" w:sz="4" w:space="0" w:color="auto"/>
              <w:right w:val="single" w:sz="4" w:space="0" w:color="auto"/>
            </w:tcBorders>
            <w:shd w:val="clear" w:color="auto" w:fill="auto"/>
            <w:noWrap/>
            <w:vAlign w:val="bottom"/>
            <w:hideMark/>
          </w:tcPr>
          <w:p w14:paraId="30498915" w14:textId="77777777" w:rsidR="00BB3061" w:rsidRPr="00A52AEE" w:rsidRDefault="00BB3061" w:rsidP="00FE68E8">
            <w:pPr>
              <w:jc w:val="right"/>
              <w:rPr>
                <w:lang w:eastAsia="en-GB"/>
              </w:rPr>
            </w:pPr>
            <w:r w:rsidRPr="00A52AEE">
              <w:rPr>
                <w:lang w:eastAsia="en-GB"/>
              </w:rPr>
              <w:t>12%</w:t>
            </w:r>
          </w:p>
        </w:tc>
        <w:tc>
          <w:tcPr>
            <w:tcW w:w="460" w:type="pct"/>
            <w:tcBorders>
              <w:top w:val="nil"/>
              <w:left w:val="nil"/>
              <w:bottom w:val="single" w:sz="4" w:space="0" w:color="auto"/>
              <w:right w:val="single" w:sz="4" w:space="0" w:color="auto"/>
            </w:tcBorders>
            <w:shd w:val="clear" w:color="auto" w:fill="auto"/>
            <w:noWrap/>
            <w:vAlign w:val="bottom"/>
            <w:hideMark/>
          </w:tcPr>
          <w:p w14:paraId="101CC06D" w14:textId="77777777" w:rsidR="00BB3061" w:rsidRPr="00A52AEE" w:rsidRDefault="00BB3061" w:rsidP="00FE68E8">
            <w:pPr>
              <w:jc w:val="right"/>
              <w:rPr>
                <w:lang w:eastAsia="en-GB"/>
              </w:rPr>
            </w:pPr>
            <w:r w:rsidRPr="00A52AEE">
              <w:rPr>
                <w:lang w:eastAsia="en-GB"/>
              </w:rPr>
              <w:t>5%</w:t>
            </w:r>
          </w:p>
        </w:tc>
        <w:tc>
          <w:tcPr>
            <w:tcW w:w="954" w:type="pct"/>
            <w:tcBorders>
              <w:top w:val="nil"/>
              <w:left w:val="nil"/>
              <w:bottom w:val="single" w:sz="4" w:space="0" w:color="auto"/>
              <w:right w:val="single" w:sz="4" w:space="0" w:color="auto"/>
            </w:tcBorders>
            <w:shd w:val="clear" w:color="auto" w:fill="auto"/>
            <w:noWrap/>
            <w:vAlign w:val="bottom"/>
            <w:hideMark/>
          </w:tcPr>
          <w:p w14:paraId="3A0EC840" w14:textId="77777777" w:rsidR="00BB3061" w:rsidRPr="00A52AEE" w:rsidRDefault="00BB3061" w:rsidP="00FE68E8">
            <w:pPr>
              <w:jc w:val="right"/>
              <w:rPr>
                <w:lang w:eastAsia="en-GB"/>
              </w:rPr>
            </w:pPr>
            <w:r w:rsidRPr="00A52AEE">
              <w:rPr>
                <w:lang w:eastAsia="en-GB"/>
              </w:rPr>
              <w:t>4%</w:t>
            </w:r>
          </w:p>
        </w:tc>
      </w:tr>
    </w:tbl>
    <w:p w14:paraId="6F59EE80" w14:textId="77777777" w:rsidR="003C0656" w:rsidRPr="003C0656" w:rsidRDefault="003C0656" w:rsidP="008D527A">
      <w:pPr>
        <w:pStyle w:val="Heading2"/>
      </w:pPr>
      <w:bookmarkStart w:id="91" w:name="_Toc405201389"/>
      <w:bookmarkStart w:id="92" w:name="_Toc411437020"/>
    </w:p>
    <w:p w14:paraId="720E7E65" w14:textId="63EEC331" w:rsidR="0005090D" w:rsidRPr="003C0656" w:rsidRDefault="004D3FD1" w:rsidP="008D527A">
      <w:pPr>
        <w:pStyle w:val="Heading2"/>
      </w:pPr>
      <w:bookmarkStart w:id="93" w:name="_Toc429151318"/>
      <w:r>
        <w:t>4.14</w:t>
      </w:r>
      <w:r w:rsidR="003C0656" w:rsidRPr="003C0656">
        <w:tab/>
      </w:r>
      <w:r w:rsidR="001F1D4D" w:rsidRPr="003C0656">
        <w:tab/>
      </w:r>
      <w:r w:rsidR="00D2146B" w:rsidRPr="003C0656">
        <w:t>Le</w:t>
      </w:r>
      <w:r w:rsidR="001F1D4D" w:rsidRPr="003C0656">
        <w:t>vel 3 sector skills area</w:t>
      </w:r>
      <w:r w:rsidR="003C0656">
        <w:t>s</w:t>
      </w:r>
      <w:bookmarkEnd w:id="93"/>
      <w:r w:rsidR="001F1D4D" w:rsidRPr="003C0656">
        <w:t xml:space="preserve"> </w:t>
      </w:r>
    </w:p>
    <w:p w14:paraId="54E39FBD" w14:textId="25B21819" w:rsidR="001068A2" w:rsidRPr="00A52AEE" w:rsidRDefault="001068A2" w:rsidP="00A52AEE">
      <w:pPr>
        <w:rPr>
          <w:lang w:eastAsia="en-GB"/>
        </w:rPr>
      </w:pPr>
      <w:r w:rsidRPr="00A52AEE">
        <w:rPr>
          <w:lang w:eastAsia="en-GB"/>
        </w:rPr>
        <w:t>Arts, Media and Publishing saw the highest growth in numbers of the tracked cohort between 2007 and 2011.  Health, Public Services and Care and Business Administration and Law also</w:t>
      </w:r>
      <w:r w:rsidR="003C0656">
        <w:rPr>
          <w:lang w:eastAsia="en-GB"/>
        </w:rPr>
        <w:t xml:space="preserve"> saw increases.  Education and T</w:t>
      </w:r>
      <w:r w:rsidRPr="00A52AEE">
        <w:rPr>
          <w:lang w:eastAsia="en-GB"/>
        </w:rPr>
        <w:t xml:space="preserve">raining also saw a significant decrease in numbers. Further investigation revealed a fall in the numbers of students studying NVQ in Learning and Development, NVQ in Supporting Teaching and Learning in Schools and Certificate in Personnel Practice. Science and Mathematics and Agriculture, Horticulture and Animal Care </w:t>
      </w:r>
      <w:r w:rsidR="003C0656">
        <w:rPr>
          <w:lang w:eastAsia="en-GB"/>
        </w:rPr>
        <w:t xml:space="preserve">all </w:t>
      </w:r>
      <w:r w:rsidRPr="00A52AEE">
        <w:rPr>
          <w:lang w:eastAsia="en-GB"/>
        </w:rPr>
        <w:t>saw small decreases.</w:t>
      </w:r>
    </w:p>
    <w:p w14:paraId="3B73F86B" w14:textId="77777777" w:rsidR="001068A2" w:rsidRPr="00A52AEE" w:rsidRDefault="001068A2" w:rsidP="00A52AEE">
      <w:pPr>
        <w:rPr>
          <w:lang w:eastAsia="en-GB"/>
        </w:rPr>
      </w:pPr>
    </w:p>
    <w:p w14:paraId="7D2F2D23" w14:textId="2D32A0F0" w:rsidR="001068A2" w:rsidRPr="003C0656" w:rsidRDefault="004D2866" w:rsidP="00A52AEE">
      <w:pPr>
        <w:rPr>
          <w:b/>
          <w:lang w:eastAsia="en-GB"/>
        </w:rPr>
      </w:pPr>
      <w:r>
        <w:rPr>
          <w:b/>
          <w:lang w:eastAsia="en-GB"/>
        </w:rPr>
        <w:t>Table 15</w:t>
      </w:r>
      <w:r w:rsidR="0074728E" w:rsidRPr="003C0656">
        <w:rPr>
          <w:b/>
          <w:lang w:eastAsia="en-GB"/>
        </w:rPr>
        <w:t>:</w:t>
      </w:r>
      <w:r w:rsidR="001068A2" w:rsidRPr="003C0656">
        <w:rPr>
          <w:b/>
          <w:lang w:eastAsia="en-GB"/>
        </w:rPr>
        <w:t xml:space="preserve"> Cohort population by Sector Skills area of </w:t>
      </w:r>
      <w:r w:rsidR="0021637B" w:rsidRPr="003C0656">
        <w:rPr>
          <w:b/>
          <w:lang w:eastAsia="en-GB"/>
        </w:rPr>
        <w:t>Level</w:t>
      </w:r>
      <w:r w:rsidR="001068A2" w:rsidRPr="003C0656">
        <w:rPr>
          <w:b/>
          <w:lang w:eastAsia="en-GB"/>
        </w:rPr>
        <w:t xml:space="preserve"> 3 qualification</w:t>
      </w:r>
    </w:p>
    <w:p w14:paraId="770B1723" w14:textId="77777777" w:rsidR="0005090D" w:rsidRPr="00A52AEE" w:rsidRDefault="0005090D" w:rsidP="00A52AEE">
      <w:pPr>
        <w:rPr>
          <w:lang w:eastAsia="en-GB"/>
        </w:rPr>
      </w:pPr>
    </w:p>
    <w:tbl>
      <w:tblPr>
        <w:tblW w:w="5047" w:type="pct"/>
        <w:tblLayout w:type="fixed"/>
        <w:tblLook w:val="04A0" w:firstRow="1" w:lastRow="0" w:firstColumn="1" w:lastColumn="0" w:noHBand="0" w:noVBand="1"/>
      </w:tblPr>
      <w:tblGrid>
        <w:gridCol w:w="3291"/>
        <w:gridCol w:w="970"/>
        <w:gridCol w:w="970"/>
        <w:gridCol w:w="1051"/>
        <w:gridCol w:w="1028"/>
        <w:gridCol w:w="1107"/>
        <w:gridCol w:w="1244"/>
      </w:tblGrid>
      <w:tr w:rsidR="0074728E" w:rsidRPr="003C0656" w14:paraId="647BBAEB" w14:textId="77777777" w:rsidTr="005E08C9">
        <w:trPr>
          <w:trHeight w:val="755"/>
          <w:tblHeader/>
        </w:trPr>
        <w:tc>
          <w:tcPr>
            <w:tcW w:w="1703"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6D9F90BA" w14:textId="1CB82109" w:rsidR="001068A2" w:rsidRPr="003C0656" w:rsidRDefault="00D92B68" w:rsidP="00A52AEE">
            <w:pPr>
              <w:rPr>
                <w:b/>
                <w:color w:val="FFFFFF" w:themeColor="background1"/>
                <w:lang w:eastAsia="en-GB"/>
              </w:rPr>
            </w:pPr>
            <w:r>
              <w:rPr>
                <w:b/>
                <w:color w:val="FFFFFF" w:themeColor="background1"/>
                <w:lang w:eastAsia="en-GB"/>
              </w:rPr>
              <w:t xml:space="preserve">Sector skills </w:t>
            </w:r>
          </w:p>
        </w:tc>
        <w:tc>
          <w:tcPr>
            <w:tcW w:w="50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D8022E3" w14:textId="77777777" w:rsidR="001068A2" w:rsidRPr="003C0656" w:rsidRDefault="001068A2" w:rsidP="00A52AEE">
            <w:pPr>
              <w:rPr>
                <w:b/>
                <w:color w:val="FFFFFF" w:themeColor="background1"/>
                <w:sz w:val="22"/>
                <w:lang w:eastAsia="en-GB"/>
              </w:rPr>
            </w:pPr>
            <w:r w:rsidRPr="003C0656">
              <w:rPr>
                <w:b/>
                <w:color w:val="FFFFFF" w:themeColor="background1"/>
                <w:sz w:val="22"/>
                <w:lang w:eastAsia="en-GB"/>
              </w:rPr>
              <w:t>2007-08</w:t>
            </w:r>
          </w:p>
        </w:tc>
        <w:tc>
          <w:tcPr>
            <w:tcW w:w="50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7C726EB" w14:textId="77777777" w:rsidR="001068A2" w:rsidRPr="003C0656" w:rsidRDefault="001068A2" w:rsidP="00A52AEE">
            <w:pPr>
              <w:rPr>
                <w:b/>
                <w:color w:val="FFFFFF" w:themeColor="background1"/>
                <w:sz w:val="22"/>
                <w:lang w:eastAsia="en-GB"/>
              </w:rPr>
            </w:pPr>
            <w:r w:rsidRPr="003C0656">
              <w:rPr>
                <w:b/>
                <w:color w:val="FFFFFF" w:themeColor="background1"/>
                <w:sz w:val="22"/>
                <w:lang w:eastAsia="en-GB"/>
              </w:rPr>
              <w:t>2008-09</w:t>
            </w:r>
          </w:p>
        </w:tc>
        <w:tc>
          <w:tcPr>
            <w:tcW w:w="544"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0E2CF804" w14:textId="77777777" w:rsidR="001068A2" w:rsidRPr="003C0656" w:rsidRDefault="001068A2" w:rsidP="00A52AEE">
            <w:pPr>
              <w:rPr>
                <w:b/>
                <w:color w:val="FFFFFF" w:themeColor="background1"/>
                <w:sz w:val="22"/>
                <w:lang w:eastAsia="en-GB"/>
              </w:rPr>
            </w:pPr>
            <w:r w:rsidRPr="003C0656">
              <w:rPr>
                <w:b/>
                <w:color w:val="FFFFFF" w:themeColor="background1"/>
                <w:sz w:val="22"/>
                <w:lang w:eastAsia="en-GB"/>
              </w:rPr>
              <w:t>2009-10</w:t>
            </w:r>
          </w:p>
        </w:tc>
        <w:tc>
          <w:tcPr>
            <w:tcW w:w="53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E33617B" w14:textId="77777777" w:rsidR="001068A2" w:rsidRPr="003C0656" w:rsidRDefault="001068A2" w:rsidP="00A52AEE">
            <w:pPr>
              <w:rPr>
                <w:b/>
                <w:color w:val="FFFFFF" w:themeColor="background1"/>
                <w:sz w:val="22"/>
                <w:lang w:eastAsia="en-GB"/>
              </w:rPr>
            </w:pPr>
            <w:r w:rsidRPr="003C0656">
              <w:rPr>
                <w:b/>
                <w:color w:val="FFFFFF" w:themeColor="background1"/>
                <w:sz w:val="22"/>
                <w:lang w:eastAsia="en-GB"/>
              </w:rPr>
              <w:t>2010-11</w:t>
            </w:r>
          </w:p>
        </w:tc>
        <w:tc>
          <w:tcPr>
            <w:tcW w:w="573"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442F9615" w14:textId="77777777" w:rsidR="001068A2" w:rsidRPr="003C0656" w:rsidRDefault="001068A2" w:rsidP="00A52AEE">
            <w:pPr>
              <w:rPr>
                <w:b/>
                <w:color w:val="FFFFFF" w:themeColor="background1"/>
                <w:sz w:val="22"/>
                <w:lang w:eastAsia="en-GB"/>
              </w:rPr>
            </w:pPr>
            <w:r w:rsidRPr="003C0656">
              <w:rPr>
                <w:b/>
                <w:color w:val="FFFFFF" w:themeColor="background1"/>
                <w:sz w:val="22"/>
                <w:lang w:eastAsia="en-GB"/>
              </w:rPr>
              <w:t>2011-12</w:t>
            </w:r>
          </w:p>
        </w:tc>
        <w:tc>
          <w:tcPr>
            <w:tcW w:w="645"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709D7AC5" w14:textId="77777777" w:rsidR="001068A2" w:rsidRPr="003C0656" w:rsidRDefault="001068A2" w:rsidP="00A52AEE">
            <w:pPr>
              <w:rPr>
                <w:b/>
                <w:color w:val="FFFFFF" w:themeColor="background1"/>
                <w:lang w:eastAsia="en-GB"/>
              </w:rPr>
            </w:pPr>
            <w:r w:rsidRPr="003C0656">
              <w:rPr>
                <w:b/>
                <w:color w:val="FFFFFF" w:themeColor="background1"/>
                <w:lang w:eastAsia="en-GB"/>
              </w:rPr>
              <w:t>Change 2007-2011</w:t>
            </w:r>
          </w:p>
        </w:tc>
      </w:tr>
      <w:tr w:rsidR="0074728E" w:rsidRPr="00A52AEE" w14:paraId="7FAEF6CF"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79BEC42D" w14:textId="77777777" w:rsidR="001068A2" w:rsidRPr="00A52AEE" w:rsidRDefault="001068A2" w:rsidP="00A52AEE">
            <w:pPr>
              <w:rPr>
                <w:lang w:eastAsia="en-GB"/>
              </w:rPr>
            </w:pPr>
            <w:r w:rsidRPr="00A52AEE">
              <w:rPr>
                <w:lang w:eastAsia="en-GB"/>
              </w:rPr>
              <w:t>Health, Public Services and Care</w:t>
            </w:r>
          </w:p>
        </w:tc>
        <w:tc>
          <w:tcPr>
            <w:tcW w:w="502" w:type="pct"/>
            <w:tcBorders>
              <w:top w:val="nil"/>
              <w:left w:val="nil"/>
              <w:bottom w:val="single" w:sz="4" w:space="0" w:color="auto"/>
              <w:right w:val="single" w:sz="4" w:space="0" w:color="auto"/>
            </w:tcBorders>
            <w:shd w:val="clear" w:color="auto" w:fill="auto"/>
            <w:noWrap/>
            <w:vAlign w:val="bottom"/>
            <w:hideMark/>
          </w:tcPr>
          <w:p w14:paraId="2678E763" w14:textId="77777777" w:rsidR="001068A2" w:rsidRPr="00A52AEE" w:rsidRDefault="001068A2" w:rsidP="00FE68E8">
            <w:pPr>
              <w:jc w:val="right"/>
              <w:rPr>
                <w:lang w:eastAsia="en-GB"/>
              </w:rPr>
            </w:pPr>
            <w:r w:rsidRPr="00A52AEE">
              <w:rPr>
                <w:lang w:eastAsia="en-GB"/>
              </w:rPr>
              <w:t>7530</w:t>
            </w:r>
          </w:p>
        </w:tc>
        <w:tc>
          <w:tcPr>
            <w:tcW w:w="502" w:type="pct"/>
            <w:tcBorders>
              <w:top w:val="nil"/>
              <w:left w:val="nil"/>
              <w:bottom w:val="single" w:sz="4" w:space="0" w:color="auto"/>
              <w:right w:val="single" w:sz="4" w:space="0" w:color="auto"/>
            </w:tcBorders>
            <w:shd w:val="clear" w:color="auto" w:fill="auto"/>
            <w:noWrap/>
            <w:vAlign w:val="bottom"/>
            <w:hideMark/>
          </w:tcPr>
          <w:p w14:paraId="07519051" w14:textId="77777777" w:rsidR="001068A2" w:rsidRPr="00A52AEE" w:rsidRDefault="001068A2" w:rsidP="00FE68E8">
            <w:pPr>
              <w:jc w:val="right"/>
              <w:rPr>
                <w:lang w:eastAsia="en-GB"/>
              </w:rPr>
            </w:pPr>
            <w:r w:rsidRPr="00A52AEE">
              <w:rPr>
                <w:lang w:eastAsia="en-GB"/>
              </w:rPr>
              <w:t>9045</w:t>
            </w:r>
          </w:p>
        </w:tc>
        <w:tc>
          <w:tcPr>
            <w:tcW w:w="544" w:type="pct"/>
            <w:tcBorders>
              <w:top w:val="nil"/>
              <w:left w:val="nil"/>
              <w:bottom w:val="single" w:sz="4" w:space="0" w:color="auto"/>
              <w:right w:val="single" w:sz="4" w:space="0" w:color="auto"/>
            </w:tcBorders>
            <w:shd w:val="clear" w:color="auto" w:fill="auto"/>
            <w:noWrap/>
            <w:vAlign w:val="bottom"/>
            <w:hideMark/>
          </w:tcPr>
          <w:p w14:paraId="5F1A349D" w14:textId="77777777" w:rsidR="001068A2" w:rsidRPr="00A52AEE" w:rsidRDefault="001068A2" w:rsidP="00FE68E8">
            <w:pPr>
              <w:jc w:val="right"/>
              <w:rPr>
                <w:lang w:eastAsia="en-GB"/>
              </w:rPr>
            </w:pPr>
            <w:r w:rsidRPr="00A52AEE">
              <w:rPr>
                <w:lang w:eastAsia="en-GB"/>
              </w:rPr>
              <w:t>9275</w:t>
            </w:r>
          </w:p>
        </w:tc>
        <w:tc>
          <w:tcPr>
            <w:tcW w:w="532" w:type="pct"/>
            <w:tcBorders>
              <w:top w:val="nil"/>
              <w:left w:val="nil"/>
              <w:bottom w:val="single" w:sz="4" w:space="0" w:color="auto"/>
              <w:right w:val="single" w:sz="4" w:space="0" w:color="auto"/>
            </w:tcBorders>
            <w:shd w:val="clear" w:color="auto" w:fill="auto"/>
            <w:noWrap/>
            <w:vAlign w:val="bottom"/>
            <w:hideMark/>
          </w:tcPr>
          <w:p w14:paraId="0B6145ED" w14:textId="77777777" w:rsidR="001068A2" w:rsidRPr="00A52AEE" w:rsidRDefault="001068A2" w:rsidP="00FE68E8">
            <w:pPr>
              <w:jc w:val="right"/>
              <w:rPr>
                <w:lang w:eastAsia="en-GB"/>
              </w:rPr>
            </w:pPr>
            <w:r w:rsidRPr="00A52AEE">
              <w:rPr>
                <w:lang w:eastAsia="en-GB"/>
              </w:rPr>
              <w:t>8360</w:t>
            </w:r>
          </w:p>
        </w:tc>
        <w:tc>
          <w:tcPr>
            <w:tcW w:w="573" w:type="pct"/>
            <w:tcBorders>
              <w:top w:val="nil"/>
              <w:left w:val="nil"/>
              <w:bottom w:val="single" w:sz="4" w:space="0" w:color="auto"/>
              <w:right w:val="single" w:sz="4" w:space="0" w:color="auto"/>
            </w:tcBorders>
            <w:shd w:val="clear" w:color="auto" w:fill="auto"/>
            <w:noWrap/>
            <w:vAlign w:val="bottom"/>
            <w:hideMark/>
          </w:tcPr>
          <w:p w14:paraId="2DC4553D" w14:textId="77777777" w:rsidR="001068A2" w:rsidRPr="00A52AEE" w:rsidRDefault="001068A2" w:rsidP="00FE68E8">
            <w:pPr>
              <w:jc w:val="right"/>
              <w:rPr>
                <w:lang w:eastAsia="en-GB"/>
              </w:rPr>
            </w:pPr>
            <w:r w:rsidRPr="00A52AEE">
              <w:rPr>
                <w:lang w:eastAsia="en-GB"/>
              </w:rPr>
              <w:t>8840</w:t>
            </w:r>
          </w:p>
        </w:tc>
        <w:tc>
          <w:tcPr>
            <w:tcW w:w="645" w:type="pct"/>
            <w:tcBorders>
              <w:top w:val="nil"/>
              <w:left w:val="nil"/>
              <w:bottom w:val="single" w:sz="4" w:space="0" w:color="auto"/>
              <w:right w:val="single" w:sz="4" w:space="0" w:color="auto"/>
            </w:tcBorders>
            <w:shd w:val="clear" w:color="auto" w:fill="auto"/>
            <w:noWrap/>
            <w:vAlign w:val="bottom"/>
            <w:hideMark/>
          </w:tcPr>
          <w:p w14:paraId="6006CB37" w14:textId="77777777" w:rsidR="001068A2" w:rsidRPr="00A52AEE" w:rsidRDefault="001068A2" w:rsidP="00FE68E8">
            <w:pPr>
              <w:jc w:val="right"/>
              <w:rPr>
                <w:lang w:eastAsia="en-GB"/>
              </w:rPr>
            </w:pPr>
            <w:r w:rsidRPr="00A52AEE">
              <w:rPr>
                <w:lang w:eastAsia="en-GB"/>
              </w:rPr>
              <w:t>1310</w:t>
            </w:r>
          </w:p>
        </w:tc>
      </w:tr>
      <w:tr w:rsidR="0074728E" w:rsidRPr="00A52AEE" w14:paraId="4A524010"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763F70BC" w14:textId="77777777" w:rsidR="001068A2" w:rsidRPr="00A52AEE" w:rsidRDefault="001068A2" w:rsidP="00A52AEE">
            <w:pPr>
              <w:rPr>
                <w:lang w:eastAsia="en-GB"/>
              </w:rPr>
            </w:pPr>
            <w:r w:rsidRPr="00A52AEE">
              <w:rPr>
                <w:lang w:eastAsia="en-GB"/>
              </w:rPr>
              <w:t>Science and Mathematics</w:t>
            </w:r>
          </w:p>
        </w:tc>
        <w:tc>
          <w:tcPr>
            <w:tcW w:w="502" w:type="pct"/>
            <w:tcBorders>
              <w:top w:val="nil"/>
              <w:left w:val="nil"/>
              <w:bottom w:val="single" w:sz="4" w:space="0" w:color="auto"/>
              <w:right w:val="single" w:sz="4" w:space="0" w:color="auto"/>
            </w:tcBorders>
            <w:shd w:val="clear" w:color="auto" w:fill="auto"/>
            <w:noWrap/>
            <w:vAlign w:val="bottom"/>
            <w:hideMark/>
          </w:tcPr>
          <w:p w14:paraId="7AD4E124" w14:textId="77777777" w:rsidR="001068A2" w:rsidRPr="00A52AEE" w:rsidRDefault="001068A2" w:rsidP="00FE68E8">
            <w:pPr>
              <w:jc w:val="right"/>
              <w:rPr>
                <w:lang w:eastAsia="en-GB"/>
              </w:rPr>
            </w:pPr>
            <w:r w:rsidRPr="00A52AEE">
              <w:rPr>
                <w:lang w:eastAsia="en-GB"/>
              </w:rPr>
              <w:t>3945</w:t>
            </w:r>
          </w:p>
        </w:tc>
        <w:tc>
          <w:tcPr>
            <w:tcW w:w="502" w:type="pct"/>
            <w:tcBorders>
              <w:top w:val="nil"/>
              <w:left w:val="nil"/>
              <w:bottom w:val="single" w:sz="4" w:space="0" w:color="auto"/>
              <w:right w:val="single" w:sz="4" w:space="0" w:color="auto"/>
            </w:tcBorders>
            <w:shd w:val="clear" w:color="auto" w:fill="auto"/>
            <w:noWrap/>
            <w:vAlign w:val="bottom"/>
            <w:hideMark/>
          </w:tcPr>
          <w:p w14:paraId="53CE243A" w14:textId="77777777" w:rsidR="001068A2" w:rsidRPr="00A52AEE" w:rsidRDefault="001068A2" w:rsidP="00FE68E8">
            <w:pPr>
              <w:jc w:val="right"/>
              <w:rPr>
                <w:lang w:eastAsia="en-GB"/>
              </w:rPr>
            </w:pPr>
            <w:r w:rsidRPr="00A52AEE">
              <w:rPr>
                <w:lang w:eastAsia="en-GB"/>
              </w:rPr>
              <w:t>3320</w:t>
            </w:r>
          </w:p>
        </w:tc>
        <w:tc>
          <w:tcPr>
            <w:tcW w:w="544" w:type="pct"/>
            <w:tcBorders>
              <w:top w:val="nil"/>
              <w:left w:val="nil"/>
              <w:bottom w:val="single" w:sz="4" w:space="0" w:color="auto"/>
              <w:right w:val="single" w:sz="4" w:space="0" w:color="auto"/>
            </w:tcBorders>
            <w:shd w:val="clear" w:color="auto" w:fill="auto"/>
            <w:noWrap/>
            <w:vAlign w:val="bottom"/>
            <w:hideMark/>
          </w:tcPr>
          <w:p w14:paraId="2650B28B" w14:textId="77777777" w:rsidR="001068A2" w:rsidRPr="00A52AEE" w:rsidRDefault="001068A2" w:rsidP="00FE68E8">
            <w:pPr>
              <w:jc w:val="right"/>
              <w:rPr>
                <w:lang w:eastAsia="en-GB"/>
              </w:rPr>
            </w:pPr>
            <w:r w:rsidRPr="00A52AEE">
              <w:rPr>
                <w:lang w:eastAsia="en-GB"/>
              </w:rPr>
              <w:t>3410</w:t>
            </w:r>
          </w:p>
        </w:tc>
        <w:tc>
          <w:tcPr>
            <w:tcW w:w="532" w:type="pct"/>
            <w:tcBorders>
              <w:top w:val="nil"/>
              <w:left w:val="nil"/>
              <w:bottom w:val="single" w:sz="4" w:space="0" w:color="auto"/>
              <w:right w:val="single" w:sz="4" w:space="0" w:color="auto"/>
            </w:tcBorders>
            <w:shd w:val="clear" w:color="auto" w:fill="auto"/>
            <w:noWrap/>
            <w:vAlign w:val="bottom"/>
            <w:hideMark/>
          </w:tcPr>
          <w:p w14:paraId="00DE4070" w14:textId="77777777" w:rsidR="001068A2" w:rsidRPr="00A52AEE" w:rsidRDefault="001068A2" w:rsidP="00FE68E8">
            <w:pPr>
              <w:jc w:val="right"/>
              <w:rPr>
                <w:lang w:eastAsia="en-GB"/>
              </w:rPr>
            </w:pPr>
            <w:r w:rsidRPr="00A52AEE">
              <w:rPr>
                <w:lang w:eastAsia="en-GB"/>
              </w:rPr>
              <w:t>3935</w:t>
            </w:r>
          </w:p>
        </w:tc>
        <w:tc>
          <w:tcPr>
            <w:tcW w:w="573" w:type="pct"/>
            <w:tcBorders>
              <w:top w:val="nil"/>
              <w:left w:val="nil"/>
              <w:bottom w:val="single" w:sz="4" w:space="0" w:color="auto"/>
              <w:right w:val="single" w:sz="4" w:space="0" w:color="auto"/>
            </w:tcBorders>
            <w:shd w:val="clear" w:color="auto" w:fill="auto"/>
            <w:noWrap/>
            <w:vAlign w:val="bottom"/>
            <w:hideMark/>
          </w:tcPr>
          <w:p w14:paraId="695AB62B" w14:textId="77777777" w:rsidR="001068A2" w:rsidRPr="00A52AEE" w:rsidRDefault="001068A2" w:rsidP="00FE68E8">
            <w:pPr>
              <w:jc w:val="right"/>
              <w:rPr>
                <w:lang w:eastAsia="en-GB"/>
              </w:rPr>
            </w:pPr>
            <w:r w:rsidRPr="00A52AEE">
              <w:rPr>
                <w:lang w:eastAsia="en-GB"/>
              </w:rPr>
              <w:t>3725</w:t>
            </w:r>
          </w:p>
        </w:tc>
        <w:tc>
          <w:tcPr>
            <w:tcW w:w="645" w:type="pct"/>
            <w:tcBorders>
              <w:top w:val="nil"/>
              <w:left w:val="nil"/>
              <w:bottom w:val="single" w:sz="4" w:space="0" w:color="auto"/>
              <w:right w:val="single" w:sz="4" w:space="0" w:color="auto"/>
            </w:tcBorders>
            <w:shd w:val="clear" w:color="auto" w:fill="auto"/>
            <w:noWrap/>
            <w:vAlign w:val="bottom"/>
            <w:hideMark/>
          </w:tcPr>
          <w:p w14:paraId="580B7347" w14:textId="77777777" w:rsidR="001068A2" w:rsidRPr="00A52AEE" w:rsidRDefault="001068A2" w:rsidP="00FE68E8">
            <w:pPr>
              <w:jc w:val="right"/>
              <w:rPr>
                <w:lang w:eastAsia="en-GB"/>
              </w:rPr>
            </w:pPr>
            <w:r w:rsidRPr="00A52AEE">
              <w:rPr>
                <w:lang w:eastAsia="en-GB"/>
              </w:rPr>
              <w:t>-220</w:t>
            </w:r>
          </w:p>
        </w:tc>
      </w:tr>
      <w:tr w:rsidR="0074728E" w:rsidRPr="00A52AEE" w14:paraId="48787D0B"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0707469" w14:textId="12557377" w:rsidR="001068A2" w:rsidRPr="00A52AEE" w:rsidRDefault="0074728E" w:rsidP="00A52AEE">
            <w:pPr>
              <w:rPr>
                <w:lang w:eastAsia="en-GB"/>
              </w:rPr>
            </w:pPr>
            <w:r w:rsidRPr="00A52AEE">
              <w:rPr>
                <w:lang w:eastAsia="en-GB"/>
              </w:rPr>
              <w:t>Agriculture, Hort.</w:t>
            </w:r>
            <w:r w:rsidR="001068A2" w:rsidRPr="00A52AEE">
              <w:rPr>
                <w:lang w:eastAsia="en-GB"/>
              </w:rPr>
              <w:t xml:space="preserve"> and Animal Care</w:t>
            </w:r>
          </w:p>
        </w:tc>
        <w:tc>
          <w:tcPr>
            <w:tcW w:w="502" w:type="pct"/>
            <w:tcBorders>
              <w:top w:val="nil"/>
              <w:left w:val="nil"/>
              <w:bottom w:val="single" w:sz="4" w:space="0" w:color="auto"/>
              <w:right w:val="single" w:sz="4" w:space="0" w:color="auto"/>
            </w:tcBorders>
            <w:shd w:val="clear" w:color="auto" w:fill="auto"/>
            <w:noWrap/>
            <w:vAlign w:val="bottom"/>
            <w:hideMark/>
          </w:tcPr>
          <w:p w14:paraId="052ECEBE" w14:textId="77777777" w:rsidR="001068A2" w:rsidRPr="00A52AEE" w:rsidRDefault="001068A2" w:rsidP="00FE68E8">
            <w:pPr>
              <w:jc w:val="right"/>
              <w:rPr>
                <w:lang w:eastAsia="en-GB"/>
              </w:rPr>
            </w:pPr>
            <w:r w:rsidRPr="00A52AEE">
              <w:rPr>
                <w:lang w:eastAsia="en-GB"/>
              </w:rPr>
              <w:t>500</w:t>
            </w:r>
          </w:p>
        </w:tc>
        <w:tc>
          <w:tcPr>
            <w:tcW w:w="502" w:type="pct"/>
            <w:tcBorders>
              <w:top w:val="nil"/>
              <w:left w:val="nil"/>
              <w:bottom w:val="single" w:sz="4" w:space="0" w:color="auto"/>
              <w:right w:val="single" w:sz="4" w:space="0" w:color="auto"/>
            </w:tcBorders>
            <w:shd w:val="clear" w:color="auto" w:fill="auto"/>
            <w:noWrap/>
            <w:vAlign w:val="bottom"/>
            <w:hideMark/>
          </w:tcPr>
          <w:p w14:paraId="6FBE0665" w14:textId="77777777" w:rsidR="001068A2" w:rsidRPr="00A52AEE" w:rsidRDefault="001068A2" w:rsidP="00FE68E8">
            <w:pPr>
              <w:jc w:val="right"/>
              <w:rPr>
                <w:lang w:eastAsia="en-GB"/>
              </w:rPr>
            </w:pPr>
            <w:r w:rsidRPr="00A52AEE">
              <w:rPr>
                <w:lang w:eastAsia="en-GB"/>
              </w:rPr>
              <w:t>280</w:t>
            </w:r>
          </w:p>
        </w:tc>
        <w:tc>
          <w:tcPr>
            <w:tcW w:w="544" w:type="pct"/>
            <w:tcBorders>
              <w:top w:val="nil"/>
              <w:left w:val="nil"/>
              <w:bottom w:val="single" w:sz="4" w:space="0" w:color="auto"/>
              <w:right w:val="single" w:sz="4" w:space="0" w:color="auto"/>
            </w:tcBorders>
            <w:shd w:val="clear" w:color="auto" w:fill="auto"/>
            <w:noWrap/>
            <w:vAlign w:val="bottom"/>
            <w:hideMark/>
          </w:tcPr>
          <w:p w14:paraId="68083372" w14:textId="77777777" w:rsidR="001068A2" w:rsidRPr="00A52AEE" w:rsidRDefault="001068A2" w:rsidP="00FE68E8">
            <w:pPr>
              <w:jc w:val="right"/>
              <w:rPr>
                <w:lang w:eastAsia="en-GB"/>
              </w:rPr>
            </w:pPr>
            <w:r w:rsidRPr="00A52AEE">
              <w:rPr>
                <w:lang w:eastAsia="en-GB"/>
              </w:rPr>
              <w:t>305</w:t>
            </w:r>
          </w:p>
        </w:tc>
        <w:tc>
          <w:tcPr>
            <w:tcW w:w="532" w:type="pct"/>
            <w:tcBorders>
              <w:top w:val="nil"/>
              <w:left w:val="nil"/>
              <w:bottom w:val="single" w:sz="4" w:space="0" w:color="auto"/>
              <w:right w:val="single" w:sz="4" w:space="0" w:color="auto"/>
            </w:tcBorders>
            <w:shd w:val="clear" w:color="auto" w:fill="auto"/>
            <w:noWrap/>
            <w:vAlign w:val="bottom"/>
            <w:hideMark/>
          </w:tcPr>
          <w:p w14:paraId="1DAA85D7" w14:textId="77777777" w:rsidR="001068A2" w:rsidRPr="00A52AEE" w:rsidRDefault="001068A2" w:rsidP="00FE68E8">
            <w:pPr>
              <w:jc w:val="right"/>
              <w:rPr>
                <w:lang w:eastAsia="en-GB"/>
              </w:rPr>
            </w:pPr>
            <w:r w:rsidRPr="00A52AEE">
              <w:rPr>
                <w:lang w:eastAsia="en-GB"/>
              </w:rPr>
              <w:t>300</w:t>
            </w:r>
          </w:p>
        </w:tc>
        <w:tc>
          <w:tcPr>
            <w:tcW w:w="573" w:type="pct"/>
            <w:tcBorders>
              <w:top w:val="nil"/>
              <w:left w:val="nil"/>
              <w:bottom w:val="single" w:sz="4" w:space="0" w:color="auto"/>
              <w:right w:val="single" w:sz="4" w:space="0" w:color="auto"/>
            </w:tcBorders>
            <w:shd w:val="clear" w:color="auto" w:fill="auto"/>
            <w:noWrap/>
            <w:vAlign w:val="bottom"/>
            <w:hideMark/>
          </w:tcPr>
          <w:p w14:paraId="31DD5263" w14:textId="77777777" w:rsidR="001068A2" w:rsidRPr="00A52AEE" w:rsidRDefault="001068A2" w:rsidP="00FE68E8">
            <w:pPr>
              <w:jc w:val="right"/>
              <w:rPr>
                <w:lang w:eastAsia="en-GB"/>
              </w:rPr>
            </w:pPr>
            <w:r w:rsidRPr="00A52AEE">
              <w:rPr>
                <w:lang w:eastAsia="en-GB"/>
              </w:rPr>
              <w:t>365</w:t>
            </w:r>
          </w:p>
        </w:tc>
        <w:tc>
          <w:tcPr>
            <w:tcW w:w="645" w:type="pct"/>
            <w:tcBorders>
              <w:top w:val="nil"/>
              <w:left w:val="nil"/>
              <w:bottom w:val="single" w:sz="4" w:space="0" w:color="auto"/>
              <w:right w:val="single" w:sz="4" w:space="0" w:color="auto"/>
            </w:tcBorders>
            <w:shd w:val="clear" w:color="auto" w:fill="auto"/>
            <w:noWrap/>
            <w:vAlign w:val="bottom"/>
            <w:hideMark/>
          </w:tcPr>
          <w:p w14:paraId="12AE6C2C" w14:textId="77777777" w:rsidR="001068A2" w:rsidRPr="00A52AEE" w:rsidRDefault="001068A2" w:rsidP="00FE68E8">
            <w:pPr>
              <w:jc w:val="right"/>
              <w:rPr>
                <w:lang w:eastAsia="en-GB"/>
              </w:rPr>
            </w:pPr>
            <w:r w:rsidRPr="00A52AEE">
              <w:rPr>
                <w:lang w:eastAsia="en-GB"/>
              </w:rPr>
              <w:t>-130</w:t>
            </w:r>
          </w:p>
        </w:tc>
      </w:tr>
      <w:tr w:rsidR="0074728E" w:rsidRPr="00A52AEE" w14:paraId="5BB8BFBC"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161FD84" w14:textId="53D485C6" w:rsidR="001068A2" w:rsidRPr="00A52AEE" w:rsidRDefault="0074728E" w:rsidP="00A52AEE">
            <w:pPr>
              <w:rPr>
                <w:lang w:eastAsia="en-GB"/>
              </w:rPr>
            </w:pPr>
            <w:r w:rsidRPr="00A52AEE">
              <w:rPr>
                <w:lang w:eastAsia="en-GB"/>
              </w:rPr>
              <w:t xml:space="preserve">Engineering and Manu. </w:t>
            </w:r>
            <w:r w:rsidR="001068A2" w:rsidRPr="00A52AEE">
              <w:rPr>
                <w:lang w:eastAsia="en-GB"/>
              </w:rPr>
              <w:t>Tech</w:t>
            </w:r>
            <w:r w:rsidRPr="00A52AEE">
              <w:rPr>
                <w:lang w:eastAsia="en-GB"/>
              </w:rPr>
              <w:t>s.</w:t>
            </w:r>
          </w:p>
        </w:tc>
        <w:tc>
          <w:tcPr>
            <w:tcW w:w="502" w:type="pct"/>
            <w:tcBorders>
              <w:top w:val="nil"/>
              <w:left w:val="nil"/>
              <w:bottom w:val="single" w:sz="4" w:space="0" w:color="auto"/>
              <w:right w:val="single" w:sz="4" w:space="0" w:color="auto"/>
            </w:tcBorders>
            <w:shd w:val="clear" w:color="auto" w:fill="auto"/>
            <w:noWrap/>
            <w:vAlign w:val="bottom"/>
            <w:hideMark/>
          </w:tcPr>
          <w:p w14:paraId="374787B9" w14:textId="77777777" w:rsidR="001068A2" w:rsidRPr="00A52AEE" w:rsidRDefault="001068A2" w:rsidP="00FE68E8">
            <w:pPr>
              <w:jc w:val="right"/>
              <w:rPr>
                <w:lang w:eastAsia="en-GB"/>
              </w:rPr>
            </w:pPr>
            <w:r w:rsidRPr="00A52AEE">
              <w:rPr>
                <w:lang w:eastAsia="en-GB"/>
              </w:rPr>
              <w:t>2740</w:t>
            </w:r>
          </w:p>
        </w:tc>
        <w:tc>
          <w:tcPr>
            <w:tcW w:w="502" w:type="pct"/>
            <w:tcBorders>
              <w:top w:val="nil"/>
              <w:left w:val="nil"/>
              <w:bottom w:val="single" w:sz="4" w:space="0" w:color="auto"/>
              <w:right w:val="single" w:sz="4" w:space="0" w:color="auto"/>
            </w:tcBorders>
            <w:shd w:val="clear" w:color="auto" w:fill="auto"/>
            <w:noWrap/>
            <w:vAlign w:val="bottom"/>
            <w:hideMark/>
          </w:tcPr>
          <w:p w14:paraId="4E2E84B8" w14:textId="77777777" w:rsidR="001068A2" w:rsidRPr="00A52AEE" w:rsidRDefault="001068A2" w:rsidP="00FE68E8">
            <w:pPr>
              <w:jc w:val="right"/>
              <w:rPr>
                <w:lang w:eastAsia="en-GB"/>
              </w:rPr>
            </w:pPr>
            <w:r w:rsidRPr="00A52AEE">
              <w:rPr>
                <w:lang w:eastAsia="en-GB"/>
              </w:rPr>
              <w:t>3385</w:t>
            </w:r>
          </w:p>
        </w:tc>
        <w:tc>
          <w:tcPr>
            <w:tcW w:w="544" w:type="pct"/>
            <w:tcBorders>
              <w:top w:val="nil"/>
              <w:left w:val="nil"/>
              <w:bottom w:val="single" w:sz="4" w:space="0" w:color="auto"/>
              <w:right w:val="single" w:sz="4" w:space="0" w:color="auto"/>
            </w:tcBorders>
            <w:shd w:val="clear" w:color="auto" w:fill="auto"/>
            <w:noWrap/>
            <w:vAlign w:val="bottom"/>
            <w:hideMark/>
          </w:tcPr>
          <w:p w14:paraId="69A66FBE" w14:textId="77777777" w:rsidR="001068A2" w:rsidRPr="00A52AEE" w:rsidRDefault="001068A2" w:rsidP="00FE68E8">
            <w:pPr>
              <w:jc w:val="right"/>
              <w:rPr>
                <w:lang w:eastAsia="en-GB"/>
              </w:rPr>
            </w:pPr>
            <w:r w:rsidRPr="00A52AEE">
              <w:rPr>
                <w:lang w:eastAsia="en-GB"/>
              </w:rPr>
              <w:t>3405</w:t>
            </w:r>
          </w:p>
        </w:tc>
        <w:tc>
          <w:tcPr>
            <w:tcW w:w="532" w:type="pct"/>
            <w:tcBorders>
              <w:top w:val="nil"/>
              <w:left w:val="nil"/>
              <w:bottom w:val="single" w:sz="4" w:space="0" w:color="auto"/>
              <w:right w:val="single" w:sz="4" w:space="0" w:color="auto"/>
            </w:tcBorders>
            <w:shd w:val="clear" w:color="auto" w:fill="auto"/>
            <w:noWrap/>
            <w:vAlign w:val="bottom"/>
            <w:hideMark/>
          </w:tcPr>
          <w:p w14:paraId="3119B141" w14:textId="77777777" w:rsidR="001068A2" w:rsidRPr="00A52AEE" w:rsidRDefault="001068A2" w:rsidP="00FE68E8">
            <w:pPr>
              <w:jc w:val="right"/>
              <w:rPr>
                <w:lang w:eastAsia="en-GB"/>
              </w:rPr>
            </w:pPr>
            <w:r w:rsidRPr="00A52AEE">
              <w:rPr>
                <w:lang w:eastAsia="en-GB"/>
              </w:rPr>
              <w:t>2725</w:t>
            </w:r>
          </w:p>
        </w:tc>
        <w:tc>
          <w:tcPr>
            <w:tcW w:w="573" w:type="pct"/>
            <w:tcBorders>
              <w:top w:val="nil"/>
              <w:left w:val="nil"/>
              <w:bottom w:val="single" w:sz="4" w:space="0" w:color="auto"/>
              <w:right w:val="single" w:sz="4" w:space="0" w:color="auto"/>
            </w:tcBorders>
            <w:shd w:val="clear" w:color="auto" w:fill="auto"/>
            <w:noWrap/>
            <w:vAlign w:val="bottom"/>
            <w:hideMark/>
          </w:tcPr>
          <w:p w14:paraId="41B1CD4D" w14:textId="77777777" w:rsidR="001068A2" w:rsidRPr="00A52AEE" w:rsidRDefault="001068A2" w:rsidP="00FE68E8">
            <w:pPr>
              <w:jc w:val="right"/>
              <w:rPr>
                <w:lang w:eastAsia="en-GB"/>
              </w:rPr>
            </w:pPr>
            <w:r w:rsidRPr="00A52AEE">
              <w:rPr>
                <w:lang w:eastAsia="en-GB"/>
              </w:rPr>
              <w:t>2805</w:t>
            </w:r>
          </w:p>
        </w:tc>
        <w:tc>
          <w:tcPr>
            <w:tcW w:w="645" w:type="pct"/>
            <w:tcBorders>
              <w:top w:val="nil"/>
              <w:left w:val="nil"/>
              <w:bottom w:val="single" w:sz="4" w:space="0" w:color="auto"/>
              <w:right w:val="single" w:sz="4" w:space="0" w:color="auto"/>
            </w:tcBorders>
            <w:shd w:val="clear" w:color="auto" w:fill="auto"/>
            <w:noWrap/>
            <w:vAlign w:val="bottom"/>
            <w:hideMark/>
          </w:tcPr>
          <w:p w14:paraId="5D1DCFC6" w14:textId="77777777" w:rsidR="001068A2" w:rsidRPr="00A52AEE" w:rsidRDefault="001068A2" w:rsidP="00FE68E8">
            <w:pPr>
              <w:jc w:val="right"/>
              <w:rPr>
                <w:lang w:eastAsia="en-GB"/>
              </w:rPr>
            </w:pPr>
            <w:r w:rsidRPr="00A52AEE">
              <w:rPr>
                <w:lang w:eastAsia="en-GB"/>
              </w:rPr>
              <w:t>65</w:t>
            </w:r>
          </w:p>
        </w:tc>
      </w:tr>
      <w:tr w:rsidR="0074728E" w:rsidRPr="00A52AEE" w14:paraId="70FA82E2"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9A08336" w14:textId="0DD04F6D" w:rsidR="001068A2" w:rsidRPr="00A52AEE" w:rsidRDefault="0074728E" w:rsidP="00A52AEE">
            <w:pPr>
              <w:rPr>
                <w:lang w:eastAsia="en-GB"/>
              </w:rPr>
            </w:pPr>
            <w:r w:rsidRPr="00A52AEE">
              <w:rPr>
                <w:lang w:eastAsia="en-GB"/>
              </w:rPr>
              <w:t>Const.</w:t>
            </w:r>
            <w:r w:rsidR="001068A2" w:rsidRPr="00A52AEE">
              <w:rPr>
                <w:lang w:eastAsia="en-GB"/>
              </w:rPr>
              <w:t>, Planning and</w:t>
            </w:r>
            <w:r w:rsidRPr="00A52AEE">
              <w:rPr>
                <w:lang w:eastAsia="en-GB"/>
              </w:rPr>
              <w:t xml:space="preserve"> Built Environ.</w:t>
            </w:r>
          </w:p>
        </w:tc>
        <w:tc>
          <w:tcPr>
            <w:tcW w:w="502" w:type="pct"/>
            <w:tcBorders>
              <w:top w:val="nil"/>
              <w:left w:val="nil"/>
              <w:bottom w:val="single" w:sz="4" w:space="0" w:color="auto"/>
              <w:right w:val="single" w:sz="4" w:space="0" w:color="auto"/>
            </w:tcBorders>
            <w:shd w:val="clear" w:color="auto" w:fill="auto"/>
            <w:noWrap/>
            <w:vAlign w:val="bottom"/>
            <w:hideMark/>
          </w:tcPr>
          <w:p w14:paraId="7DD68861" w14:textId="77777777" w:rsidR="001068A2" w:rsidRPr="00A52AEE" w:rsidRDefault="001068A2" w:rsidP="00FE68E8">
            <w:pPr>
              <w:jc w:val="right"/>
              <w:rPr>
                <w:lang w:eastAsia="en-GB"/>
              </w:rPr>
            </w:pPr>
            <w:r w:rsidRPr="00A52AEE">
              <w:rPr>
                <w:lang w:eastAsia="en-GB"/>
              </w:rPr>
              <w:t>1435</w:t>
            </w:r>
          </w:p>
        </w:tc>
        <w:tc>
          <w:tcPr>
            <w:tcW w:w="502" w:type="pct"/>
            <w:tcBorders>
              <w:top w:val="nil"/>
              <w:left w:val="nil"/>
              <w:bottom w:val="single" w:sz="4" w:space="0" w:color="auto"/>
              <w:right w:val="single" w:sz="4" w:space="0" w:color="auto"/>
            </w:tcBorders>
            <w:shd w:val="clear" w:color="auto" w:fill="auto"/>
            <w:noWrap/>
            <w:vAlign w:val="bottom"/>
            <w:hideMark/>
          </w:tcPr>
          <w:p w14:paraId="2A3AE24F" w14:textId="77777777" w:rsidR="001068A2" w:rsidRPr="00A52AEE" w:rsidRDefault="001068A2" w:rsidP="00FE68E8">
            <w:pPr>
              <w:jc w:val="right"/>
              <w:rPr>
                <w:lang w:eastAsia="en-GB"/>
              </w:rPr>
            </w:pPr>
            <w:r w:rsidRPr="00A52AEE">
              <w:rPr>
                <w:lang w:eastAsia="en-GB"/>
              </w:rPr>
              <w:t>1250</w:t>
            </w:r>
          </w:p>
        </w:tc>
        <w:tc>
          <w:tcPr>
            <w:tcW w:w="544" w:type="pct"/>
            <w:tcBorders>
              <w:top w:val="nil"/>
              <w:left w:val="nil"/>
              <w:bottom w:val="single" w:sz="4" w:space="0" w:color="auto"/>
              <w:right w:val="single" w:sz="4" w:space="0" w:color="auto"/>
            </w:tcBorders>
            <w:shd w:val="clear" w:color="auto" w:fill="auto"/>
            <w:noWrap/>
            <w:vAlign w:val="bottom"/>
            <w:hideMark/>
          </w:tcPr>
          <w:p w14:paraId="3008A7EC" w14:textId="77777777" w:rsidR="001068A2" w:rsidRPr="00A52AEE" w:rsidRDefault="001068A2" w:rsidP="00FE68E8">
            <w:pPr>
              <w:jc w:val="right"/>
              <w:rPr>
                <w:lang w:eastAsia="en-GB"/>
              </w:rPr>
            </w:pPr>
            <w:r w:rsidRPr="00A52AEE">
              <w:rPr>
                <w:lang w:eastAsia="en-GB"/>
              </w:rPr>
              <w:t>1100</w:t>
            </w:r>
          </w:p>
        </w:tc>
        <w:tc>
          <w:tcPr>
            <w:tcW w:w="532" w:type="pct"/>
            <w:tcBorders>
              <w:top w:val="nil"/>
              <w:left w:val="nil"/>
              <w:bottom w:val="single" w:sz="4" w:space="0" w:color="auto"/>
              <w:right w:val="single" w:sz="4" w:space="0" w:color="auto"/>
            </w:tcBorders>
            <w:shd w:val="clear" w:color="auto" w:fill="auto"/>
            <w:noWrap/>
            <w:vAlign w:val="bottom"/>
            <w:hideMark/>
          </w:tcPr>
          <w:p w14:paraId="571EDD8D" w14:textId="77777777" w:rsidR="001068A2" w:rsidRPr="00A52AEE" w:rsidRDefault="001068A2" w:rsidP="00FE68E8">
            <w:pPr>
              <w:jc w:val="right"/>
              <w:rPr>
                <w:lang w:eastAsia="en-GB"/>
              </w:rPr>
            </w:pPr>
            <w:r w:rsidRPr="00A52AEE">
              <w:rPr>
                <w:lang w:eastAsia="en-GB"/>
              </w:rPr>
              <w:t>1235</w:t>
            </w:r>
          </w:p>
        </w:tc>
        <w:tc>
          <w:tcPr>
            <w:tcW w:w="573" w:type="pct"/>
            <w:tcBorders>
              <w:top w:val="nil"/>
              <w:left w:val="nil"/>
              <w:bottom w:val="single" w:sz="4" w:space="0" w:color="auto"/>
              <w:right w:val="single" w:sz="4" w:space="0" w:color="auto"/>
            </w:tcBorders>
            <w:shd w:val="clear" w:color="auto" w:fill="auto"/>
            <w:noWrap/>
            <w:vAlign w:val="bottom"/>
            <w:hideMark/>
          </w:tcPr>
          <w:p w14:paraId="56265BBD" w14:textId="77777777" w:rsidR="001068A2" w:rsidRPr="00A52AEE" w:rsidRDefault="001068A2" w:rsidP="00FE68E8">
            <w:pPr>
              <w:jc w:val="right"/>
              <w:rPr>
                <w:lang w:eastAsia="en-GB"/>
              </w:rPr>
            </w:pPr>
            <w:r w:rsidRPr="00A52AEE">
              <w:rPr>
                <w:lang w:eastAsia="en-GB"/>
              </w:rPr>
              <w:t>1240</w:t>
            </w:r>
          </w:p>
        </w:tc>
        <w:tc>
          <w:tcPr>
            <w:tcW w:w="645" w:type="pct"/>
            <w:tcBorders>
              <w:top w:val="nil"/>
              <w:left w:val="nil"/>
              <w:bottom w:val="single" w:sz="4" w:space="0" w:color="auto"/>
              <w:right w:val="single" w:sz="4" w:space="0" w:color="auto"/>
            </w:tcBorders>
            <w:shd w:val="clear" w:color="auto" w:fill="auto"/>
            <w:noWrap/>
            <w:vAlign w:val="bottom"/>
            <w:hideMark/>
          </w:tcPr>
          <w:p w14:paraId="189A429F" w14:textId="38D2BBFD" w:rsidR="001068A2" w:rsidRPr="00A52AEE" w:rsidRDefault="002E286F" w:rsidP="00FE68E8">
            <w:pPr>
              <w:jc w:val="right"/>
              <w:rPr>
                <w:lang w:eastAsia="en-GB"/>
              </w:rPr>
            </w:pPr>
            <w:r>
              <w:rPr>
                <w:lang w:eastAsia="en-GB"/>
              </w:rPr>
              <w:t>195</w:t>
            </w:r>
          </w:p>
        </w:tc>
      </w:tr>
      <w:tr w:rsidR="0074728E" w:rsidRPr="00A52AEE" w14:paraId="41D52336"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57C0FFC" w14:textId="77D7103F" w:rsidR="001068A2" w:rsidRPr="00A52AEE" w:rsidRDefault="001068A2" w:rsidP="00A52AEE">
            <w:pPr>
              <w:rPr>
                <w:lang w:eastAsia="en-GB"/>
              </w:rPr>
            </w:pPr>
            <w:r w:rsidRPr="00A52AEE">
              <w:rPr>
                <w:lang w:eastAsia="en-GB"/>
              </w:rPr>
              <w:t>Info</w:t>
            </w:r>
            <w:r w:rsidR="0074728E" w:rsidRPr="00A52AEE">
              <w:rPr>
                <w:lang w:eastAsia="en-GB"/>
              </w:rPr>
              <w:t>. and Communication Tech.</w:t>
            </w:r>
          </w:p>
        </w:tc>
        <w:tc>
          <w:tcPr>
            <w:tcW w:w="502" w:type="pct"/>
            <w:tcBorders>
              <w:top w:val="nil"/>
              <w:left w:val="nil"/>
              <w:bottom w:val="single" w:sz="4" w:space="0" w:color="auto"/>
              <w:right w:val="single" w:sz="4" w:space="0" w:color="auto"/>
            </w:tcBorders>
            <w:shd w:val="clear" w:color="auto" w:fill="auto"/>
            <w:noWrap/>
            <w:vAlign w:val="bottom"/>
            <w:hideMark/>
          </w:tcPr>
          <w:p w14:paraId="137E285E" w14:textId="77777777" w:rsidR="001068A2" w:rsidRPr="00A52AEE" w:rsidRDefault="001068A2" w:rsidP="00FE68E8">
            <w:pPr>
              <w:jc w:val="right"/>
              <w:rPr>
                <w:lang w:eastAsia="en-GB"/>
              </w:rPr>
            </w:pPr>
            <w:r w:rsidRPr="00A52AEE">
              <w:rPr>
                <w:lang w:eastAsia="en-GB"/>
              </w:rPr>
              <w:t>2670</w:t>
            </w:r>
          </w:p>
        </w:tc>
        <w:tc>
          <w:tcPr>
            <w:tcW w:w="502" w:type="pct"/>
            <w:tcBorders>
              <w:top w:val="nil"/>
              <w:left w:val="nil"/>
              <w:bottom w:val="single" w:sz="4" w:space="0" w:color="auto"/>
              <w:right w:val="single" w:sz="4" w:space="0" w:color="auto"/>
            </w:tcBorders>
            <w:shd w:val="clear" w:color="auto" w:fill="auto"/>
            <w:noWrap/>
            <w:vAlign w:val="bottom"/>
            <w:hideMark/>
          </w:tcPr>
          <w:p w14:paraId="69DF4E40" w14:textId="77777777" w:rsidR="001068A2" w:rsidRPr="00A52AEE" w:rsidRDefault="001068A2" w:rsidP="00FE68E8">
            <w:pPr>
              <w:jc w:val="right"/>
              <w:rPr>
                <w:lang w:eastAsia="en-GB"/>
              </w:rPr>
            </w:pPr>
            <w:r w:rsidRPr="00A52AEE">
              <w:rPr>
                <w:lang w:eastAsia="en-GB"/>
              </w:rPr>
              <w:t>2390</w:t>
            </w:r>
          </w:p>
        </w:tc>
        <w:tc>
          <w:tcPr>
            <w:tcW w:w="544" w:type="pct"/>
            <w:tcBorders>
              <w:top w:val="nil"/>
              <w:left w:val="nil"/>
              <w:bottom w:val="single" w:sz="4" w:space="0" w:color="auto"/>
              <w:right w:val="single" w:sz="4" w:space="0" w:color="auto"/>
            </w:tcBorders>
            <w:shd w:val="clear" w:color="auto" w:fill="auto"/>
            <w:noWrap/>
            <w:vAlign w:val="bottom"/>
            <w:hideMark/>
          </w:tcPr>
          <w:p w14:paraId="36C9DE9E" w14:textId="77777777" w:rsidR="001068A2" w:rsidRPr="00A52AEE" w:rsidRDefault="001068A2" w:rsidP="00FE68E8">
            <w:pPr>
              <w:jc w:val="right"/>
              <w:rPr>
                <w:lang w:eastAsia="en-GB"/>
              </w:rPr>
            </w:pPr>
            <w:r w:rsidRPr="00A52AEE">
              <w:rPr>
                <w:lang w:eastAsia="en-GB"/>
              </w:rPr>
              <w:t>2470</w:t>
            </w:r>
          </w:p>
        </w:tc>
        <w:tc>
          <w:tcPr>
            <w:tcW w:w="532" w:type="pct"/>
            <w:tcBorders>
              <w:top w:val="nil"/>
              <w:left w:val="nil"/>
              <w:bottom w:val="single" w:sz="4" w:space="0" w:color="auto"/>
              <w:right w:val="single" w:sz="4" w:space="0" w:color="auto"/>
            </w:tcBorders>
            <w:shd w:val="clear" w:color="auto" w:fill="auto"/>
            <w:noWrap/>
            <w:vAlign w:val="bottom"/>
            <w:hideMark/>
          </w:tcPr>
          <w:p w14:paraId="796E266A" w14:textId="77777777" w:rsidR="001068A2" w:rsidRPr="00A52AEE" w:rsidRDefault="001068A2" w:rsidP="00FE68E8">
            <w:pPr>
              <w:jc w:val="right"/>
              <w:rPr>
                <w:lang w:eastAsia="en-GB"/>
              </w:rPr>
            </w:pPr>
            <w:r w:rsidRPr="00A52AEE">
              <w:rPr>
                <w:lang w:eastAsia="en-GB"/>
              </w:rPr>
              <w:t>2700</w:t>
            </w:r>
          </w:p>
        </w:tc>
        <w:tc>
          <w:tcPr>
            <w:tcW w:w="573" w:type="pct"/>
            <w:tcBorders>
              <w:top w:val="nil"/>
              <w:left w:val="nil"/>
              <w:bottom w:val="single" w:sz="4" w:space="0" w:color="auto"/>
              <w:right w:val="single" w:sz="4" w:space="0" w:color="auto"/>
            </w:tcBorders>
            <w:shd w:val="clear" w:color="auto" w:fill="auto"/>
            <w:noWrap/>
            <w:vAlign w:val="bottom"/>
            <w:hideMark/>
          </w:tcPr>
          <w:p w14:paraId="11C4BA9B" w14:textId="77777777" w:rsidR="001068A2" w:rsidRPr="00A52AEE" w:rsidRDefault="001068A2" w:rsidP="00FE68E8">
            <w:pPr>
              <w:jc w:val="right"/>
              <w:rPr>
                <w:lang w:eastAsia="en-GB"/>
              </w:rPr>
            </w:pPr>
            <w:r w:rsidRPr="00A52AEE">
              <w:rPr>
                <w:lang w:eastAsia="en-GB"/>
              </w:rPr>
              <w:t>3155</w:t>
            </w:r>
          </w:p>
        </w:tc>
        <w:tc>
          <w:tcPr>
            <w:tcW w:w="645" w:type="pct"/>
            <w:tcBorders>
              <w:top w:val="nil"/>
              <w:left w:val="nil"/>
              <w:bottom w:val="single" w:sz="4" w:space="0" w:color="auto"/>
              <w:right w:val="single" w:sz="4" w:space="0" w:color="auto"/>
            </w:tcBorders>
            <w:shd w:val="clear" w:color="auto" w:fill="auto"/>
            <w:noWrap/>
            <w:vAlign w:val="bottom"/>
            <w:hideMark/>
          </w:tcPr>
          <w:p w14:paraId="433776CB" w14:textId="77777777" w:rsidR="001068A2" w:rsidRPr="00A52AEE" w:rsidRDefault="001068A2" w:rsidP="00FE68E8">
            <w:pPr>
              <w:jc w:val="right"/>
              <w:rPr>
                <w:lang w:eastAsia="en-GB"/>
              </w:rPr>
            </w:pPr>
            <w:r w:rsidRPr="00A52AEE">
              <w:rPr>
                <w:lang w:eastAsia="en-GB"/>
              </w:rPr>
              <w:t>485</w:t>
            </w:r>
          </w:p>
        </w:tc>
      </w:tr>
      <w:tr w:rsidR="0074728E" w:rsidRPr="00A52AEE" w14:paraId="410AD92D"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28B4A3D0" w14:textId="77777777" w:rsidR="001068A2" w:rsidRPr="00A52AEE" w:rsidRDefault="001068A2" w:rsidP="00A52AEE">
            <w:pPr>
              <w:rPr>
                <w:lang w:eastAsia="en-GB"/>
              </w:rPr>
            </w:pPr>
            <w:r w:rsidRPr="00A52AEE">
              <w:rPr>
                <w:lang w:eastAsia="en-GB"/>
              </w:rPr>
              <w:t>Retail and Commercial Enterprise</w:t>
            </w:r>
          </w:p>
        </w:tc>
        <w:tc>
          <w:tcPr>
            <w:tcW w:w="502" w:type="pct"/>
            <w:tcBorders>
              <w:top w:val="nil"/>
              <w:left w:val="nil"/>
              <w:bottom w:val="single" w:sz="4" w:space="0" w:color="auto"/>
              <w:right w:val="single" w:sz="4" w:space="0" w:color="auto"/>
            </w:tcBorders>
            <w:shd w:val="clear" w:color="auto" w:fill="auto"/>
            <w:noWrap/>
            <w:vAlign w:val="bottom"/>
            <w:hideMark/>
          </w:tcPr>
          <w:p w14:paraId="34FD2A32" w14:textId="77777777" w:rsidR="001068A2" w:rsidRPr="00A52AEE" w:rsidRDefault="001068A2" w:rsidP="00FE68E8">
            <w:pPr>
              <w:jc w:val="right"/>
              <w:rPr>
                <w:lang w:eastAsia="en-GB"/>
              </w:rPr>
            </w:pPr>
            <w:r w:rsidRPr="00A52AEE">
              <w:rPr>
                <w:lang w:eastAsia="en-GB"/>
              </w:rPr>
              <w:t>1320</w:t>
            </w:r>
          </w:p>
        </w:tc>
        <w:tc>
          <w:tcPr>
            <w:tcW w:w="502" w:type="pct"/>
            <w:tcBorders>
              <w:top w:val="nil"/>
              <w:left w:val="nil"/>
              <w:bottom w:val="single" w:sz="4" w:space="0" w:color="auto"/>
              <w:right w:val="single" w:sz="4" w:space="0" w:color="auto"/>
            </w:tcBorders>
            <w:shd w:val="clear" w:color="auto" w:fill="auto"/>
            <w:noWrap/>
            <w:vAlign w:val="bottom"/>
            <w:hideMark/>
          </w:tcPr>
          <w:p w14:paraId="6F488C83" w14:textId="77777777" w:rsidR="001068A2" w:rsidRPr="00A52AEE" w:rsidRDefault="001068A2" w:rsidP="00FE68E8">
            <w:pPr>
              <w:jc w:val="right"/>
              <w:rPr>
                <w:lang w:eastAsia="en-GB"/>
              </w:rPr>
            </w:pPr>
            <w:r w:rsidRPr="00A52AEE">
              <w:rPr>
                <w:lang w:eastAsia="en-GB"/>
              </w:rPr>
              <w:t>2145</w:t>
            </w:r>
          </w:p>
        </w:tc>
        <w:tc>
          <w:tcPr>
            <w:tcW w:w="544" w:type="pct"/>
            <w:tcBorders>
              <w:top w:val="nil"/>
              <w:left w:val="nil"/>
              <w:bottom w:val="single" w:sz="4" w:space="0" w:color="auto"/>
              <w:right w:val="single" w:sz="4" w:space="0" w:color="auto"/>
            </w:tcBorders>
            <w:shd w:val="clear" w:color="auto" w:fill="auto"/>
            <w:noWrap/>
            <w:vAlign w:val="bottom"/>
            <w:hideMark/>
          </w:tcPr>
          <w:p w14:paraId="4D438150" w14:textId="77777777" w:rsidR="001068A2" w:rsidRPr="00A52AEE" w:rsidRDefault="001068A2" w:rsidP="00FE68E8">
            <w:pPr>
              <w:jc w:val="right"/>
              <w:rPr>
                <w:lang w:eastAsia="en-GB"/>
              </w:rPr>
            </w:pPr>
            <w:r w:rsidRPr="00A52AEE">
              <w:rPr>
                <w:lang w:eastAsia="en-GB"/>
              </w:rPr>
              <w:t>2505</w:t>
            </w:r>
          </w:p>
        </w:tc>
        <w:tc>
          <w:tcPr>
            <w:tcW w:w="532" w:type="pct"/>
            <w:tcBorders>
              <w:top w:val="nil"/>
              <w:left w:val="nil"/>
              <w:bottom w:val="single" w:sz="4" w:space="0" w:color="auto"/>
              <w:right w:val="single" w:sz="4" w:space="0" w:color="auto"/>
            </w:tcBorders>
            <w:shd w:val="clear" w:color="auto" w:fill="auto"/>
            <w:noWrap/>
            <w:vAlign w:val="bottom"/>
            <w:hideMark/>
          </w:tcPr>
          <w:p w14:paraId="31C4C07E" w14:textId="77777777" w:rsidR="001068A2" w:rsidRPr="00A52AEE" w:rsidRDefault="001068A2" w:rsidP="00FE68E8">
            <w:pPr>
              <w:jc w:val="right"/>
              <w:rPr>
                <w:lang w:eastAsia="en-GB"/>
              </w:rPr>
            </w:pPr>
            <w:r w:rsidRPr="00A52AEE">
              <w:rPr>
                <w:lang w:eastAsia="en-GB"/>
              </w:rPr>
              <w:t>2385</w:t>
            </w:r>
          </w:p>
        </w:tc>
        <w:tc>
          <w:tcPr>
            <w:tcW w:w="573" w:type="pct"/>
            <w:tcBorders>
              <w:top w:val="nil"/>
              <w:left w:val="nil"/>
              <w:bottom w:val="single" w:sz="4" w:space="0" w:color="auto"/>
              <w:right w:val="single" w:sz="4" w:space="0" w:color="auto"/>
            </w:tcBorders>
            <w:shd w:val="clear" w:color="auto" w:fill="auto"/>
            <w:noWrap/>
            <w:vAlign w:val="bottom"/>
            <w:hideMark/>
          </w:tcPr>
          <w:p w14:paraId="641960DC" w14:textId="77777777" w:rsidR="001068A2" w:rsidRPr="00A52AEE" w:rsidRDefault="001068A2" w:rsidP="00FE68E8">
            <w:pPr>
              <w:jc w:val="right"/>
              <w:rPr>
                <w:lang w:eastAsia="en-GB"/>
              </w:rPr>
            </w:pPr>
            <w:r w:rsidRPr="00A52AEE">
              <w:rPr>
                <w:lang w:eastAsia="en-GB"/>
              </w:rPr>
              <w:t>1775</w:t>
            </w:r>
          </w:p>
        </w:tc>
        <w:tc>
          <w:tcPr>
            <w:tcW w:w="645" w:type="pct"/>
            <w:tcBorders>
              <w:top w:val="nil"/>
              <w:left w:val="nil"/>
              <w:bottom w:val="single" w:sz="4" w:space="0" w:color="auto"/>
              <w:right w:val="single" w:sz="4" w:space="0" w:color="auto"/>
            </w:tcBorders>
            <w:shd w:val="clear" w:color="auto" w:fill="auto"/>
            <w:noWrap/>
            <w:vAlign w:val="bottom"/>
            <w:hideMark/>
          </w:tcPr>
          <w:p w14:paraId="3CA5D5E0" w14:textId="77777777" w:rsidR="001068A2" w:rsidRPr="00A52AEE" w:rsidRDefault="001068A2" w:rsidP="00FE68E8">
            <w:pPr>
              <w:jc w:val="right"/>
              <w:rPr>
                <w:lang w:eastAsia="en-GB"/>
              </w:rPr>
            </w:pPr>
            <w:r w:rsidRPr="00A52AEE">
              <w:rPr>
                <w:lang w:eastAsia="en-GB"/>
              </w:rPr>
              <w:t>455</w:t>
            </w:r>
          </w:p>
        </w:tc>
      </w:tr>
      <w:tr w:rsidR="0074728E" w:rsidRPr="00A52AEE" w14:paraId="1109E60B"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83A7547" w14:textId="77777777" w:rsidR="001068A2" w:rsidRPr="00A52AEE" w:rsidRDefault="001068A2" w:rsidP="00A52AEE">
            <w:pPr>
              <w:rPr>
                <w:lang w:eastAsia="en-GB"/>
              </w:rPr>
            </w:pPr>
            <w:r w:rsidRPr="00A52AEE">
              <w:rPr>
                <w:lang w:eastAsia="en-GB"/>
              </w:rPr>
              <w:t>Leisure, Travel and Tourism</w:t>
            </w:r>
          </w:p>
        </w:tc>
        <w:tc>
          <w:tcPr>
            <w:tcW w:w="502" w:type="pct"/>
            <w:tcBorders>
              <w:top w:val="nil"/>
              <w:left w:val="nil"/>
              <w:bottom w:val="single" w:sz="4" w:space="0" w:color="auto"/>
              <w:right w:val="single" w:sz="4" w:space="0" w:color="auto"/>
            </w:tcBorders>
            <w:shd w:val="clear" w:color="auto" w:fill="auto"/>
            <w:noWrap/>
            <w:vAlign w:val="bottom"/>
            <w:hideMark/>
          </w:tcPr>
          <w:p w14:paraId="55B20E24" w14:textId="77777777" w:rsidR="001068A2" w:rsidRPr="00A52AEE" w:rsidRDefault="001068A2" w:rsidP="00FE68E8">
            <w:pPr>
              <w:jc w:val="right"/>
              <w:rPr>
                <w:lang w:eastAsia="en-GB"/>
              </w:rPr>
            </w:pPr>
            <w:r w:rsidRPr="00A52AEE">
              <w:rPr>
                <w:lang w:eastAsia="en-GB"/>
              </w:rPr>
              <w:t>1985</w:t>
            </w:r>
          </w:p>
        </w:tc>
        <w:tc>
          <w:tcPr>
            <w:tcW w:w="502" w:type="pct"/>
            <w:tcBorders>
              <w:top w:val="nil"/>
              <w:left w:val="nil"/>
              <w:bottom w:val="single" w:sz="4" w:space="0" w:color="auto"/>
              <w:right w:val="single" w:sz="4" w:space="0" w:color="auto"/>
            </w:tcBorders>
            <w:shd w:val="clear" w:color="auto" w:fill="auto"/>
            <w:noWrap/>
            <w:vAlign w:val="bottom"/>
            <w:hideMark/>
          </w:tcPr>
          <w:p w14:paraId="2AD563C1" w14:textId="77777777" w:rsidR="001068A2" w:rsidRPr="00A52AEE" w:rsidRDefault="001068A2" w:rsidP="00FE68E8">
            <w:pPr>
              <w:jc w:val="right"/>
              <w:rPr>
                <w:lang w:eastAsia="en-GB"/>
              </w:rPr>
            </w:pPr>
            <w:r w:rsidRPr="00A52AEE">
              <w:rPr>
                <w:lang w:eastAsia="en-GB"/>
              </w:rPr>
              <w:t>1995</w:t>
            </w:r>
          </w:p>
        </w:tc>
        <w:tc>
          <w:tcPr>
            <w:tcW w:w="544" w:type="pct"/>
            <w:tcBorders>
              <w:top w:val="nil"/>
              <w:left w:val="nil"/>
              <w:bottom w:val="single" w:sz="4" w:space="0" w:color="auto"/>
              <w:right w:val="single" w:sz="4" w:space="0" w:color="auto"/>
            </w:tcBorders>
            <w:shd w:val="clear" w:color="auto" w:fill="auto"/>
            <w:noWrap/>
            <w:vAlign w:val="bottom"/>
            <w:hideMark/>
          </w:tcPr>
          <w:p w14:paraId="5760B36F" w14:textId="77777777" w:rsidR="001068A2" w:rsidRPr="00A52AEE" w:rsidRDefault="001068A2" w:rsidP="00FE68E8">
            <w:pPr>
              <w:jc w:val="right"/>
              <w:rPr>
                <w:lang w:eastAsia="en-GB"/>
              </w:rPr>
            </w:pPr>
            <w:r w:rsidRPr="00A52AEE">
              <w:rPr>
                <w:lang w:eastAsia="en-GB"/>
              </w:rPr>
              <w:t>2165</w:t>
            </w:r>
          </w:p>
        </w:tc>
        <w:tc>
          <w:tcPr>
            <w:tcW w:w="532" w:type="pct"/>
            <w:tcBorders>
              <w:top w:val="nil"/>
              <w:left w:val="nil"/>
              <w:bottom w:val="single" w:sz="4" w:space="0" w:color="auto"/>
              <w:right w:val="single" w:sz="4" w:space="0" w:color="auto"/>
            </w:tcBorders>
            <w:shd w:val="clear" w:color="auto" w:fill="auto"/>
            <w:noWrap/>
            <w:vAlign w:val="bottom"/>
            <w:hideMark/>
          </w:tcPr>
          <w:p w14:paraId="33D09EBD" w14:textId="77777777" w:rsidR="001068A2" w:rsidRPr="00A52AEE" w:rsidRDefault="001068A2" w:rsidP="00FE68E8">
            <w:pPr>
              <w:jc w:val="right"/>
              <w:rPr>
                <w:lang w:eastAsia="en-GB"/>
              </w:rPr>
            </w:pPr>
            <w:r w:rsidRPr="00A52AEE">
              <w:rPr>
                <w:lang w:eastAsia="en-GB"/>
              </w:rPr>
              <w:t>2110</w:t>
            </w:r>
          </w:p>
        </w:tc>
        <w:tc>
          <w:tcPr>
            <w:tcW w:w="573" w:type="pct"/>
            <w:tcBorders>
              <w:top w:val="nil"/>
              <w:left w:val="nil"/>
              <w:bottom w:val="single" w:sz="4" w:space="0" w:color="auto"/>
              <w:right w:val="single" w:sz="4" w:space="0" w:color="auto"/>
            </w:tcBorders>
            <w:shd w:val="clear" w:color="auto" w:fill="auto"/>
            <w:noWrap/>
            <w:vAlign w:val="bottom"/>
            <w:hideMark/>
          </w:tcPr>
          <w:p w14:paraId="65668456" w14:textId="77777777" w:rsidR="001068A2" w:rsidRPr="00A52AEE" w:rsidRDefault="001068A2" w:rsidP="00FE68E8">
            <w:pPr>
              <w:jc w:val="right"/>
              <w:rPr>
                <w:lang w:eastAsia="en-GB"/>
              </w:rPr>
            </w:pPr>
            <w:r w:rsidRPr="00A52AEE">
              <w:rPr>
                <w:lang w:eastAsia="en-GB"/>
              </w:rPr>
              <w:t>2665</w:t>
            </w:r>
          </w:p>
        </w:tc>
        <w:tc>
          <w:tcPr>
            <w:tcW w:w="645" w:type="pct"/>
            <w:tcBorders>
              <w:top w:val="nil"/>
              <w:left w:val="nil"/>
              <w:bottom w:val="single" w:sz="4" w:space="0" w:color="auto"/>
              <w:right w:val="single" w:sz="4" w:space="0" w:color="auto"/>
            </w:tcBorders>
            <w:shd w:val="clear" w:color="auto" w:fill="auto"/>
            <w:noWrap/>
            <w:vAlign w:val="bottom"/>
            <w:hideMark/>
          </w:tcPr>
          <w:p w14:paraId="28EFC29E" w14:textId="3513C541" w:rsidR="001068A2" w:rsidRPr="00A52AEE" w:rsidRDefault="002E286F" w:rsidP="00FE68E8">
            <w:pPr>
              <w:jc w:val="right"/>
              <w:rPr>
                <w:lang w:eastAsia="en-GB"/>
              </w:rPr>
            </w:pPr>
            <w:r>
              <w:rPr>
                <w:lang w:eastAsia="en-GB"/>
              </w:rPr>
              <w:t>680</w:t>
            </w:r>
          </w:p>
        </w:tc>
      </w:tr>
      <w:tr w:rsidR="0074728E" w:rsidRPr="00A52AEE" w14:paraId="5BDC2B2D"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43CAE1C7" w14:textId="77777777" w:rsidR="001068A2" w:rsidRPr="00A52AEE" w:rsidRDefault="001068A2" w:rsidP="00A52AEE">
            <w:pPr>
              <w:rPr>
                <w:lang w:eastAsia="en-GB"/>
              </w:rPr>
            </w:pPr>
            <w:r w:rsidRPr="00A52AEE">
              <w:rPr>
                <w:lang w:eastAsia="en-GB"/>
              </w:rPr>
              <w:t>Arts, Media and Publishing</w:t>
            </w:r>
          </w:p>
        </w:tc>
        <w:tc>
          <w:tcPr>
            <w:tcW w:w="502" w:type="pct"/>
            <w:tcBorders>
              <w:top w:val="nil"/>
              <w:left w:val="nil"/>
              <w:bottom w:val="single" w:sz="4" w:space="0" w:color="auto"/>
              <w:right w:val="single" w:sz="4" w:space="0" w:color="auto"/>
            </w:tcBorders>
            <w:shd w:val="clear" w:color="auto" w:fill="auto"/>
            <w:noWrap/>
            <w:vAlign w:val="bottom"/>
            <w:hideMark/>
          </w:tcPr>
          <w:p w14:paraId="59446875" w14:textId="77777777" w:rsidR="001068A2" w:rsidRPr="00A52AEE" w:rsidRDefault="001068A2" w:rsidP="00FE68E8">
            <w:pPr>
              <w:jc w:val="right"/>
              <w:rPr>
                <w:lang w:eastAsia="en-GB"/>
              </w:rPr>
            </w:pPr>
            <w:r w:rsidRPr="00A52AEE">
              <w:rPr>
                <w:lang w:eastAsia="en-GB"/>
              </w:rPr>
              <w:t>5935</w:t>
            </w:r>
          </w:p>
        </w:tc>
        <w:tc>
          <w:tcPr>
            <w:tcW w:w="502" w:type="pct"/>
            <w:tcBorders>
              <w:top w:val="nil"/>
              <w:left w:val="nil"/>
              <w:bottom w:val="single" w:sz="4" w:space="0" w:color="auto"/>
              <w:right w:val="single" w:sz="4" w:space="0" w:color="auto"/>
            </w:tcBorders>
            <w:shd w:val="clear" w:color="auto" w:fill="auto"/>
            <w:noWrap/>
            <w:vAlign w:val="bottom"/>
            <w:hideMark/>
          </w:tcPr>
          <w:p w14:paraId="30683030" w14:textId="77777777" w:rsidR="001068A2" w:rsidRPr="00A52AEE" w:rsidRDefault="001068A2" w:rsidP="00FE68E8">
            <w:pPr>
              <w:jc w:val="right"/>
              <w:rPr>
                <w:lang w:eastAsia="en-GB"/>
              </w:rPr>
            </w:pPr>
            <w:r w:rsidRPr="00A52AEE">
              <w:rPr>
                <w:lang w:eastAsia="en-GB"/>
              </w:rPr>
              <w:t>6030</w:t>
            </w:r>
          </w:p>
        </w:tc>
        <w:tc>
          <w:tcPr>
            <w:tcW w:w="544" w:type="pct"/>
            <w:tcBorders>
              <w:top w:val="nil"/>
              <w:left w:val="nil"/>
              <w:bottom w:val="single" w:sz="4" w:space="0" w:color="auto"/>
              <w:right w:val="single" w:sz="4" w:space="0" w:color="auto"/>
            </w:tcBorders>
            <w:shd w:val="clear" w:color="auto" w:fill="auto"/>
            <w:noWrap/>
            <w:vAlign w:val="bottom"/>
            <w:hideMark/>
          </w:tcPr>
          <w:p w14:paraId="280D798E" w14:textId="77777777" w:rsidR="001068A2" w:rsidRPr="00A52AEE" w:rsidRDefault="001068A2" w:rsidP="00FE68E8">
            <w:pPr>
              <w:jc w:val="right"/>
              <w:rPr>
                <w:lang w:eastAsia="en-GB"/>
              </w:rPr>
            </w:pPr>
            <w:r w:rsidRPr="00A52AEE">
              <w:rPr>
                <w:lang w:eastAsia="en-GB"/>
              </w:rPr>
              <w:t>6315</w:t>
            </w:r>
          </w:p>
        </w:tc>
        <w:tc>
          <w:tcPr>
            <w:tcW w:w="532" w:type="pct"/>
            <w:tcBorders>
              <w:top w:val="nil"/>
              <w:left w:val="nil"/>
              <w:bottom w:val="single" w:sz="4" w:space="0" w:color="auto"/>
              <w:right w:val="single" w:sz="4" w:space="0" w:color="auto"/>
            </w:tcBorders>
            <w:shd w:val="clear" w:color="auto" w:fill="auto"/>
            <w:noWrap/>
            <w:vAlign w:val="bottom"/>
            <w:hideMark/>
          </w:tcPr>
          <w:p w14:paraId="27FD0771" w14:textId="77777777" w:rsidR="001068A2" w:rsidRPr="00A52AEE" w:rsidRDefault="001068A2" w:rsidP="00FE68E8">
            <w:pPr>
              <w:jc w:val="right"/>
              <w:rPr>
                <w:lang w:eastAsia="en-GB"/>
              </w:rPr>
            </w:pPr>
            <w:r w:rsidRPr="00A52AEE">
              <w:rPr>
                <w:lang w:eastAsia="en-GB"/>
              </w:rPr>
              <w:t>6070</w:t>
            </w:r>
          </w:p>
        </w:tc>
        <w:tc>
          <w:tcPr>
            <w:tcW w:w="573" w:type="pct"/>
            <w:tcBorders>
              <w:top w:val="nil"/>
              <w:left w:val="nil"/>
              <w:bottom w:val="single" w:sz="4" w:space="0" w:color="auto"/>
              <w:right w:val="single" w:sz="4" w:space="0" w:color="auto"/>
            </w:tcBorders>
            <w:shd w:val="clear" w:color="auto" w:fill="auto"/>
            <w:noWrap/>
            <w:vAlign w:val="bottom"/>
            <w:hideMark/>
          </w:tcPr>
          <w:p w14:paraId="31133F23" w14:textId="77777777" w:rsidR="001068A2" w:rsidRPr="00A52AEE" w:rsidRDefault="001068A2" w:rsidP="00FE68E8">
            <w:pPr>
              <w:jc w:val="right"/>
              <w:rPr>
                <w:lang w:eastAsia="en-GB"/>
              </w:rPr>
            </w:pPr>
            <w:r w:rsidRPr="00A52AEE">
              <w:rPr>
                <w:lang w:eastAsia="en-GB"/>
              </w:rPr>
              <w:t>7685</w:t>
            </w:r>
          </w:p>
        </w:tc>
        <w:tc>
          <w:tcPr>
            <w:tcW w:w="645" w:type="pct"/>
            <w:tcBorders>
              <w:top w:val="nil"/>
              <w:left w:val="nil"/>
              <w:bottom w:val="single" w:sz="4" w:space="0" w:color="auto"/>
              <w:right w:val="single" w:sz="4" w:space="0" w:color="auto"/>
            </w:tcBorders>
            <w:shd w:val="clear" w:color="auto" w:fill="auto"/>
            <w:noWrap/>
            <w:vAlign w:val="bottom"/>
            <w:hideMark/>
          </w:tcPr>
          <w:p w14:paraId="4A69E753" w14:textId="56F6C698" w:rsidR="001068A2" w:rsidRPr="00A52AEE" w:rsidRDefault="002E286F" w:rsidP="00FE68E8">
            <w:pPr>
              <w:jc w:val="right"/>
              <w:rPr>
                <w:lang w:eastAsia="en-GB"/>
              </w:rPr>
            </w:pPr>
            <w:r>
              <w:rPr>
                <w:lang w:eastAsia="en-GB"/>
              </w:rPr>
              <w:t>1750</w:t>
            </w:r>
          </w:p>
        </w:tc>
      </w:tr>
      <w:tr w:rsidR="0074728E" w:rsidRPr="00A52AEE" w14:paraId="3702D0A7"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287136E4" w14:textId="77777777" w:rsidR="001068A2" w:rsidRPr="00A52AEE" w:rsidRDefault="001068A2" w:rsidP="00A52AEE">
            <w:pPr>
              <w:rPr>
                <w:lang w:eastAsia="en-GB"/>
              </w:rPr>
            </w:pPr>
            <w:r w:rsidRPr="00A52AEE">
              <w:rPr>
                <w:lang w:eastAsia="en-GB"/>
              </w:rPr>
              <w:t>History, Philosophy and Theology</w:t>
            </w:r>
          </w:p>
        </w:tc>
        <w:tc>
          <w:tcPr>
            <w:tcW w:w="502" w:type="pct"/>
            <w:tcBorders>
              <w:top w:val="nil"/>
              <w:left w:val="nil"/>
              <w:bottom w:val="single" w:sz="4" w:space="0" w:color="auto"/>
              <w:right w:val="single" w:sz="4" w:space="0" w:color="auto"/>
            </w:tcBorders>
            <w:shd w:val="clear" w:color="auto" w:fill="auto"/>
            <w:noWrap/>
            <w:vAlign w:val="bottom"/>
            <w:hideMark/>
          </w:tcPr>
          <w:p w14:paraId="1A537EA1" w14:textId="77777777" w:rsidR="001068A2" w:rsidRPr="00A52AEE" w:rsidRDefault="001068A2" w:rsidP="00FE68E8">
            <w:pPr>
              <w:jc w:val="right"/>
              <w:rPr>
                <w:lang w:eastAsia="en-GB"/>
              </w:rPr>
            </w:pPr>
            <w:r w:rsidRPr="00A52AEE">
              <w:rPr>
                <w:lang w:eastAsia="en-GB"/>
              </w:rPr>
              <w:t>810</w:t>
            </w:r>
          </w:p>
        </w:tc>
        <w:tc>
          <w:tcPr>
            <w:tcW w:w="502" w:type="pct"/>
            <w:tcBorders>
              <w:top w:val="nil"/>
              <w:left w:val="nil"/>
              <w:bottom w:val="single" w:sz="4" w:space="0" w:color="auto"/>
              <w:right w:val="single" w:sz="4" w:space="0" w:color="auto"/>
            </w:tcBorders>
            <w:shd w:val="clear" w:color="auto" w:fill="auto"/>
            <w:noWrap/>
            <w:vAlign w:val="bottom"/>
            <w:hideMark/>
          </w:tcPr>
          <w:p w14:paraId="102DAA00" w14:textId="77777777" w:rsidR="001068A2" w:rsidRPr="00A52AEE" w:rsidRDefault="001068A2" w:rsidP="00FE68E8">
            <w:pPr>
              <w:jc w:val="right"/>
              <w:rPr>
                <w:lang w:eastAsia="en-GB"/>
              </w:rPr>
            </w:pPr>
            <w:r w:rsidRPr="00A52AEE">
              <w:rPr>
                <w:lang w:eastAsia="en-GB"/>
              </w:rPr>
              <w:t>1285</w:t>
            </w:r>
          </w:p>
        </w:tc>
        <w:tc>
          <w:tcPr>
            <w:tcW w:w="544" w:type="pct"/>
            <w:tcBorders>
              <w:top w:val="nil"/>
              <w:left w:val="nil"/>
              <w:bottom w:val="single" w:sz="4" w:space="0" w:color="auto"/>
              <w:right w:val="single" w:sz="4" w:space="0" w:color="auto"/>
            </w:tcBorders>
            <w:shd w:val="clear" w:color="auto" w:fill="auto"/>
            <w:noWrap/>
            <w:vAlign w:val="bottom"/>
            <w:hideMark/>
          </w:tcPr>
          <w:p w14:paraId="42DF8EBA" w14:textId="77777777" w:rsidR="001068A2" w:rsidRPr="00A52AEE" w:rsidRDefault="001068A2" w:rsidP="00FE68E8">
            <w:pPr>
              <w:jc w:val="right"/>
              <w:rPr>
                <w:lang w:eastAsia="en-GB"/>
              </w:rPr>
            </w:pPr>
            <w:r w:rsidRPr="00A52AEE">
              <w:rPr>
                <w:lang w:eastAsia="en-GB"/>
              </w:rPr>
              <w:t>1385</w:t>
            </w:r>
          </w:p>
        </w:tc>
        <w:tc>
          <w:tcPr>
            <w:tcW w:w="532" w:type="pct"/>
            <w:tcBorders>
              <w:top w:val="nil"/>
              <w:left w:val="nil"/>
              <w:bottom w:val="single" w:sz="4" w:space="0" w:color="auto"/>
              <w:right w:val="single" w:sz="4" w:space="0" w:color="auto"/>
            </w:tcBorders>
            <w:shd w:val="clear" w:color="auto" w:fill="auto"/>
            <w:noWrap/>
            <w:vAlign w:val="bottom"/>
            <w:hideMark/>
          </w:tcPr>
          <w:p w14:paraId="15734F6A" w14:textId="77777777" w:rsidR="001068A2" w:rsidRPr="00A52AEE" w:rsidRDefault="001068A2" w:rsidP="00FE68E8">
            <w:pPr>
              <w:jc w:val="right"/>
              <w:rPr>
                <w:lang w:eastAsia="en-GB"/>
              </w:rPr>
            </w:pPr>
            <w:r w:rsidRPr="00A52AEE">
              <w:rPr>
                <w:lang w:eastAsia="en-GB"/>
              </w:rPr>
              <w:t>1385</w:t>
            </w:r>
          </w:p>
        </w:tc>
        <w:tc>
          <w:tcPr>
            <w:tcW w:w="573" w:type="pct"/>
            <w:tcBorders>
              <w:top w:val="nil"/>
              <w:left w:val="nil"/>
              <w:bottom w:val="single" w:sz="4" w:space="0" w:color="auto"/>
              <w:right w:val="single" w:sz="4" w:space="0" w:color="auto"/>
            </w:tcBorders>
            <w:shd w:val="clear" w:color="auto" w:fill="auto"/>
            <w:noWrap/>
            <w:vAlign w:val="bottom"/>
            <w:hideMark/>
          </w:tcPr>
          <w:p w14:paraId="03BA40D2" w14:textId="77777777" w:rsidR="001068A2" w:rsidRPr="00A52AEE" w:rsidRDefault="001068A2" w:rsidP="00FE68E8">
            <w:pPr>
              <w:jc w:val="right"/>
              <w:rPr>
                <w:lang w:eastAsia="en-GB"/>
              </w:rPr>
            </w:pPr>
            <w:r w:rsidRPr="00A52AEE">
              <w:rPr>
                <w:lang w:eastAsia="en-GB"/>
              </w:rPr>
              <w:t>895</w:t>
            </w:r>
          </w:p>
        </w:tc>
        <w:tc>
          <w:tcPr>
            <w:tcW w:w="645" w:type="pct"/>
            <w:tcBorders>
              <w:top w:val="nil"/>
              <w:left w:val="nil"/>
              <w:bottom w:val="single" w:sz="4" w:space="0" w:color="auto"/>
              <w:right w:val="single" w:sz="4" w:space="0" w:color="auto"/>
            </w:tcBorders>
            <w:shd w:val="clear" w:color="auto" w:fill="auto"/>
            <w:noWrap/>
            <w:vAlign w:val="bottom"/>
            <w:hideMark/>
          </w:tcPr>
          <w:p w14:paraId="1B556B51" w14:textId="77777777" w:rsidR="001068A2" w:rsidRPr="00A52AEE" w:rsidRDefault="001068A2" w:rsidP="00FE68E8">
            <w:pPr>
              <w:jc w:val="right"/>
              <w:rPr>
                <w:lang w:eastAsia="en-GB"/>
              </w:rPr>
            </w:pPr>
            <w:r w:rsidRPr="00A52AEE">
              <w:rPr>
                <w:lang w:eastAsia="en-GB"/>
              </w:rPr>
              <w:t>85</w:t>
            </w:r>
          </w:p>
        </w:tc>
      </w:tr>
      <w:tr w:rsidR="0074728E" w:rsidRPr="00A52AEE" w14:paraId="20E715D0"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020B626D" w14:textId="77777777" w:rsidR="001068A2" w:rsidRPr="00A52AEE" w:rsidRDefault="001068A2" w:rsidP="00A52AEE">
            <w:pPr>
              <w:rPr>
                <w:lang w:eastAsia="en-GB"/>
              </w:rPr>
            </w:pPr>
            <w:r w:rsidRPr="00A52AEE">
              <w:rPr>
                <w:lang w:eastAsia="en-GB"/>
              </w:rPr>
              <w:t>Social Sciences</w:t>
            </w:r>
          </w:p>
        </w:tc>
        <w:tc>
          <w:tcPr>
            <w:tcW w:w="502" w:type="pct"/>
            <w:tcBorders>
              <w:top w:val="nil"/>
              <w:left w:val="nil"/>
              <w:bottom w:val="single" w:sz="4" w:space="0" w:color="auto"/>
              <w:right w:val="single" w:sz="4" w:space="0" w:color="auto"/>
            </w:tcBorders>
            <w:shd w:val="clear" w:color="auto" w:fill="auto"/>
            <w:noWrap/>
            <w:vAlign w:val="bottom"/>
            <w:hideMark/>
          </w:tcPr>
          <w:p w14:paraId="09CB9537" w14:textId="77777777" w:rsidR="001068A2" w:rsidRPr="00A52AEE" w:rsidRDefault="001068A2" w:rsidP="00FE68E8">
            <w:pPr>
              <w:jc w:val="right"/>
              <w:rPr>
                <w:lang w:eastAsia="en-GB"/>
              </w:rPr>
            </w:pPr>
            <w:r w:rsidRPr="00A52AEE">
              <w:rPr>
                <w:lang w:eastAsia="en-GB"/>
              </w:rPr>
              <w:t>1495</w:t>
            </w:r>
          </w:p>
        </w:tc>
        <w:tc>
          <w:tcPr>
            <w:tcW w:w="502" w:type="pct"/>
            <w:tcBorders>
              <w:top w:val="nil"/>
              <w:left w:val="nil"/>
              <w:bottom w:val="single" w:sz="4" w:space="0" w:color="auto"/>
              <w:right w:val="single" w:sz="4" w:space="0" w:color="auto"/>
            </w:tcBorders>
            <w:shd w:val="clear" w:color="auto" w:fill="auto"/>
            <w:noWrap/>
            <w:vAlign w:val="bottom"/>
            <w:hideMark/>
          </w:tcPr>
          <w:p w14:paraId="62281980" w14:textId="77777777" w:rsidR="001068A2" w:rsidRPr="00A52AEE" w:rsidRDefault="001068A2" w:rsidP="00FE68E8">
            <w:pPr>
              <w:jc w:val="right"/>
              <w:rPr>
                <w:lang w:eastAsia="en-GB"/>
              </w:rPr>
            </w:pPr>
            <w:r w:rsidRPr="00A52AEE">
              <w:rPr>
                <w:lang w:eastAsia="en-GB"/>
              </w:rPr>
              <w:t>1515</w:t>
            </w:r>
          </w:p>
        </w:tc>
        <w:tc>
          <w:tcPr>
            <w:tcW w:w="544" w:type="pct"/>
            <w:tcBorders>
              <w:top w:val="nil"/>
              <w:left w:val="nil"/>
              <w:bottom w:val="single" w:sz="4" w:space="0" w:color="auto"/>
              <w:right w:val="single" w:sz="4" w:space="0" w:color="auto"/>
            </w:tcBorders>
            <w:shd w:val="clear" w:color="auto" w:fill="auto"/>
            <w:noWrap/>
            <w:vAlign w:val="bottom"/>
            <w:hideMark/>
          </w:tcPr>
          <w:p w14:paraId="37672F03" w14:textId="77777777" w:rsidR="001068A2" w:rsidRPr="00A52AEE" w:rsidRDefault="001068A2" w:rsidP="00FE68E8">
            <w:pPr>
              <w:jc w:val="right"/>
              <w:rPr>
                <w:lang w:eastAsia="en-GB"/>
              </w:rPr>
            </w:pPr>
            <w:r w:rsidRPr="00A52AEE">
              <w:rPr>
                <w:lang w:eastAsia="en-GB"/>
              </w:rPr>
              <w:t>1795</w:t>
            </w:r>
          </w:p>
        </w:tc>
        <w:tc>
          <w:tcPr>
            <w:tcW w:w="532" w:type="pct"/>
            <w:tcBorders>
              <w:top w:val="nil"/>
              <w:left w:val="nil"/>
              <w:bottom w:val="single" w:sz="4" w:space="0" w:color="auto"/>
              <w:right w:val="single" w:sz="4" w:space="0" w:color="auto"/>
            </w:tcBorders>
            <w:shd w:val="clear" w:color="auto" w:fill="auto"/>
            <w:noWrap/>
            <w:vAlign w:val="bottom"/>
            <w:hideMark/>
          </w:tcPr>
          <w:p w14:paraId="0C8369BF" w14:textId="77777777" w:rsidR="001068A2" w:rsidRPr="00A52AEE" w:rsidRDefault="001068A2" w:rsidP="00FE68E8">
            <w:pPr>
              <w:jc w:val="right"/>
              <w:rPr>
                <w:lang w:eastAsia="en-GB"/>
              </w:rPr>
            </w:pPr>
            <w:r w:rsidRPr="00A52AEE">
              <w:rPr>
                <w:lang w:eastAsia="en-GB"/>
              </w:rPr>
              <w:t>1750</w:t>
            </w:r>
          </w:p>
        </w:tc>
        <w:tc>
          <w:tcPr>
            <w:tcW w:w="573" w:type="pct"/>
            <w:tcBorders>
              <w:top w:val="nil"/>
              <w:left w:val="nil"/>
              <w:bottom w:val="single" w:sz="4" w:space="0" w:color="auto"/>
              <w:right w:val="single" w:sz="4" w:space="0" w:color="auto"/>
            </w:tcBorders>
            <w:shd w:val="clear" w:color="auto" w:fill="auto"/>
            <w:noWrap/>
            <w:vAlign w:val="bottom"/>
            <w:hideMark/>
          </w:tcPr>
          <w:p w14:paraId="287C8E31" w14:textId="77777777" w:rsidR="001068A2" w:rsidRPr="00A52AEE" w:rsidRDefault="001068A2" w:rsidP="00FE68E8">
            <w:pPr>
              <w:jc w:val="right"/>
              <w:rPr>
                <w:lang w:eastAsia="en-GB"/>
              </w:rPr>
            </w:pPr>
            <w:r w:rsidRPr="00A52AEE">
              <w:rPr>
                <w:lang w:eastAsia="en-GB"/>
              </w:rPr>
              <w:t>1525</w:t>
            </w:r>
          </w:p>
        </w:tc>
        <w:tc>
          <w:tcPr>
            <w:tcW w:w="645" w:type="pct"/>
            <w:tcBorders>
              <w:top w:val="nil"/>
              <w:left w:val="nil"/>
              <w:bottom w:val="single" w:sz="4" w:space="0" w:color="auto"/>
              <w:right w:val="single" w:sz="4" w:space="0" w:color="auto"/>
            </w:tcBorders>
            <w:shd w:val="clear" w:color="auto" w:fill="auto"/>
            <w:noWrap/>
            <w:vAlign w:val="bottom"/>
            <w:hideMark/>
          </w:tcPr>
          <w:p w14:paraId="4D67C46B" w14:textId="77777777" w:rsidR="001068A2" w:rsidRPr="00A52AEE" w:rsidRDefault="001068A2" w:rsidP="00FE68E8">
            <w:pPr>
              <w:jc w:val="right"/>
              <w:rPr>
                <w:lang w:eastAsia="en-GB"/>
              </w:rPr>
            </w:pPr>
            <w:r w:rsidRPr="00A52AEE">
              <w:rPr>
                <w:lang w:eastAsia="en-GB"/>
              </w:rPr>
              <w:t>30</w:t>
            </w:r>
          </w:p>
        </w:tc>
      </w:tr>
      <w:tr w:rsidR="0074728E" w:rsidRPr="00A52AEE" w14:paraId="6574D74F"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5C3C9757" w14:textId="77777777" w:rsidR="001068A2" w:rsidRPr="00A52AEE" w:rsidRDefault="001068A2" w:rsidP="00A52AEE">
            <w:pPr>
              <w:rPr>
                <w:lang w:eastAsia="en-GB"/>
              </w:rPr>
            </w:pPr>
            <w:r w:rsidRPr="00A52AEE">
              <w:rPr>
                <w:lang w:eastAsia="en-GB"/>
              </w:rPr>
              <w:t>Languages, Literature and Culture</w:t>
            </w:r>
          </w:p>
        </w:tc>
        <w:tc>
          <w:tcPr>
            <w:tcW w:w="502" w:type="pct"/>
            <w:tcBorders>
              <w:top w:val="nil"/>
              <w:left w:val="nil"/>
              <w:bottom w:val="single" w:sz="4" w:space="0" w:color="auto"/>
              <w:right w:val="single" w:sz="4" w:space="0" w:color="auto"/>
            </w:tcBorders>
            <w:shd w:val="clear" w:color="auto" w:fill="auto"/>
            <w:noWrap/>
            <w:vAlign w:val="bottom"/>
            <w:hideMark/>
          </w:tcPr>
          <w:p w14:paraId="1B86C916" w14:textId="77777777" w:rsidR="001068A2" w:rsidRPr="00A52AEE" w:rsidRDefault="001068A2" w:rsidP="00FE68E8">
            <w:pPr>
              <w:jc w:val="right"/>
              <w:rPr>
                <w:lang w:eastAsia="en-GB"/>
              </w:rPr>
            </w:pPr>
            <w:r w:rsidRPr="00A52AEE">
              <w:rPr>
                <w:lang w:eastAsia="en-GB"/>
              </w:rPr>
              <w:t>2120</w:t>
            </w:r>
          </w:p>
        </w:tc>
        <w:tc>
          <w:tcPr>
            <w:tcW w:w="502" w:type="pct"/>
            <w:tcBorders>
              <w:top w:val="nil"/>
              <w:left w:val="nil"/>
              <w:bottom w:val="single" w:sz="4" w:space="0" w:color="auto"/>
              <w:right w:val="single" w:sz="4" w:space="0" w:color="auto"/>
            </w:tcBorders>
            <w:shd w:val="clear" w:color="auto" w:fill="auto"/>
            <w:noWrap/>
            <w:vAlign w:val="bottom"/>
            <w:hideMark/>
          </w:tcPr>
          <w:p w14:paraId="1CDD1AB9" w14:textId="77777777" w:rsidR="001068A2" w:rsidRPr="00A52AEE" w:rsidRDefault="001068A2" w:rsidP="00FE68E8">
            <w:pPr>
              <w:jc w:val="right"/>
              <w:rPr>
                <w:lang w:eastAsia="en-GB"/>
              </w:rPr>
            </w:pPr>
            <w:r w:rsidRPr="00A52AEE">
              <w:rPr>
                <w:lang w:eastAsia="en-GB"/>
              </w:rPr>
              <w:t>2140</w:t>
            </w:r>
          </w:p>
        </w:tc>
        <w:tc>
          <w:tcPr>
            <w:tcW w:w="544" w:type="pct"/>
            <w:tcBorders>
              <w:top w:val="nil"/>
              <w:left w:val="nil"/>
              <w:bottom w:val="single" w:sz="4" w:space="0" w:color="auto"/>
              <w:right w:val="single" w:sz="4" w:space="0" w:color="auto"/>
            </w:tcBorders>
            <w:shd w:val="clear" w:color="auto" w:fill="auto"/>
            <w:noWrap/>
            <w:vAlign w:val="bottom"/>
            <w:hideMark/>
          </w:tcPr>
          <w:p w14:paraId="6956FADB" w14:textId="77777777" w:rsidR="001068A2" w:rsidRPr="00A52AEE" w:rsidRDefault="001068A2" w:rsidP="00FE68E8">
            <w:pPr>
              <w:jc w:val="right"/>
              <w:rPr>
                <w:lang w:eastAsia="en-GB"/>
              </w:rPr>
            </w:pPr>
            <w:r w:rsidRPr="00A52AEE">
              <w:rPr>
                <w:lang w:eastAsia="en-GB"/>
              </w:rPr>
              <w:t>1855</w:t>
            </w:r>
          </w:p>
        </w:tc>
        <w:tc>
          <w:tcPr>
            <w:tcW w:w="532" w:type="pct"/>
            <w:tcBorders>
              <w:top w:val="nil"/>
              <w:left w:val="nil"/>
              <w:bottom w:val="single" w:sz="4" w:space="0" w:color="auto"/>
              <w:right w:val="single" w:sz="4" w:space="0" w:color="auto"/>
            </w:tcBorders>
            <w:shd w:val="clear" w:color="auto" w:fill="auto"/>
            <w:noWrap/>
            <w:vAlign w:val="bottom"/>
            <w:hideMark/>
          </w:tcPr>
          <w:p w14:paraId="48E2809F" w14:textId="77777777" w:rsidR="001068A2" w:rsidRPr="00A52AEE" w:rsidRDefault="001068A2" w:rsidP="00FE68E8">
            <w:pPr>
              <w:jc w:val="right"/>
              <w:rPr>
                <w:lang w:eastAsia="en-GB"/>
              </w:rPr>
            </w:pPr>
            <w:r w:rsidRPr="00A52AEE">
              <w:rPr>
                <w:lang w:eastAsia="en-GB"/>
              </w:rPr>
              <w:t>1740</w:t>
            </w:r>
          </w:p>
        </w:tc>
        <w:tc>
          <w:tcPr>
            <w:tcW w:w="573" w:type="pct"/>
            <w:tcBorders>
              <w:top w:val="nil"/>
              <w:left w:val="nil"/>
              <w:bottom w:val="single" w:sz="4" w:space="0" w:color="auto"/>
              <w:right w:val="single" w:sz="4" w:space="0" w:color="auto"/>
            </w:tcBorders>
            <w:shd w:val="clear" w:color="auto" w:fill="auto"/>
            <w:noWrap/>
            <w:vAlign w:val="bottom"/>
            <w:hideMark/>
          </w:tcPr>
          <w:p w14:paraId="346D1E2B" w14:textId="77777777" w:rsidR="001068A2" w:rsidRPr="00A52AEE" w:rsidRDefault="001068A2" w:rsidP="00FE68E8">
            <w:pPr>
              <w:jc w:val="right"/>
              <w:rPr>
                <w:lang w:eastAsia="en-GB"/>
              </w:rPr>
            </w:pPr>
            <w:r w:rsidRPr="00A52AEE">
              <w:rPr>
                <w:lang w:eastAsia="en-GB"/>
              </w:rPr>
              <w:t>2365</w:t>
            </w:r>
          </w:p>
        </w:tc>
        <w:tc>
          <w:tcPr>
            <w:tcW w:w="645" w:type="pct"/>
            <w:tcBorders>
              <w:top w:val="nil"/>
              <w:left w:val="nil"/>
              <w:bottom w:val="single" w:sz="4" w:space="0" w:color="auto"/>
              <w:right w:val="single" w:sz="4" w:space="0" w:color="auto"/>
            </w:tcBorders>
            <w:shd w:val="clear" w:color="auto" w:fill="auto"/>
            <w:noWrap/>
            <w:vAlign w:val="bottom"/>
            <w:hideMark/>
          </w:tcPr>
          <w:p w14:paraId="592B1942" w14:textId="77777777" w:rsidR="001068A2" w:rsidRPr="00A52AEE" w:rsidRDefault="001068A2" w:rsidP="00FE68E8">
            <w:pPr>
              <w:jc w:val="right"/>
              <w:rPr>
                <w:lang w:eastAsia="en-GB"/>
              </w:rPr>
            </w:pPr>
            <w:r w:rsidRPr="00A52AEE">
              <w:rPr>
                <w:lang w:eastAsia="en-GB"/>
              </w:rPr>
              <w:t>245</w:t>
            </w:r>
          </w:p>
        </w:tc>
      </w:tr>
      <w:tr w:rsidR="0074728E" w:rsidRPr="00A52AEE" w14:paraId="1DD28DBD"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4E74E5D6" w14:textId="77777777" w:rsidR="001068A2" w:rsidRPr="00A52AEE" w:rsidRDefault="001068A2" w:rsidP="00A52AEE">
            <w:pPr>
              <w:rPr>
                <w:lang w:eastAsia="en-GB"/>
              </w:rPr>
            </w:pPr>
            <w:r w:rsidRPr="00A52AEE">
              <w:rPr>
                <w:lang w:eastAsia="en-GB"/>
              </w:rPr>
              <w:t>Education and Training</w:t>
            </w:r>
          </w:p>
        </w:tc>
        <w:tc>
          <w:tcPr>
            <w:tcW w:w="502" w:type="pct"/>
            <w:tcBorders>
              <w:top w:val="nil"/>
              <w:left w:val="nil"/>
              <w:bottom w:val="single" w:sz="4" w:space="0" w:color="auto"/>
              <w:right w:val="single" w:sz="4" w:space="0" w:color="auto"/>
            </w:tcBorders>
            <w:shd w:val="clear" w:color="auto" w:fill="auto"/>
            <w:noWrap/>
            <w:vAlign w:val="bottom"/>
            <w:hideMark/>
          </w:tcPr>
          <w:p w14:paraId="75A23169" w14:textId="77777777" w:rsidR="001068A2" w:rsidRPr="00A52AEE" w:rsidRDefault="001068A2" w:rsidP="00FE68E8">
            <w:pPr>
              <w:jc w:val="right"/>
              <w:rPr>
                <w:lang w:eastAsia="en-GB"/>
              </w:rPr>
            </w:pPr>
            <w:r w:rsidRPr="00A52AEE">
              <w:rPr>
                <w:lang w:eastAsia="en-GB"/>
              </w:rPr>
              <w:t>1730</w:t>
            </w:r>
          </w:p>
        </w:tc>
        <w:tc>
          <w:tcPr>
            <w:tcW w:w="502" w:type="pct"/>
            <w:tcBorders>
              <w:top w:val="nil"/>
              <w:left w:val="nil"/>
              <w:bottom w:val="single" w:sz="4" w:space="0" w:color="auto"/>
              <w:right w:val="single" w:sz="4" w:space="0" w:color="auto"/>
            </w:tcBorders>
            <w:shd w:val="clear" w:color="auto" w:fill="auto"/>
            <w:noWrap/>
            <w:vAlign w:val="bottom"/>
            <w:hideMark/>
          </w:tcPr>
          <w:p w14:paraId="6A4E6DD9" w14:textId="77777777" w:rsidR="001068A2" w:rsidRPr="00A52AEE" w:rsidRDefault="001068A2" w:rsidP="00FE68E8">
            <w:pPr>
              <w:jc w:val="right"/>
              <w:rPr>
                <w:lang w:eastAsia="en-GB"/>
              </w:rPr>
            </w:pPr>
            <w:r w:rsidRPr="00A52AEE">
              <w:rPr>
                <w:lang w:eastAsia="en-GB"/>
              </w:rPr>
              <w:t>1500</w:t>
            </w:r>
          </w:p>
        </w:tc>
        <w:tc>
          <w:tcPr>
            <w:tcW w:w="544" w:type="pct"/>
            <w:tcBorders>
              <w:top w:val="nil"/>
              <w:left w:val="nil"/>
              <w:bottom w:val="single" w:sz="4" w:space="0" w:color="auto"/>
              <w:right w:val="single" w:sz="4" w:space="0" w:color="auto"/>
            </w:tcBorders>
            <w:shd w:val="clear" w:color="auto" w:fill="auto"/>
            <w:noWrap/>
            <w:vAlign w:val="bottom"/>
            <w:hideMark/>
          </w:tcPr>
          <w:p w14:paraId="5DD8FC77" w14:textId="77777777" w:rsidR="001068A2" w:rsidRPr="00A52AEE" w:rsidRDefault="001068A2" w:rsidP="00FE68E8">
            <w:pPr>
              <w:jc w:val="right"/>
              <w:rPr>
                <w:lang w:eastAsia="en-GB"/>
              </w:rPr>
            </w:pPr>
            <w:r w:rsidRPr="00A52AEE">
              <w:rPr>
                <w:lang w:eastAsia="en-GB"/>
              </w:rPr>
              <w:t>1885</w:t>
            </w:r>
          </w:p>
        </w:tc>
        <w:tc>
          <w:tcPr>
            <w:tcW w:w="532" w:type="pct"/>
            <w:tcBorders>
              <w:top w:val="nil"/>
              <w:left w:val="nil"/>
              <w:bottom w:val="single" w:sz="4" w:space="0" w:color="auto"/>
              <w:right w:val="single" w:sz="4" w:space="0" w:color="auto"/>
            </w:tcBorders>
            <w:shd w:val="clear" w:color="auto" w:fill="auto"/>
            <w:noWrap/>
            <w:vAlign w:val="bottom"/>
            <w:hideMark/>
          </w:tcPr>
          <w:p w14:paraId="685A4AE1" w14:textId="77777777" w:rsidR="001068A2" w:rsidRPr="00A52AEE" w:rsidRDefault="001068A2" w:rsidP="00FE68E8">
            <w:pPr>
              <w:jc w:val="right"/>
              <w:rPr>
                <w:lang w:eastAsia="en-GB"/>
              </w:rPr>
            </w:pPr>
            <w:r w:rsidRPr="00A52AEE">
              <w:rPr>
                <w:lang w:eastAsia="en-GB"/>
              </w:rPr>
              <w:t>1270</w:t>
            </w:r>
          </w:p>
        </w:tc>
        <w:tc>
          <w:tcPr>
            <w:tcW w:w="573" w:type="pct"/>
            <w:tcBorders>
              <w:top w:val="nil"/>
              <w:left w:val="nil"/>
              <w:bottom w:val="single" w:sz="4" w:space="0" w:color="auto"/>
              <w:right w:val="single" w:sz="4" w:space="0" w:color="auto"/>
            </w:tcBorders>
            <w:shd w:val="clear" w:color="auto" w:fill="auto"/>
            <w:noWrap/>
            <w:vAlign w:val="bottom"/>
            <w:hideMark/>
          </w:tcPr>
          <w:p w14:paraId="6AF777EC" w14:textId="77777777" w:rsidR="001068A2" w:rsidRPr="00A52AEE" w:rsidRDefault="001068A2" w:rsidP="00FE68E8">
            <w:pPr>
              <w:jc w:val="right"/>
              <w:rPr>
                <w:lang w:eastAsia="en-GB"/>
              </w:rPr>
            </w:pPr>
            <w:r w:rsidRPr="00A52AEE">
              <w:rPr>
                <w:lang w:eastAsia="en-GB"/>
              </w:rPr>
              <w:t>915</w:t>
            </w:r>
          </w:p>
        </w:tc>
        <w:tc>
          <w:tcPr>
            <w:tcW w:w="645" w:type="pct"/>
            <w:tcBorders>
              <w:top w:val="nil"/>
              <w:left w:val="nil"/>
              <w:bottom w:val="single" w:sz="4" w:space="0" w:color="auto"/>
              <w:right w:val="single" w:sz="4" w:space="0" w:color="auto"/>
            </w:tcBorders>
            <w:shd w:val="clear" w:color="auto" w:fill="auto"/>
            <w:noWrap/>
            <w:vAlign w:val="bottom"/>
            <w:hideMark/>
          </w:tcPr>
          <w:p w14:paraId="32C07EF0" w14:textId="77777777" w:rsidR="001068A2" w:rsidRPr="00A52AEE" w:rsidRDefault="001068A2" w:rsidP="00FE68E8">
            <w:pPr>
              <w:jc w:val="right"/>
              <w:rPr>
                <w:lang w:eastAsia="en-GB"/>
              </w:rPr>
            </w:pPr>
            <w:r w:rsidRPr="00A52AEE">
              <w:rPr>
                <w:lang w:eastAsia="en-GB"/>
              </w:rPr>
              <w:t>-815</w:t>
            </w:r>
          </w:p>
        </w:tc>
      </w:tr>
      <w:tr w:rsidR="0074728E" w:rsidRPr="00A52AEE" w14:paraId="6C5C38C4"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31944941" w14:textId="77777777" w:rsidR="001068A2" w:rsidRPr="00A52AEE" w:rsidRDefault="001068A2" w:rsidP="00A52AEE">
            <w:pPr>
              <w:rPr>
                <w:lang w:eastAsia="en-GB"/>
              </w:rPr>
            </w:pPr>
            <w:r w:rsidRPr="00A52AEE">
              <w:rPr>
                <w:lang w:eastAsia="en-GB"/>
              </w:rPr>
              <w:t>Preparation for Life and Work</w:t>
            </w:r>
          </w:p>
        </w:tc>
        <w:tc>
          <w:tcPr>
            <w:tcW w:w="502" w:type="pct"/>
            <w:tcBorders>
              <w:top w:val="nil"/>
              <w:left w:val="nil"/>
              <w:bottom w:val="single" w:sz="4" w:space="0" w:color="auto"/>
              <w:right w:val="single" w:sz="4" w:space="0" w:color="auto"/>
            </w:tcBorders>
            <w:shd w:val="clear" w:color="auto" w:fill="auto"/>
            <w:noWrap/>
            <w:vAlign w:val="bottom"/>
            <w:hideMark/>
          </w:tcPr>
          <w:p w14:paraId="20CB01EE" w14:textId="77777777" w:rsidR="001068A2" w:rsidRPr="00A52AEE" w:rsidRDefault="001068A2" w:rsidP="00FE68E8">
            <w:pPr>
              <w:jc w:val="right"/>
              <w:rPr>
                <w:lang w:eastAsia="en-GB"/>
              </w:rPr>
            </w:pPr>
            <w:r w:rsidRPr="00A52AEE">
              <w:rPr>
                <w:lang w:eastAsia="en-GB"/>
              </w:rPr>
              <w:t>1330</w:t>
            </w:r>
          </w:p>
        </w:tc>
        <w:tc>
          <w:tcPr>
            <w:tcW w:w="502" w:type="pct"/>
            <w:tcBorders>
              <w:top w:val="nil"/>
              <w:left w:val="nil"/>
              <w:bottom w:val="single" w:sz="4" w:space="0" w:color="auto"/>
              <w:right w:val="single" w:sz="4" w:space="0" w:color="auto"/>
            </w:tcBorders>
            <w:shd w:val="clear" w:color="auto" w:fill="auto"/>
            <w:noWrap/>
            <w:vAlign w:val="bottom"/>
            <w:hideMark/>
          </w:tcPr>
          <w:p w14:paraId="2715CD98" w14:textId="77777777" w:rsidR="001068A2" w:rsidRPr="00A52AEE" w:rsidRDefault="001068A2" w:rsidP="00FE68E8">
            <w:pPr>
              <w:jc w:val="right"/>
              <w:rPr>
                <w:lang w:eastAsia="en-GB"/>
              </w:rPr>
            </w:pPr>
            <w:r w:rsidRPr="00A52AEE">
              <w:rPr>
                <w:lang w:eastAsia="en-GB"/>
              </w:rPr>
              <w:t>710</w:t>
            </w:r>
          </w:p>
        </w:tc>
        <w:tc>
          <w:tcPr>
            <w:tcW w:w="544" w:type="pct"/>
            <w:tcBorders>
              <w:top w:val="nil"/>
              <w:left w:val="nil"/>
              <w:bottom w:val="single" w:sz="4" w:space="0" w:color="auto"/>
              <w:right w:val="single" w:sz="4" w:space="0" w:color="auto"/>
            </w:tcBorders>
            <w:shd w:val="clear" w:color="auto" w:fill="auto"/>
            <w:noWrap/>
            <w:vAlign w:val="bottom"/>
            <w:hideMark/>
          </w:tcPr>
          <w:p w14:paraId="0A7D1AA9" w14:textId="77777777" w:rsidR="001068A2" w:rsidRPr="00A52AEE" w:rsidRDefault="001068A2" w:rsidP="00FE68E8">
            <w:pPr>
              <w:jc w:val="right"/>
              <w:rPr>
                <w:lang w:eastAsia="en-GB"/>
              </w:rPr>
            </w:pPr>
            <w:r w:rsidRPr="00A52AEE">
              <w:rPr>
                <w:lang w:eastAsia="en-GB"/>
              </w:rPr>
              <w:t>775</w:t>
            </w:r>
          </w:p>
        </w:tc>
        <w:tc>
          <w:tcPr>
            <w:tcW w:w="532" w:type="pct"/>
            <w:tcBorders>
              <w:top w:val="nil"/>
              <w:left w:val="nil"/>
              <w:bottom w:val="single" w:sz="4" w:space="0" w:color="auto"/>
              <w:right w:val="single" w:sz="4" w:space="0" w:color="auto"/>
            </w:tcBorders>
            <w:shd w:val="clear" w:color="auto" w:fill="auto"/>
            <w:noWrap/>
            <w:vAlign w:val="bottom"/>
            <w:hideMark/>
          </w:tcPr>
          <w:p w14:paraId="7C748215" w14:textId="77777777" w:rsidR="001068A2" w:rsidRPr="00A52AEE" w:rsidRDefault="001068A2" w:rsidP="00FE68E8">
            <w:pPr>
              <w:jc w:val="right"/>
              <w:rPr>
                <w:lang w:eastAsia="en-GB"/>
              </w:rPr>
            </w:pPr>
            <w:r w:rsidRPr="00A52AEE">
              <w:rPr>
                <w:lang w:eastAsia="en-GB"/>
              </w:rPr>
              <w:t>465</w:t>
            </w:r>
          </w:p>
        </w:tc>
        <w:tc>
          <w:tcPr>
            <w:tcW w:w="573" w:type="pct"/>
            <w:tcBorders>
              <w:top w:val="nil"/>
              <w:left w:val="nil"/>
              <w:bottom w:val="single" w:sz="4" w:space="0" w:color="auto"/>
              <w:right w:val="single" w:sz="4" w:space="0" w:color="auto"/>
            </w:tcBorders>
            <w:shd w:val="clear" w:color="auto" w:fill="auto"/>
            <w:noWrap/>
            <w:vAlign w:val="bottom"/>
            <w:hideMark/>
          </w:tcPr>
          <w:p w14:paraId="1CAF64C7" w14:textId="77777777" w:rsidR="001068A2" w:rsidRPr="00A52AEE" w:rsidRDefault="001068A2" w:rsidP="00FE68E8">
            <w:pPr>
              <w:jc w:val="right"/>
              <w:rPr>
                <w:lang w:eastAsia="en-GB"/>
              </w:rPr>
            </w:pPr>
            <w:r w:rsidRPr="00A52AEE">
              <w:rPr>
                <w:lang w:eastAsia="en-GB"/>
              </w:rPr>
              <w:t>730</w:t>
            </w:r>
          </w:p>
        </w:tc>
        <w:tc>
          <w:tcPr>
            <w:tcW w:w="645" w:type="pct"/>
            <w:tcBorders>
              <w:top w:val="nil"/>
              <w:left w:val="nil"/>
              <w:bottom w:val="single" w:sz="4" w:space="0" w:color="auto"/>
              <w:right w:val="single" w:sz="4" w:space="0" w:color="auto"/>
            </w:tcBorders>
            <w:shd w:val="clear" w:color="auto" w:fill="auto"/>
            <w:noWrap/>
            <w:vAlign w:val="bottom"/>
            <w:hideMark/>
          </w:tcPr>
          <w:p w14:paraId="0FB9F798" w14:textId="77777777" w:rsidR="001068A2" w:rsidRPr="00A52AEE" w:rsidRDefault="001068A2" w:rsidP="00FE68E8">
            <w:pPr>
              <w:jc w:val="right"/>
              <w:rPr>
                <w:lang w:eastAsia="en-GB"/>
              </w:rPr>
            </w:pPr>
            <w:r w:rsidRPr="00A52AEE">
              <w:rPr>
                <w:lang w:eastAsia="en-GB"/>
              </w:rPr>
              <w:t>-600</w:t>
            </w:r>
          </w:p>
        </w:tc>
      </w:tr>
      <w:tr w:rsidR="0074728E" w:rsidRPr="00A52AEE" w14:paraId="7C2E473B" w14:textId="77777777" w:rsidTr="00D2146B">
        <w:trPr>
          <w:trHeight w:val="300"/>
        </w:trPr>
        <w:tc>
          <w:tcPr>
            <w:tcW w:w="1703" w:type="pct"/>
            <w:tcBorders>
              <w:top w:val="nil"/>
              <w:left w:val="single" w:sz="4" w:space="0" w:color="auto"/>
              <w:bottom w:val="single" w:sz="4" w:space="0" w:color="auto"/>
              <w:right w:val="single" w:sz="4" w:space="0" w:color="auto"/>
            </w:tcBorders>
            <w:shd w:val="clear" w:color="auto" w:fill="auto"/>
            <w:noWrap/>
            <w:vAlign w:val="bottom"/>
            <w:hideMark/>
          </w:tcPr>
          <w:p w14:paraId="28FA9A09" w14:textId="77777777" w:rsidR="001068A2" w:rsidRPr="00A52AEE" w:rsidRDefault="001068A2" w:rsidP="00A52AEE">
            <w:pPr>
              <w:rPr>
                <w:lang w:eastAsia="en-GB"/>
              </w:rPr>
            </w:pPr>
            <w:r w:rsidRPr="00A52AEE">
              <w:rPr>
                <w:lang w:eastAsia="en-GB"/>
              </w:rPr>
              <w:t>Business, Administration and Law</w:t>
            </w:r>
          </w:p>
        </w:tc>
        <w:tc>
          <w:tcPr>
            <w:tcW w:w="502" w:type="pct"/>
            <w:tcBorders>
              <w:top w:val="nil"/>
              <w:left w:val="nil"/>
              <w:bottom w:val="single" w:sz="4" w:space="0" w:color="auto"/>
              <w:right w:val="single" w:sz="4" w:space="0" w:color="auto"/>
            </w:tcBorders>
            <w:shd w:val="clear" w:color="auto" w:fill="auto"/>
            <w:noWrap/>
            <w:vAlign w:val="bottom"/>
            <w:hideMark/>
          </w:tcPr>
          <w:p w14:paraId="30F4153A" w14:textId="77777777" w:rsidR="001068A2" w:rsidRPr="00A52AEE" w:rsidRDefault="001068A2" w:rsidP="00FE68E8">
            <w:pPr>
              <w:jc w:val="right"/>
              <w:rPr>
                <w:lang w:eastAsia="en-GB"/>
              </w:rPr>
            </w:pPr>
            <w:r w:rsidRPr="00A52AEE">
              <w:rPr>
                <w:lang w:eastAsia="en-GB"/>
              </w:rPr>
              <w:t>6520</w:t>
            </w:r>
          </w:p>
        </w:tc>
        <w:tc>
          <w:tcPr>
            <w:tcW w:w="502" w:type="pct"/>
            <w:tcBorders>
              <w:top w:val="nil"/>
              <w:left w:val="nil"/>
              <w:bottom w:val="single" w:sz="4" w:space="0" w:color="auto"/>
              <w:right w:val="single" w:sz="4" w:space="0" w:color="auto"/>
            </w:tcBorders>
            <w:shd w:val="clear" w:color="auto" w:fill="auto"/>
            <w:noWrap/>
            <w:vAlign w:val="bottom"/>
            <w:hideMark/>
          </w:tcPr>
          <w:p w14:paraId="1EDF1043" w14:textId="77777777" w:rsidR="001068A2" w:rsidRPr="00A52AEE" w:rsidRDefault="001068A2" w:rsidP="00FE68E8">
            <w:pPr>
              <w:jc w:val="right"/>
              <w:rPr>
                <w:lang w:eastAsia="en-GB"/>
              </w:rPr>
            </w:pPr>
            <w:r w:rsidRPr="00A52AEE">
              <w:rPr>
                <w:lang w:eastAsia="en-GB"/>
              </w:rPr>
              <w:t>6985</w:t>
            </w:r>
          </w:p>
        </w:tc>
        <w:tc>
          <w:tcPr>
            <w:tcW w:w="544" w:type="pct"/>
            <w:tcBorders>
              <w:top w:val="nil"/>
              <w:left w:val="nil"/>
              <w:bottom w:val="single" w:sz="4" w:space="0" w:color="auto"/>
              <w:right w:val="single" w:sz="4" w:space="0" w:color="auto"/>
            </w:tcBorders>
            <w:shd w:val="clear" w:color="auto" w:fill="auto"/>
            <w:noWrap/>
            <w:vAlign w:val="bottom"/>
            <w:hideMark/>
          </w:tcPr>
          <w:p w14:paraId="6E7FAB09" w14:textId="77777777" w:rsidR="001068A2" w:rsidRPr="00A52AEE" w:rsidRDefault="001068A2" w:rsidP="00FE68E8">
            <w:pPr>
              <w:jc w:val="right"/>
              <w:rPr>
                <w:lang w:eastAsia="en-GB"/>
              </w:rPr>
            </w:pPr>
            <w:r w:rsidRPr="00A52AEE">
              <w:rPr>
                <w:lang w:eastAsia="en-GB"/>
              </w:rPr>
              <w:t>7190</w:t>
            </w:r>
          </w:p>
        </w:tc>
        <w:tc>
          <w:tcPr>
            <w:tcW w:w="532" w:type="pct"/>
            <w:tcBorders>
              <w:top w:val="nil"/>
              <w:left w:val="nil"/>
              <w:bottom w:val="single" w:sz="4" w:space="0" w:color="auto"/>
              <w:right w:val="single" w:sz="4" w:space="0" w:color="auto"/>
            </w:tcBorders>
            <w:shd w:val="clear" w:color="auto" w:fill="auto"/>
            <w:noWrap/>
            <w:vAlign w:val="bottom"/>
            <w:hideMark/>
          </w:tcPr>
          <w:p w14:paraId="32D16A29" w14:textId="77777777" w:rsidR="001068A2" w:rsidRPr="00A52AEE" w:rsidRDefault="001068A2" w:rsidP="00FE68E8">
            <w:pPr>
              <w:jc w:val="right"/>
              <w:rPr>
                <w:lang w:eastAsia="en-GB"/>
              </w:rPr>
            </w:pPr>
            <w:r w:rsidRPr="00A52AEE">
              <w:rPr>
                <w:lang w:eastAsia="en-GB"/>
              </w:rPr>
              <w:t>6385</w:t>
            </w:r>
          </w:p>
        </w:tc>
        <w:tc>
          <w:tcPr>
            <w:tcW w:w="573" w:type="pct"/>
            <w:tcBorders>
              <w:top w:val="nil"/>
              <w:left w:val="nil"/>
              <w:bottom w:val="single" w:sz="4" w:space="0" w:color="auto"/>
              <w:right w:val="single" w:sz="4" w:space="0" w:color="auto"/>
            </w:tcBorders>
            <w:shd w:val="clear" w:color="auto" w:fill="auto"/>
            <w:noWrap/>
            <w:vAlign w:val="bottom"/>
            <w:hideMark/>
          </w:tcPr>
          <w:p w14:paraId="26E28455" w14:textId="77777777" w:rsidR="001068A2" w:rsidRPr="00A52AEE" w:rsidRDefault="001068A2" w:rsidP="00FE68E8">
            <w:pPr>
              <w:jc w:val="right"/>
              <w:rPr>
                <w:lang w:eastAsia="en-GB"/>
              </w:rPr>
            </w:pPr>
            <w:r w:rsidRPr="00A52AEE">
              <w:rPr>
                <w:lang w:eastAsia="en-GB"/>
              </w:rPr>
              <w:t>7680</w:t>
            </w:r>
          </w:p>
        </w:tc>
        <w:tc>
          <w:tcPr>
            <w:tcW w:w="645" w:type="pct"/>
            <w:tcBorders>
              <w:top w:val="nil"/>
              <w:left w:val="nil"/>
              <w:bottom w:val="single" w:sz="4" w:space="0" w:color="auto"/>
              <w:right w:val="single" w:sz="4" w:space="0" w:color="auto"/>
            </w:tcBorders>
            <w:shd w:val="clear" w:color="auto" w:fill="auto"/>
            <w:noWrap/>
            <w:vAlign w:val="bottom"/>
            <w:hideMark/>
          </w:tcPr>
          <w:p w14:paraId="5AFB77C2" w14:textId="50C21815" w:rsidR="001068A2" w:rsidRPr="00A52AEE" w:rsidRDefault="002E286F" w:rsidP="00FE68E8">
            <w:pPr>
              <w:jc w:val="right"/>
              <w:rPr>
                <w:lang w:eastAsia="en-GB"/>
              </w:rPr>
            </w:pPr>
            <w:r>
              <w:rPr>
                <w:lang w:eastAsia="en-GB"/>
              </w:rPr>
              <w:t>1160</w:t>
            </w:r>
          </w:p>
        </w:tc>
      </w:tr>
    </w:tbl>
    <w:p w14:paraId="74FCD1FA" w14:textId="77777777" w:rsidR="0005090D" w:rsidRPr="00A52AEE" w:rsidRDefault="0005090D" w:rsidP="00A52AEE">
      <w:pPr>
        <w:rPr>
          <w:lang w:eastAsia="en-GB"/>
        </w:rPr>
      </w:pPr>
    </w:p>
    <w:p w14:paraId="5D2F459D" w14:textId="541121DE" w:rsidR="00E91ECF" w:rsidRPr="00A52AEE" w:rsidRDefault="004D3FD1" w:rsidP="008D527A">
      <w:pPr>
        <w:pStyle w:val="Heading2"/>
      </w:pPr>
      <w:bookmarkStart w:id="94" w:name="_Toc429151319"/>
      <w:r>
        <w:t>4.15</w:t>
      </w:r>
      <w:r w:rsidR="001F1D4D" w:rsidRPr="00A52AEE">
        <w:tab/>
      </w:r>
      <w:r w:rsidR="000D7228">
        <w:tab/>
      </w:r>
      <w:r w:rsidR="00E91ECF" w:rsidRPr="00A52AEE">
        <w:t>Ethnic</w:t>
      </w:r>
      <w:bookmarkEnd w:id="91"/>
      <w:bookmarkEnd w:id="92"/>
      <w:r w:rsidR="001F1D4D" w:rsidRPr="00A52AEE">
        <w:t xml:space="preserve"> breakdown of the tracked cohorts</w:t>
      </w:r>
      <w:bookmarkEnd w:id="94"/>
    </w:p>
    <w:p w14:paraId="798E85F4" w14:textId="28DBD43C" w:rsidR="00E91ECF" w:rsidRPr="00A52AEE" w:rsidRDefault="002C3D7C" w:rsidP="00A52AEE">
      <w:r w:rsidRPr="00A52AEE">
        <w:t>Table 1</w:t>
      </w:r>
      <w:r w:rsidR="00B03413">
        <w:t>6</w:t>
      </w:r>
      <w:r w:rsidRPr="00A52AEE">
        <w:t xml:space="preserve"> </w:t>
      </w:r>
      <w:r w:rsidR="00561FE7" w:rsidRPr="00A52AEE">
        <w:t>provides</w:t>
      </w:r>
      <w:r w:rsidRPr="00A52AEE">
        <w:t xml:space="preserve"> an ethnic breakdown of the tracked cohort</w:t>
      </w:r>
      <w:r w:rsidR="00561FE7" w:rsidRPr="00A52AEE">
        <w:t xml:space="preserve"> between 2007-11 and shows</w:t>
      </w:r>
      <w:r w:rsidRPr="00A52AEE">
        <w:t xml:space="preserve"> there are more students from Black and Minority ethnic groups (BME) groups than White</w:t>
      </w:r>
      <w:r w:rsidR="00561FE7" w:rsidRPr="00A52AEE">
        <w:t xml:space="preserve"> groups</w:t>
      </w:r>
      <w:r w:rsidR="000D7228">
        <w:t>;</w:t>
      </w:r>
      <w:r w:rsidRPr="00A52AEE">
        <w:t xml:space="preserve"> </w:t>
      </w:r>
      <w:r w:rsidR="00E56BBB" w:rsidRPr="00A52AEE">
        <w:t xml:space="preserve">between </w:t>
      </w:r>
      <w:r w:rsidR="00E56BBB" w:rsidRPr="000D7228">
        <w:rPr>
          <w:b/>
        </w:rPr>
        <w:t>57-</w:t>
      </w:r>
      <w:r w:rsidRPr="000D7228">
        <w:rPr>
          <w:b/>
        </w:rPr>
        <w:t>61</w:t>
      </w:r>
      <w:r w:rsidR="00E91ECF" w:rsidRPr="000D7228">
        <w:rPr>
          <w:b/>
        </w:rPr>
        <w:t>%</w:t>
      </w:r>
      <w:r w:rsidR="00E91ECF" w:rsidRPr="00A52AEE">
        <w:t xml:space="preserve"> of the cohort are classified as coming from</w:t>
      </w:r>
      <w:r w:rsidRPr="00A52AEE">
        <w:t xml:space="preserve"> ethnic minority backgrounds and moreover, the population of BME students has </w:t>
      </w:r>
      <w:r w:rsidR="00561FE7" w:rsidRPr="00A52AEE">
        <w:t xml:space="preserve">increased </w:t>
      </w:r>
      <w:r w:rsidRPr="00A52AEE">
        <w:t xml:space="preserve">more than that of their White peers. Further ethnic breakdowns reveal </w:t>
      </w:r>
      <w:r w:rsidR="000D7228">
        <w:t xml:space="preserve">further </w:t>
      </w:r>
      <w:r w:rsidRPr="00A52AEE">
        <w:t>differences at ethnic group level. For example, Black or Black British African students made up 18% of the total population in 2011-12 and this group has seen a growth in numbers since 2007-08 of +25%.</w:t>
      </w:r>
    </w:p>
    <w:p w14:paraId="26449695" w14:textId="1D40EF76" w:rsidR="001068A2" w:rsidRPr="00A52AEE" w:rsidRDefault="001068A2" w:rsidP="00A52AEE"/>
    <w:p w14:paraId="6BB5CD63" w14:textId="00973AB7" w:rsidR="00E91ECF" w:rsidRPr="000D7228" w:rsidRDefault="00E91ECF" w:rsidP="00A52AEE">
      <w:pPr>
        <w:rPr>
          <w:b/>
        </w:rPr>
      </w:pPr>
      <w:r w:rsidRPr="000D7228">
        <w:rPr>
          <w:b/>
        </w:rPr>
        <w:t>Table 1</w:t>
      </w:r>
      <w:r w:rsidR="004D2866">
        <w:rPr>
          <w:b/>
        </w:rPr>
        <w:t>6</w:t>
      </w:r>
      <w:r w:rsidRPr="000D7228">
        <w:rPr>
          <w:b/>
        </w:rPr>
        <w:t xml:space="preserve">: Cohort breakdown by ethnic group </w:t>
      </w:r>
    </w:p>
    <w:p w14:paraId="698F8962" w14:textId="77777777" w:rsidR="00D2146B" w:rsidRPr="00A52AEE" w:rsidRDefault="00D2146B" w:rsidP="00A52AEE"/>
    <w:tbl>
      <w:tblPr>
        <w:tblW w:w="5033" w:type="pct"/>
        <w:tblLayout w:type="fixed"/>
        <w:tblLook w:val="04A0" w:firstRow="1" w:lastRow="0" w:firstColumn="1" w:lastColumn="0" w:noHBand="0" w:noVBand="1"/>
      </w:tblPr>
      <w:tblGrid>
        <w:gridCol w:w="3945"/>
        <w:gridCol w:w="827"/>
        <w:gridCol w:w="827"/>
        <w:gridCol w:w="827"/>
        <w:gridCol w:w="829"/>
        <w:gridCol w:w="832"/>
        <w:gridCol w:w="840"/>
        <w:gridCol w:w="707"/>
      </w:tblGrid>
      <w:tr w:rsidR="000D7228" w:rsidRPr="000D7228" w14:paraId="152C4406" w14:textId="77777777" w:rsidTr="00D92B68">
        <w:trPr>
          <w:trHeight w:val="718"/>
          <w:tblHeader/>
        </w:trPr>
        <w:tc>
          <w:tcPr>
            <w:tcW w:w="2047"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EE0F6FA" w14:textId="77777777" w:rsidR="00E91ECF" w:rsidRPr="000D7228" w:rsidRDefault="00E91ECF" w:rsidP="00A52AEE">
            <w:pPr>
              <w:rPr>
                <w:b/>
                <w:color w:val="FFFFFF" w:themeColor="background1"/>
                <w:lang w:eastAsia="en-GB"/>
              </w:rPr>
            </w:pPr>
            <w:r w:rsidRPr="000D7228">
              <w:rPr>
                <w:b/>
                <w:color w:val="FFFFFF" w:themeColor="background1"/>
                <w:lang w:eastAsia="en-GB"/>
              </w:rPr>
              <w:t>Ethnic group</w:t>
            </w:r>
          </w:p>
        </w:tc>
        <w:tc>
          <w:tcPr>
            <w:tcW w:w="2149" w:type="pct"/>
            <w:gridSpan w:val="5"/>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76FCD75" w14:textId="39B85CC4" w:rsidR="00E91ECF" w:rsidRPr="000D7228" w:rsidRDefault="00D92B68" w:rsidP="000D7228">
            <w:pPr>
              <w:jc w:val="center"/>
              <w:rPr>
                <w:b/>
                <w:color w:val="FFFFFF" w:themeColor="background1"/>
                <w:lang w:eastAsia="en-GB"/>
              </w:rPr>
            </w:pPr>
            <w:r>
              <w:rPr>
                <w:b/>
                <w:color w:val="FFFFFF" w:themeColor="background1"/>
                <w:lang w:eastAsia="en-GB"/>
              </w:rPr>
              <w:t>% of t</w:t>
            </w:r>
            <w:r w:rsidR="00E91ECF" w:rsidRPr="000D7228">
              <w:rPr>
                <w:b/>
                <w:color w:val="FFFFFF" w:themeColor="background1"/>
                <w:lang w:eastAsia="en-GB"/>
              </w:rPr>
              <w:t>otal by cohort year</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3729C610" w14:textId="77777777" w:rsidR="00E91ECF" w:rsidRPr="000D7228" w:rsidRDefault="00E91ECF" w:rsidP="00D92B68">
            <w:pPr>
              <w:jc w:val="center"/>
              <w:rPr>
                <w:b/>
                <w:color w:val="FFFFFF" w:themeColor="background1"/>
                <w:lang w:eastAsia="en-GB"/>
              </w:rPr>
            </w:pPr>
            <w:r w:rsidRPr="000D7228">
              <w:rPr>
                <w:b/>
                <w:color w:val="FFFFFF" w:themeColor="background1"/>
                <w:lang w:eastAsia="en-GB"/>
              </w:rPr>
              <w:t>Population number change</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58A0355E" w14:textId="77777777" w:rsidR="00E91ECF" w:rsidRPr="000D7228" w:rsidRDefault="00E91ECF" w:rsidP="00D92B68">
            <w:pPr>
              <w:jc w:val="center"/>
              <w:rPr>
                <w:b/>
                <w:color w:val="FFFFFF" w:themeColor="background1"/>
                <w:lang w:eastAsia="en-GB"/>
              </w:rPr>
            </w:pPr>
            <w:r w:rsidRPr="000D7228">
              <w:rPr>
                <w:b/>
                <w:color w:val="FFFFFF" w:themeColor="background1"/>
                <w:lang w:eastAsia="en-GB"/>
              </w:rPr>
              <w:t>% change</w:t>
            </w:r>
          </w:p>
        </w:tc>
      </w:tr>
      <w:tr w:rsidR="000D7228" w:rsidRPr="000D7228" w14:paraId="1448DEC8" w14:textId="77777777" w:rsidTr="00D92B68">
        <w:trPr>
          <w:trHeight w:val="315"/>
          <w:tblHeader/>
        </w:trPr>
        <w:tc>
          <w:tcPr>
            <w:tcW w:w="2047"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E3A4ABB" w14:textId="77777777" w:rsidR="00E91ECF" w:rsidRPr="000D7228" w:rsidRDefault="00E91ECF" w:rsidP="00A52AEE">
            <w:pPr>
              <w:rPr>
                <w:b/>
                <w:color w:val="FFFFFF" w:themeColor="background1"/>
                <w:lang w:eastAsia="en-GB"/>
              </w:rPr>
            </w:pPr>
          </w:p>
        </w:tc>
        <w:tc>
          <w:tcPr>
            <w:tcW w:w="429"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7D51DCBE" w14:textId="77777777" w:rsidR="00E91ECF" w:rsidRPr="000D7228" w:rsidRDefault="00E91ECF" w:rsidP="000D7228">
            <w:pPr>
              <w:jc w:val="center"/>
              <w:rPr>
                <w:b/>
                <w:color w:val="FFFFFF" w:themeColor="background1"/>
                <w:lang w:eastAsia="en-GB"/>
              </w:rPr>
            </w:pPr>
            <w:r w:rsidRPr="000D7228">
              <w:rPr>
                <w:b/>
                <w:color w:val="FFFFFF" w:themeColor="background1"/>
                <w:lang w:eastAsia="en-GB"/>
              </w:rPr>
              <w:t>2007-08</w:t>
            </w:r>
          </w:p>
        </w:tc>
        <w:tc>
          <w:tcPr>
            <w:tcW w:w="429"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488E6C0B" w14:textId="77777777" w:rsidR="00E91ECF" w:rsidRPr="000D7228" w:rsidRDefault="00E91ECF" w:rsidP="000D7228">
            <w:pPr>
              <w:jc w:val="center"/>
              <w:rPr>
                <w:b/>
                <w:color w:val="FFFFFF" w:themeColor="background1"/>
                <w:lang w:eastAsia="en-GB"/>
              </w:rPr>
            </w:pPr>
            <w:r w:rsidRPr="000D7228">
              <w:rPr>
                <w:b/>
                <w:color w:val="FFFFFF" w:themeColor="background1"/>
                <w:lang w:eastAsia="en-GB"/>
              </w:rPr>
              <w:t>2008-09</w:t>
            </w:r>
          </w:p>
        </w:tc>
        <w:tc>
          <w:tcPr>
            <w:tcW w:w="429"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1AD3C820" w14:textId="77777777" w:rsidR="00E91ECF" w:rsidRPr="000D7228" w:rsidRDefault="00E91ECF" w:rsidP="000D7228">
            <w:pPr>
              <w:jc w:val="center"/>
              <w:rPr>
                <w:b/>
                <w:color w:val="FFFFFF" w:themeColor="background1"/>
                <w:lang w:eastAsia="en-GB"/>
              </w:rPr>
            </w:pPr>
            <w:r w:rsidRPr="000D7228">
              <w:rPr>
                <w:b/>
                <w:color w:val="FFFFFF" w:themeColor="background1"/>
                <w:lang w:eastAsia="en-GB"/>
              </w:rPr>
              <w:t>2009-10</w:t>
            </w:r>
          </w:p>
        </w:tc>
        <w:tc>
          <w:tcPr>
            <w:tcW w:w="430"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49B13D34" w14:textId="77777777" w:rsidR="00E91ECF" w:rsidRPr="000D7228" w:rsidRDefault="00E91ECF" w:rsidP="000D7228">
            <w:pPr>
              <w:jc w:val="center"/>
              <w:rPr>
                <w:b/>
                <w:color w:val="FFFFFF" w:themeColor="background1"/>
                <w:lang w:eastAsia="en-GB"/>
              </w:rPr>
            </w:pPr>
            <w:r w:rsidRPr="000D7228">
              <w:rPr>
                <w:b/>
                <w:color w:val="FFFFFF" w:themeColor="background1"/>
                <w:lang w:eastAsia="en-GB"/>
              </w:rPr>
              <w:t>2010-11</w:t>
            </w:r>
          </w:p>
        </w:tc>
        <w:tc>
          <w:tcPr>
            <w:tcW w:w="431"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2F85DBF8" w14:textId="77777777" w:rsidR="00E91ECF" w:rsidRPr="000D7228" w:rsidRDefault="00E91ECF" w:rsidP="000D7228">
            <w:pPr>
              <w:jc w:val="center"/>
              <w:rPr>
                <w:b/>
                <w:color w:val="FFFFFF" w:themeColor="background1"/>
                <w:lang w:eastAsia="en-GB"/>
              </w:rPr>
            </w:pPr>
            <w:r w:rsidRPr="000D7228">
              <w:rPr>
                <w:b/>
                <w:color w:val="FFFFFF" w:themeColor="background1"/>
                <w:lang w:eastAsia="en-GB"/>
              </w:rPr>
              <w:t>2011-12</w:t>
            </w:r>
          </w:p>
        </w:tc>
        <w:tc>
          <w:tcPr>
            <w:tcW w:w="436"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D547809" w14:textId="77777777" w:rsidR="00E91ECF" w:rsidRPr="000D7228" w:rsidRDefault="00E91ECF" w:rsidP="00A52AEE">
            <w:pPr>
              <w:rPr>
                <w:b/>
                <w:color w:val="FFFFFF" w:themeColor="background1"/>
                <w:lang w:eastAsia="en-GB"/>
              </w:rPr>
            </w:pPr>
          </w:p>
        </w:tc>
        <w:tc>
          <w:tcPr>
            <w:tcW w:w="367"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C8DBAEC" w14:textId="77777777" w:rsidR="00E91ECF" w:rsidRPr="000D7228" w:rsidRDefault="00E91ECF" w:rsidP="00A52AEE">
            <w:pPr>
              <w:rPr>
                <w:b/>
                <w:color w:val="FFFFFF" w:themeColor="background1"/>
                <w:lang w:eastAsia="en-GB"/>
              </w:rPr>
            </w:pPr>
          </w:p>
        </w:tc>
      </w:tr>
      <w:tr w:rsidR="000D7228" w:rsidRPr="00A52AEE" w14:paraId="349DDF97" w14:textId="77777777" w:rsidTr="00D92B68">
        <w:trPr>
          <w:trHeight w:val="1077"/>
          <w:tblHeader/>
        </w:trPr>
        <w:tc>
          <w:tcPr>
            <w:tcW w:w="2047"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A9759A0" w14:textId="77777777" w:rsidR="00E91ECF" w:rsidRPr="00A52AEE" w:rsidRDefault="00E91ECF" w:rsidP="00A52AEE">
            <w:pPr>
              <w:rPr>
                <w:lang w:eastAsia="en-GB"/>
              </w:rPr>
            </w:pPr>
          </w:p>
        </w:tc>
        <w:tc>
          <w:tcPr>
            <w:tcW w:w="429"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B562718" w14:textId="77777777" w:rsidR="00E91ECF" w:rsidRPr="00A52AEE" w:rsidRDefault="00E91ECF" w:rsidP="00A52AEE">
            <w:pPr>
              <w:rPr>
                <w:lang w:eastAsia="en-GB"/>
              </w:rPr>
            </w:pPr>
          </w:p>
        </w:tc>
        <w:tc>
          <w:tcPr>
            <w:tcW w:w="429"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32680A3" w14:textId="77777777" w:rsidR="00E91ECF" w:rsidRPr="00A52AEE" w:rsidRDefault="00E91ECF" w:rsidP="00A52AEE">
            <w:pPr>
              <w:rPr>
                <w:lang w:eastAsia="en-GB"/>
              </w:rPr>
            </w:pPr>
          </w:p>
        </w:tc>
        <w:tc>
          <w:tcPr>
            <w:tcW w:w="429"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721BA8B" w14:textId="77777777" w:rsidR="00E91ECF" w:rsidRPr="00A52AEE" w:rsidRDefault="00E91ECF" w:rsidP="00A52AEE">
            <w:pPr>
              <w:rPr>
                <w:lang w:eastAsia="en-GB"/>
              </w:rPr>
            </w:pPr>
          </w:p>
        </w:tc>
        <w:tc>
          <w:tcPr>
            <w:tcW w:w="430"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3FE2B5C" w14:textId="77777777" w:rsidR="00E91ECF" w:rsidRPr="00A52AEE" w:rsidRDefault="00E91ECF" w:rsidP="00A52AEE">
            <w:pPr>
              <w:rPr>
                <w:lang w:eastAsia="en-GB"/>
              </w:rPr>
            </w:pPr>
          </w:p>
        </w:tc>
        <w:tc>
          <w:tcPr>
            <w:tcW w:w="431"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8D21920" w14:textId="77777777" w:rsidR="00E91ECF" w:rsidRPr="00A52AEE" w:rsidRDefault="00E91ECF" w:rsidP="00A52AEE">
            <w:pPr>
              <w:rPr>
                <w:lang w:eastAsia="en-GB"/>
              </w:rPr>
            </w:pPr>
          </w:p>
        </w:tc>
        <w:tc>
          <w:tcPr>
            <w:tcW w:w="436"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F1ABD03" w14:textId="77777777" w:rsidR="00E91ECF" w:rsidRPr="00A52AEE" w:rsidRDefault="00E91ECF" w:rsidP="00A52AEE">
            <w:pPr>
              <w:rPr>
                <w:lang w:eastAsia="en-GB"/>
              </w:rPr>
            </w:pPr>
          </w:p>
        </w:tc>
        <w:tc>
          <w:tcPr>
            <w:tcW w:w="367"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FD1F480" w14:textId="77777777" w:rsidR="00E91ECF" w:rsidRPr="00A52AEE" w:rsidRDefault="00E91ECF" w:rsidP="00A52AEE">
            <w:pPr>
              <w:rPr>
                <w:lang w:eastAsia="en-GB"/>
              </w:rPr>
            </w:pPr>
          </w:p>
        </w:tc>
      </w:tr>
      <w:tr w:rsidR="000D7228" w:rsidRPr="00A52AEE" w14:paraId="3575A11E"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27977EE5" w14:textId="77777777" w:rsidR="00E91ECF" w:rsidRPr="00A52AEE" w:rsidRDefault="00E91ECF" w:rsidP="00A52AEE">
            <w:pPr>
              <w:rPr>
                <w:lang w:eastAsia="en-GB"/>
              </w:rPr>
            </w:pPr>
            <w:r w:rsidRPr="00A52AEE">
              <w:rPr>
                <w:lang w:eastAsia="en-GB"/>
              </w:rPr>
              <w:t>Asian or Asian British - any other Asian background</w:t>
            </w:r>
          </w:p>
        </w:tc>
        <w:tc>
          <w:tcPr>
            <w:tcW w:w="429" w:type="pct"/>
            <w:tcBorders>
              <w:top w:val="nil"/>
              <w:left w:val="nil"/>
              <w:bottom w:val="single" w:sz="4" w:space="0" w:color="auto"/>
              <w:right w:val="single" w:sz="4" w:space="0" w:color="auto"/>
            </w:tcBorders>
            <w:shd w:val="clear" w:color="000000" w:fill="FFFFFF"/>
            <w:vAlign w:val="center"/>
            <w:hideMark/>
          </w:tcPr>
          <w:p w14:paraId="79EBE543" w14:textId="77777777" w:rsidR="00E91ECF" w:rsidRPr="00A52AEE" w:rsidRDefault="00E91ECF" w:rsidP="00FE68E8">
            <w:pPr>
              <w:jc w:val="right"/>
              <w:rPr>
                <w:lang w:eastAsia="en-GB"/>
              </w:rPr>
            </w:pPr>
            <w:r w:rsidRPr="00A52AEE">
              <w:rPr>
                <w:lang w:eastAsia="en-GB"/>
              </w:rPr>
              <w:t>3%</w:t>
            </w:r>
          </w:p>
        </w:tc>
        <w:tc>
          <w:tcPr>
            <w:tcW w:w="429" w:type="pct"/>
            <w:tcBorders>
              <w:top w:val="nil"/>
              <w:left w:val="nil"/>
              <w:bottom w:val="single" w:sz="4" w:space="0" w:color="auto"/>
              <w:right w:val="single" w:sz="4" w:space="0" w:color="auto"/>
            </w:tcBorders>
            <w:shd w:val="clear" w:color="000000" w:fill="FFFFFF"/>
            <w:vAlign w:val="center"/>
            <w:hideMark/>
          </w:tcPr>
          <w:p w14:paraId="69C745E1" w14:textId="77777777" w:rsidR="00E91ECF" w:rsidRPr="00A52AEE" w:rsidRDefault="00E91ECF" w:rsidP="00FE68E8">
            <w:pPr>
              <w:jc w:val="right"/>
              <w:rPr>
                <w:lang w:eastAsia="en-GB"/>
              </w:rPr>
            </w:pPr>
            <w:r w:rsidRPr="00A52AEE">
              <w:rPr>
                <w:lang w:eastAsia="en-GB"/>
              </w:rPr>
              <w:t>4%</w:t>
            </w:r>
          </w:p>
        </w:tc>
        <w:tc>
          <w:tcPr>
            <w:tcW w:w="429" w:type="pct"/>
            <w:tcBorders>
              <w:top w:val="nil"/>
              <w:left w:val="nil"/>
              <w:bottom w:val="single" w:sz="4" w:space="0" w:color="auto"/>
              <w:right w:val="single" w:sz="4" w:space="0" w:color="auto"/>
            </w:tcBorders>
            <w:shd w:val="clear" w:color="000000" w:fill="FFFFFF"/>
            <w:vAlign w:val="center"/>
            <w:hideMark/>
          </w:tcPr>
          <w:p w14:paraId="1CD0C366" w14:textId="77777777" w:rsidR="00E91ECF" w:rsidRPr="00A52AEE" w:rsidRDefault="00E91ECF" w:rsidP="00FE68E8">
            <w:pPr>
              <w:jc w:val="right"/>
              <w:rPr>
                <w:lang w:eastAsia="en-GB"/>
              </w:rPr>
            </w:pPr>
            <w:r w:rsidRPr="00A52AEE">
              <w:rPr>
                <w:lang w:eastAsia="en-GB"/>
              </w:rPr>
              <w:t>4%</w:t>
            </w:r>
          </w:p>
        </w:tc>
        <w:tc>
          <w:tcPr>
            <w:tcW w:w="430" w:type="pct"/>
            <w:tcBorders>
              <w:top w:val="nil"/>
              <w:left w:val="nil"/>
              <w:bottom w:val="single" w:sz="4" w:space="0" w:color="auto"/>
              <w:right w:val="single" w:sz="4" w:space="0" w:color="auto"/>
            </w:tcBorders>
            <w:shd w:val="clear" w:color="000000" w:fill="FFFFFF"/>
            <w:vAlign w:val="center"/>
            <w:hideMark/>
          </w:tcPr>
          <w:p w14:paraId="0FE4E0CC" w14:textId="77777777" w:rsidR="00E91ECF" w:rsidRPr="00A52AEE" w:rsidRDefault="00E91ECF" w:rsidP="00FE68E8">
            <w:pPr>
              <w:jc w:val="right"/>
              <w:rPr>
                <w:lang w:eastAsia="en-GB"/>
              </w:rPr>
            </w:pPr>
            <w:r w:rsidRPr="00A52AEE">
              <w:rPr>
                <w:lang w:eastAsia="en-GB"/>
              </w:rPr>
              <w:t>4%</w:t>
            </w:r>
          </w:p>
        </w:tc>
        <w:tc>
          <w:tcPr>
            <w:tcW w:w="431" w:type="pct"/>
            <w:tcBorders>
              <w:top w:val="nil"/>
              <w:left w:val="nil"/>
              <w:bottom w:val="single" w:sz="4" w:space="0" w:color="auto"/>
              <w:right w:val="single" w:sz="4" w:space="0" w:color="auto"/>
            </w:tcBorders>
            <w:shd w:val="clear" w:color="000000" w:fill="FFFFFF"/>
            <w:vAlign w:val="center"/>
            <w:hideMark/>
          </w:tcPr>
          <w:p w14:paraId="5A90A330" w14:textId="77777777" w:rsidR="00E91ECF" w:rsidRPr="00A52AEE" w:rsidRDefault="00E91ECF" w:rsidP="00FE68E8">
            <w:pPr>
              <w:jc w:val="right"/>
              <w:rPr>
                <w:lang w:eastAsia="en-GB"/>
              </w:rPr>
            </w:pPr>
            <w:r w:rsidRPr="00A52AEE">
              <w:rPr>
                <w:lang w:eastAsia="en-GB"/>
              </w:rPr>
              <w:t>5%</w:t>
            </w:r>
          </w:p>
        </w:tc>
        <w:tc>
          <w:tcPr>
            <w:tcW w:w="436" w:type="pct"/>
            <w:tcBorders>
              <w:top w:val="nil"/>
              <w:left w:val="nil"/>
              <w:bottom w:val="single" w:sz="4" w:space="0" w:color="auto"/>
              <w:right w:val="single" w:sz="4" w:space="0" w:color="auto"/>
            </w:tcBorders>
            <w:shd w:val="clear" w:color="000000" w:fill="FFFFFF"/>
            <w:vAlign w:val="center"/>
            <w:hideMark/>
          </w:tcPr>
          <w:p w14:paraId="79D1414D" w14:textId="77777777" w:rsidR="00E91ECF" w:rsidRPr="00A52AEE" w:rsidRDefault="00E91ECF" w:rsidP="00FE68E8">
            <w:pPr>
              <w:jc w:val="right"/>
              <w:rPr>
                <w:lang w:eastAsia="en-GB"/>
              </w:rPr>
            </w:pPr>
            <w:r w:rsidRPr="00A52AEE">
              <w:rPr>
                <w:lang w:eastAsia="en-GB"/>
              </w:rPr>
              <w:t>867</w:t>
            </w:r>
          </w:p>
        </w:tc>
        <w:tc>
          <w:tcPr>
            <w:tcW w:w="367" w:type="pct"/>
            <w:tcBorders>
              <w:top w:val="nil"/>
              <w:left w:val="nil"/>
              <w:bottom w:val="single" w:sz="4" w:space="0" w:color="auto"/>
              <w:right w:val="single" w:sz="4" w:space="0" w:color="auto"/>
            </w:tcBorders>
            <w:shd w:val="clear" w:color="000000" w:fill="FFFFFF"/>
            <w:vAlign w:val="center"/>
            <w:hideMark/>
          </w:tcPr>
          <w:p w14:paraId="6BC31125" w14:textId="77777777" w:rsidR="00E91ECF" w:rsidRPr="00A52AEE" w:rsidRDefault="00E91ECF" w:rsidP="00FE68E8">
            <w:pPr>
              <w:jc w:val="right"/>
              <w:rPr>
                <w:lang w:eastAsia="en-GB"/>
              </w:rPr>
            </w:pPr>
            <w:r w:rsidRPr="00A52AEE">
              <w:rPr>
                <w:lang w:eastAsia="en-GB"/>
              </w:rPr>
              <w:t>59%</w:t>
            </w:r>
          </w:p>
        </w:tc>
      </w:tr>
      <w:tr w:rsidR="000D7228" w:rsidRPr="00A52AEE" w14:paraId="29833A8F"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7CB2CC4B" w14:textId="77777777" w:rsidR="00E91ECF" w:rsidRPr="00A52AEE" w:rsidRDefault="00E91ECF" w:rsidP="00A52AEE">
            <w:pPr>
              <w:rPr>
                <w:lang w:eastAsia="en-GB"/>
              </w:rPr>
            </w:pPr>
            <w:r w:rsidRPr="00A52AEE">
              <w:rPr>
                <w:lang w:eastAsia="en-GB"/>
              </w:rPr>
              <w:t>Asian or Asian British –Bangladeshi</w:t>
            </w:r>
          </w:p>
        </w:tc>
        <w:tc>
          <w:tcPr>
            <w:tcW w:w="429" w:type="pct"/>
            <w:tcBorders>
              <w:top w:val="nil"/>
              <w:left w:val="nil"/>
              <w:bottom w:val="single" w:sz="4" w:space="0" w:color="auto"/>
              <w:right w:val="single" w:sz="4" w:space="0" w:color="auto"/>
            </w:tcBorders>
            <w:shd w:val="clear" w:color="000000" w:fill="FFFFFF"/>
            <w:vAlign w:val="center"/>
            <w:hideMark/>
          </w:tcPr>
          <w:p w14:paraId="725455A0" w14:textId="77777777" w:rsidR="00E91ECF" w:rsidRPr="00A52AEE" w:rsidRDefault="00E91ECF" w:rsidP="00FE68E8">
            <w:pPr>
              <w:jc w:val="right"/>
              <w:rPr>
                <w:lang w:eastAsia="en-GB"/>
              </w:rPr>
            </w:pPr>
            <w:r w:rsidRPr="00A52AEE">
              <w:rPr>
                <w:lang w:eastAsia="en-GB"/>
              </w:rPr>
              <w:t>4%</w:t>
            </w:r>
          </w:p>
        </w:tc>
        <w:tc>
          <w:tcPr>
            <w:tcW w:w="429" w:type="pct"/>
            <w:tcBorders>
              <w:top w:val="nil"/>
              <w:left w:val="nil"/>
              <w:bottom w:val="single" w:sz="4" w:space="0" w:color="auto"/>
              <w:right w:val="single" w:sz="4" w:space="0" w:color="auto"/>
            </w:tcBorders>
            <w:shd w:val="clear" w:color="000000" w:fill="FFFFFF"/>
            <w:vAlign w:val="center"/>
            <w:hideMark/>
          </w:tcPr>
          <w:p w14:paraId="2865C90C" w14:textId="77777777" w:rsidR="00E91ECF" w:rsidRPr="00A52AEE" w:rsidRDefault="00E91ECF" w:rsidP="00FE68E8">
            <w:pPr>
              <w:jc w:val="right"/>
              <w:rPr>
                <w:lang w:eastAsia="en-GB"/>
              </w:rPr>
            </w:pPr>
            <w:r w:rsidRPr="00A52AEE">
              <w:rPr>
                <w:lang w:eastAsia="en-GB"/>
              </w:rPr>
              <w:t>4%</w:t>
            </w:r>
          </w:p>
        </w:tc>
        <w:tc>
          <w:tcPr>
            <w:tcW w:w="429" w:type="pct"/>
            <w:tcBorders>
              <w:top w:val="nil"/>
              <w:left w:val="nil"/>
              <w:bottom w:val="single" w:sz="4" w:space="0" w:color="auto"/>
              <w:right w:val="single" w:sz="4" w:space="0" w:color="auto"/>
            </w:tcBorders>
            <w:shd w:val="clear" w:color="000000" w:fill="FFFFFF"/>
            <w:vAlign w:val="center"/>
            <w:hideMark/>
          </w:tcPr>
          <w:p w14:paraId="63DE96D1" w14:textId="77777777" w:rsidR="00E91ECF" w:rsidRPr="00A52AEE" w:rsidRDefault="00E91ECF"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vAlign w:val="center"/>
            <w:hideMark/>
          </w:tcPr>
          <w:p w14:paraId="6D4CB860" w14:textId="77777777" w:rsidR="00E91ECF" w:rsidRPr="00A52AEE" w:rsidRDefault="00E91ECF" w:rsidP="00FE68E8">
            <w:pPr>
              <w:jc w:val="right"/>
              <w:rPr>
                <w:lang w:eastAsia="en-GB"/>
              </w:rPr>
            </w:pPr>
            <w:r w:rsidRPr="00A52AEE">
              <w:rPr>
                <w:lang w:eastAsia="en-GB"/>
              </w:rPr>
              <w:t>4%</w:t>
            </w:r>
          </w:p>
        </w:tc>
        <w:tc>
          <w:tcPr>
            <w:tcW w:w="431" w:type="pct"/>
            <w:tcBorders>
              <w:top w:val="nil"/>
              <w:left w:val="nil"/>
              <w:bottom w:val="single" w:sz="4" w:space="0" w:color="auto"/>
              <w:right w:val="single" w:sz="4" w:space="0" w:color="auto"/>
            </w:tcBorders>
            <w:shd w:val="clear" w:color="000000" w:fill="FFFFFF"/>
            <w:vAlign w:val="center"/>
            <w:hideMark/>
          </w:tcPr>
          <w:p w14:paraId="334A1CA8" w14:textId="77777777" w:rsidR="00E91ECF" w:rsidRPr="00A52AEE" w:rsidRDefault="00E91ECF" w:rsidP="00FE68E8">
            <w:pPr>
              <w:jc w:val="right"/>
              <w:rPr>
                <w:lang w:eastAsia="en-GB"/>
              </w:rPr>
            </w:pPr>
            <w:r w:rsidRPr="00A52AEE">
              <w:rPr>
                <w:lang w:eastAsia="en-GB"/>
              </w:rPr>
              <w:t>4%</w:t>
            </w:r>
          </w:p>
        </w:tc>
        <w:tc>
          <w:tcPr>
            <w:tcW w:w="436" w:type="pct"/>
            <w:tcBorders>
              <w:top w:val="nil"/>
              <w:left w:val="nil"/>
              <w:bottom w:val="single" w:sz="4" w:space="0" w:color="auto"/>
              <w:right w:val="single" w:sz="4" w:space="0" w:color="auto"/>
            </w:tcBorders>
            <w:shd w:val="clear" w:color="000000" w:fill="FFFFFF"/>
            <w:vAlign w:val="center"/>
            <w:hideMark/>
          </w:tcPr>
          <w:p w14:paraId="3D3A3485" w14:textId="77777777" w:rsidR="00E91ECF" w:rsidRPr="00A52AEE" w:rsidRDefault="00E91ECF" w:rsidP="00FE68E8">
            <w:pPr>
              <w:jc w:val="right"/>
              <w:rPr>
                <w:lang w:eastAsia="en-GB"/>
              </w:rPr>
            </w:pPr>
            <w:r w:rsidRPr="00A52AEE">
              <w:rPr>
                <w:lang w:eastAsia="en-GB"/>
              </w:rPr>
              <w:t>226</w:t>
            </w:r>
          </w:p>
        </w:tc>
        <w:tc>
          <w:tcPr>
            <w:tcW w:w="367" w:type="pct"/>
            <w:tcBorders>
              <w:top w:val="nil"/>
              <w:left w:val="nil"/>
              <w:bottom w:val="single" w:sz="4" w:space="0" w:color="auto"/>
              <w:right w:val="single" w:sz="4" w:space="0" w:color="auto"/>
            </w:tcBorders>
            <w:shd w:val="clear" w:color="000000" w:fill="FFFFFF"/>
            <w:vAlign w:val="center"/>
            <w:hideMark/>
          </w:tcPr>
          <w:p w14:paraId="7CFDA3D6" w14:textId="77777777" w:rsidR="00E91ECF" w:rsidRPr="00A52AEE" w:rsidRDefault="00E91ECF" w:rsidP="00FE68E8">
            <w:pPr>
              <w:jc w:val="right"/>
              <w:rPr>
                <w:lang w:eastAsia="en-GB"/>
              </w:rPr>
            </w:pPr>
            <w:r w:rsidRPr="00A52AEE">
              <w:rPr>
                <w:lang w:eastAsia="en-GB"/>
              </w:rPr>
              <w:t>14%</w:t>
            </w:r>
          </w:p>
        </w:tc>
      </w:tr>
      <w:tr w:rsidR="000D7228" w:rsidRPr="00A52AEE" w14:paraId="307F0124"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2A6A567E" w14:textId="77777777" w:rsidR="00E91ECF" w:rsidRPr="00A52AEE" w:rsidRDefault="00E91ECF" w:rsidP="00A52AEE">
            <w:pPr>
              <w:rPr>
                <w:lang w:eastAsia="en-GB"/>
              </w:rPr>
            </w:pPr>
            <w:r w:rsidRPr="00A52AEE">
              <w:rPr>
                <w:lang w:eastAsia="en-GB"/>
              </w:rPr>
              <w:t>Asian or Asian British –Indian</w:t>
            </w:r>
          </w:p>
        </w:tc>
        <w:tc>
          <w:tcPr>
            <w:tcW w:w="429" w:type="pct"/>
            <w:tcBorders>
              <w:top w:val="nil"/>
              <w:left w:val="nil"/>
              <w:bottom w:val="single" w:sz="4" w:space="0" w:color="auto"/>
              <w:right w:val="single" w:sz="4" w:space="0" w:color="auto"/>
            </w:tcBorders>
            <w:shd w:val="clear" w:color="000000" w:fill="FFFFFF"/>
            <w:vAlign w:val="center"/>
            <w:hideMark/>
          </w:tcPr>
          <w:p w14:paraId="4C84F1BF" w14:textId="77777777" w:rsidR="00E91ECF" w:rsidRPr="00A52AEE" w:rsidRDefault="00E91ECF" w:rsidP="00FE68E8">
            <w:pPr>
              <w:jc w:val="right"/>
              <w:rPr>
                <w:lang w:eastAsia="en-GB"/>
              </w:rPr>
            </w:pPr>
            <w:r w:rsidRPr="00A52AEE">
              <w:rPr>
                <w:lang w:eastAsia="en-GB"/>
              </w:rPr>
              <w:t>6%</w:t>
            </w:r>
          </w:p>
        </w:tc>
        <w:tc>
          <w:tcPr>
            <w:tcW w:w="429" w:type="pct"/>
            <w:tcBorders>
              <w:top w:val="nil"/>
              <w:left w:val="nil"/>
              <w:bottom w:val="single" w:sz="4" w:space="0" w:color="auto"/>
              <w:right w:val="single" w:sz="4" w:space="0" w:color="auto"/>
            </w:tcBorders>
            <w:shd w:val="clear" w:color="000000" w:fill="FFFFFF"/>
            <w:vAlign w:val="center"/>
            <w:hideMark/>
          </w:tcPr>
          <w:p w14:paraId="233AFB4A" w14:textId="77777777" w:rsidR="00E91ECF" w:rsidRPr="00A52AEE" w:rsidRDefault="00E91ECF" w:rsidP="00FE68E8">
            <w:pPr>
              <w:jc w:val="right"/>
              <w:rPr>
                <w:lang w:eastAsia="en-GB"/>
              </w:rPr>
            </w:pPr>
            <w:r w:rsidRPr="00A52AEE">
              <w:rPr>
                <w:lang w:eastAsia="en-GB"/>
              </w:rPr>
              <w:t>5%</w:t>
            </w:r>
          </w:p>
        </w:tc>
        <w:tc>
          <w:tcPr>
            <w:tcW w:w="429" w:type="pct"/>
            <w:tcBorders>
              <w:top w:val="nil"/>
              <w:left w:val="nil"/>
              <w:bottom w:val="single" w:sz="4" w:space="0" w:color="auto"/>
              <w:right w:val="single" w:sz="4" w:space="0" w:color="auto"/>
            </w:tcBorders>
            <w:shd w:val="clear" w:color="000000" w:fill="FFFFFF"/>
            <w:vAlign w:val="center"/>
            <w:hideMark/>
          </w:tcPr>
          <w:p w14:paraId="28C703A0" w14:textId="77777777" w:rsidR="00E91ECF" w:rsidRPr="00A52AEE" w:rsidRDefault="00E91ECF"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vAlign w:val="center"/>
            <w:hideMark/>
          </w:tcPr>
          <w:p w14:paraId="75E2DE60" w14:textId="77777777" w:rsidR="00E91ECF" w:rsidRPr="00A52AEE" w:rsidRDefault="00E91ECF" w:rsidP="00FE68E8">
            <w:pPr>
              <w:jc w:val="right"/>
              <w:rPr>
                <w:lang w:eastAsia="en-GB"/>
              </w:rPr>
            </w:pPr>
            <w:r w:rsidRPr="00A52AEE">
              <w:rPr>
                <w:lang w:eastAsia="en-GB"/>
              </w:rPr>
              <w:t>5%</w:t>
            </w:r>
          </w:p>
        </w:tc>
        <w:tc>
          <w:tcPr>
            <w:tcW w:w="431" w:type="pct"/>
            <w:tcBorders>
              <w:top w:val="nil"/>
              <w:left w:val="nil"/>
              <w:bottom w:val="single" w:sz="4" w:space="0" w:color="auto"/>
              <w:right w:val="single" w:sz="4" w:space="0" w:color="auto"/>
            </w:tcBorders>
            <w:shd w:val="clear" w:color="000000" w:fill="FFFFFF"/>
            <w:vAlign w:val="center"/>
            <w:hideMark/>
          </w:tcPr>
          <w:p w14:paraId="1B79ED22" w14:textId="77777777" w:rsidR="00E91ECF" w:rsidRPr="00A52AEE" w:rsidRDefault="00E91ECF" w:rsidP="00FE68E8">
            <w:pPr>
              <w:jc w:val="right"/>
              <w:rPr>
                <w:lang w:eastAsia="en-GB"/>
              </w:rPr>
            </w:pPr>
            <w:r w:rsidRPr="00A52AEE">
              <w:rPr>
                <w:lang w:eastAsia="en-GB"/>
              </w:rPr>
              <w:t>5%</w:t>
            </w:r>
          </w:p>
        </w:tc>
        <w:tc>
          <w:tcPr>
            <w:tcW w:w="436" w:type="pct"/>
            <w:tcBorders>
              <w:top w:val="nil"/>
              <w:left w:val="nil"/>
              <w:bottom w:val="single" w:sz="4" w:space="0" w:color="auto"/>
              <w:right w:val="single" w:sz="4" w:space="0" w:color="auto"/>
            </w:tcBorders>
            <w:shd w:val="clear" w:color="000000" w:fill="FFFFFF"/>
            <w:vAlign w:val="center"/>
            <w:hideMark/>
          </w:tcPr>
          <w:p w14:paraId="2F8AE654" w14:textId="77777777" w:rsidR="00E91ECF" w:rsidRPr="00A52AEE" w:rsidRDefault="00E91ECF" w:rsidP="00FE68E8">
            <w:pPr>
              <w:jc w:val="right"/>
              <w:rPr>
                <w:lang w:eastAsia="en-GB"/>
              </w:rPr>
            </w:pPr>
            <w:r w:rsidRPr="00A52AEE">
              <w:rPr>
                <w:lang w:eastAsia="en-GB"/>
              </w:rPr>
              <w:t>-465</w:t>
            </w:r>
          </w:p>
        </w:tc>
        <w:tc>
          <w:tcPr>
            <w:tcW w:w="367" w:type="pct"/>
            <w:tcBorders>
              <w:top w:val="nil"/>
              <w:left w:val="nil"/>
              <w:bottom w:val="single" w:sz="4" w:space="0" w:color="auto"/>
              <w:right w:val="single" w:sz="4" w:space="0" w:color="auto"/>
            </w:tcBorders>
            <w:shd w:val="clear" w:color="000000" w:fill="FFFFFF"/>
            <w:vAlign w:val="center"/>
            <w:hideMark/>
          </w:tcPr>
          <w:p w14:paraId="7EB2E819" w14:textId="77777777" w:rsidR="00E91ECF" w:rsidRPr="00A52AEE" w:rsidRDefault="00E91ECF" w:rsidP="00FE68E8">
            <w:pPr>
              <w:jc w:val="right"/>
              <w:rPr>
                <w:lang w:eastAsia="en-GB"/>
              </w:rPr>
            </w:pPr>
            <w:r w:rsidRPr="00A52AEE">
              <w:rPr>
                <w:lang w:eastAsia="en-GB"/>
              </w:rPr>
              <w:t>-18%</w:t>
            </w:r>
          </w:p>
        </w:tc>
      </w:tr>
      <w:tr w:rsidR="000D7228" w:rsidRPr="00A52AEE" w14:paraId="6C538201"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135B97E0" w14:textId="77777777" w:rsidR="00E91ECF" w:rsidRPr="00A52AEE" w:rsidRDefault="00E91ECF" w:rsidP="00A52AEE">
            <w:pPr>
              <w:rPr>
                <w:lang w:eastAsia="en-GB"/>
              </w:rPr>
            </w:pPr>
            <w:r w:rsidRPr="00A52AEE">
              <w:rPr>
                <w:lang w:eastAsia="en-GB"/>
              </w:rPr>
              <w:t>Asian or Asian British –Pakistani</w:t>
            </w:r>
          </w:p>
        </w:tc>
        <w:tc>
          <w:tcPr>
            <w:tcW w:w="429" w:type="pct"/>
            <w:tcBorders>
              <w:top w:val="nil"/>
              <w:left w:val="nil"/>
              <w:bottom w:val="single" w:sz="4" w:space="0" w:color="auto"/>
              <w:right w:val="single" w:sz="4" w:space="0" w:color="auto"/>
            </w:tcBorders>
            <w:shd w:val="clear" w:color="000000" w:fill="FFFFFF"/>
            <w:vAlign w:val="center"/>
            <w:hideMark/>
          </w:tcPr>
          <w:p w14:paraId="3BDE1F07" w14:textId="77777777" w:rsidR="00E91ECF" w:rsidRPr="00A52AEE" w:rsidRDefault="00E91ECF" w:rsidP="00FE68E8">
            <w:pPr>
              <w:jc w:val="right"/>
              <w:rPr>
                <w:lang w:eastAsia="en-GB"/>
              </w:rPr>
            </w:pPr>
            <w:r w:rsidRPr="00A52AEE">
              <w:rPr>
                <w:lang w:eastAsia="en-GB"/>
              </w:rPr>
              <w:t>3%</w:t>
            </w:r>
          </w:p>
        </w:tc>
        <w:tc>
          <w:tcPr>
            <w:tcW w:w="429" w:type="pct"/>
            <w:tcBorders>
              <w:top w:val="nil"/>
              <w:left w:val="nil"/>
              <w:bottom w:val="single" w:sz="4" w:space="0" w:color="auto"/>
              <w:right w:val="single" w:sz="4" w:space="0" w:color="auto"/>
            </w:tcBorders>
            <w:shd w:val="clear" w:color="000000" w:fill="FFFFFF"/>
            <w:vAlign w:val="center"/>
            <w:hideMark/>
          </w:tcPr>
          <w:p w14:paraId="5359214A" w14:textId="77777777" w:rsidR="00E91ECF" w:rsidRPr="00A52AEE" w:rsidRDefault="00E91ECF" w:rsidP="00FE68E8">
            <w:pPr>
              <w:jc w:val="right"/>
              <w:rPr>
                <w:lang w:eastAsia="en-GB"/>
              </w:rPr>
            </w:pPr>
            <w:r w:rsidRPr="00A52AEE">
              <w:rPr>
                <w:lang w:eastAsia="en-GB"/>
              </w:rPr>
              <w:t>3%</w:t>
            </w:r>
          </w:p>
        </w:tc>
        <w:tc>
          <w:tcPr>
            <w:tcW w:w="429" w:type="pct"/>
            <w:tcBorders>
              <w:top w:val="nil"/>
              <w:left w:val="nil"/>
              <w:bottom w:val="single" w:sz="4" w:space="0" w:color="auto"/>
              <w:right w:val="single" w:sz="4" w:space="0" w:color="auto"/>
            </w:tcBorders>
            <w:shd w:val="clear" w:color="000000" w:fill="FFFFFF"/>
            <w:vAlign w:val="center"/>
            <w:hideMark/>
          </w:tcPr>
          <w:p w14:paraId="1D5EF43E" w14:textId="77777777" w:rsidR="00E91ECF" w:rsidRPr="00A52AEE" w:rsidRDefault="00E91ECF" w:rsidP="00FE68E8">
            <w:pPr>
              <w:jc w:val="right"/>
              <w:rPr>
                <w:lang w:eastAsia="en-GB"/>
              </w:rPr>
            </w:pPr>
            <w:r w:rsidRPr="00A52AEE">
              <w:rPr>
                <w:lang w:eastAsia="en-GB"/>
              </w:rPr>
              <w:t>3%</w:t>
            </w:r>
          </w:p>
        </w:tc>
        <w:tc>
          <w:tcPr>
            <w:tcW w:w="430" w:type="pct"/>
            <w:tcBorders>
              <w:top w:val="nil"/>
              <w:left w:val="nil"/>
              <w:bottom w:val="single" w:sz="4" w:space="0" w:color="auto"/>
              <w:right w:val="single" w:sz="4" w:space="0" w:color="auto"/>
            </w:tcBorders>
            <w:shd w:val="clear" w:color="000000" w:fill="FFFFFF"/>
            <w:vAlign w:val="center"/>
            <w:hideMark/>
          </w:tcPr>
          <w:p w14:paraId="5ECCB8A0" w14:textId="77777777" w:rsidR="00E91ECF" w:rsidRPr="00A52AEE" w:rsidRDefault="00E91ECF" w:rsidP="00FE68E8">
            <w:pPr>
              <w:jc w:val="right"/>
              <w:rPr>
                <w:lang w:eastAsia="en-GB"/>
              </w:rPr>
            </w:pPr>
            <w:r w:rsidRPr="00A52AEE">
              <w:rPr>
                <w:lang w:eastAsia="en-GB"/>
              </w:rPr>
              <w:t>4%</w:t>
            </w:r>
          </w:p>
        </w:tc>
        <w:tc>
          <w:tcPr>
            <w:tcW w:w="431" w:type="pct"/>
            <w:tcBorders>
              <w:top w:val="nil"/>
              <w:left w:val="nil"/>
              <w:bottom w:val="single" w:sz="4" w:space="0" w:color="auto"/>
              <w:right w:val="single" w:sz="4" w:space="0" w:color="auto"/>
            </w:tcBorders>
            <w:shd w:val="clear" w:color="000000" w:fill="FFFFFF"/>
            <w:vAlign w:val="center"/>
            <w:hideMark/>
          </w:tcPr>
          <w:p w14:paraId="6ED3C49D" w14:textId="77777777" w:rsidR="00E91ECF" w:rsidRPr="00A52AEE" w:rsidRDefault="00E91ECF" w:rsidP="00FE68E8">
            <w:pPr>
              <w:jc w:val="right"/>
              <w:rPr>
                <w:lang w:eastAsia="en-GB"/>
              </w:rPr>
            </w:pPr>
            <w:r w:rsidRPr="00A52AEE">
              <w:rPr>
                <w:lang w:eastAsia="en-GB"/>
              </w:rPr>
              <w:t>4%</w:t>
            </w:r>
          </w:p>
        </w:tc>
        <w:tc>
          <w:tcPr>
            <w:tcW w:w="436" w:type="pct"/>
            <w:tcBorders>
              <w:top w:val="nil"/>
              <w:left w:val="nil"/>
              <w:bottom w:val="single" w:sz="4" w:space="0" w:color="auto"/>
              <w:right w:val="single" w:sz="4" w:space="0" w:color="auto"/>
            </w:tcBorders>
            <w:shd w:val="clear" w:color="000000" w:fill="FFFFFF"/>
            <w:vAlign w:val="center"/>
            <w:hideMark/>
          </w:tcPr>
          <w:p w14:paraId="4D2AA9DB" w14:textId="77777777" w:rsidR="00E91ECF" w:rsidRPr="00A52AEE" w:rsidRDefault="00E91ECF" w:rsidP="00FE68E8">
            <w:pPr>
              <w:jc w:val="right"/>
              <w:rPr>
                <w:lang w:eastAsia="en-GB"/>
              </w:rPr>
            </w:pPr>
            <w:r w:rsidRPr="00A52AEE">
              <w:rPr>
                <w:lang w:eastAsia="en-GB"/>
              </w:rPr>
              <w:t>328</w:t>
            </w:r>
          </w:p>
        </w:tc>
        <w:tc>
          <w:tcPr>
            <w:tcW w:w="367" w:type="pct"/>
            <w:tcBorders>
              <w:top w:val="nil"/>
              <w:left w:val="nil"/>
              <w:bottom w:val="single" w:sz="4" w:space="0" w:color="auto"/>
              <w:right w:val="single" w:sz="4" w:space="0" w:color="auto"/>
            </w:tcBorders>
            <w:shd w:val="clear" w:color="000000" w:fill="FFFFFF"/>
            <w:vAlign w:val="center"/>
            <w:hideMark/>
          </w:tcPr>
          <w:p w14:paraId="78C302E8" w14:textId="77777777" w:rsidR="00E91ECF" w:rsidRPr="00A52AEE" w:rsidRDefault="00E91ECF" w:rsidP="00FE68E8">
            <w:pPr>
              <w:jc w:val="right"/>
              <w:rPr>
                <w:lang w:eastAsia="en-GB"/>
              </w:rPr>
            </w:pPr>
            <w:r w:rsidRPr="00A52AEE">
              <w:rPr>
                <w:lang w:eastAsia="en-GB"/>
              </w:rPr>
              <w:t>24%</w:t>
            </w:r>
          </w:p>
        </w:tc>
      </w:tr>
      <w:tr w:rsidR="000D7228" w:rsidRPr="00A52AEE" w14:paraId="5DE5B685"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5AAF46CA" w14:textId="77777777" w:rsidR="00E91ECF" w:rsidRPr="00A52AEE" w:rsidRDefault="00E91ECF" w:rsidP="00A52AEE">
            <w:pPr>
              <w:rPr>
                <w:lang w:eastAsia="en-GB"/>
              </w:rPr>
            </w:pPr>
            <w:r w:rsidRPr="00A52AEE">
              <w:rPr>
                <w:lang w:eastAsia="en-GB"/>
              </w:rPr>
              <w:t>Black or Black British - any other Black background</w:t>
            </w:r>
          </w:p>
        </w:tc>
        <w:tc>
          <w:tcPr>
            <w:tcW w:w="429" w:type="pct"/>
            <w:tcBorders>
              <w:top w:val="nil"/>
              <w:left w:val="nil"/>
              <w:bottom w:val="single" w:sz="4" w:space="0" w:color="auto"/>
              <w:right w:val="single" w:sz="4" w:space="0" w:color="auto"/>
            </w:tcBorders>
            <w:shd w:val="clear" w:color="000000" w:fill="FFFFFF"/>
            <w:vAlign w:val="center"/>
            <w:hideMark/>
          </w:tcPr>
          <w:p w14:paraId="113B98EA"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36660134"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02490A93" w14:textId="77777777" w:rsidR="00E91ECF" w:rsidRPr="00A52AEE" w:rsidRDefault="00E91ECF"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vAlign w:val="center"/>
            <w:hideMark/>
          </w:tcPr>
          <w:p w14:paraId="47276558" w14:textId="77777777" w:rsidR="00E91ECF" w:rsidRPr="00A52AEE" w:rsidRDefault="00E91ECF" w:rsidP="00FE68E8">
            <w:pPr>
              <w:jc w:val="right"/>
              <w:rPr>
                <w:lang w:eastAsia="en-GB"/>
              </w:rPr>
            </w:pPr>
            <w:r w:rsidRPr="00A52AEE">
              <w:rPr>
                <w:lang w:eastAsia="en-GB"/>
              </w:rPr>
              <w:t>3%</w:t>
            </w:r>
          </w:p>
        </w:tc>
        <w:tc>
          <w:tcPr>
            <w:tcW w:w="431" w:type="pct"/>
            <w:tcBorders>
              <w:top w:val="nil"/>
              <w:left w:val="nil"/>
              <w:bottom w:val="single" w:sz="4" w:space="0" w:color="auto"/>
              <w:right w:val="single" w:sz="4" w:space="0" w:color="auto"/>
            </w:tcBorders>
            <w:shd w:val="clear" w:color="000000" w:fill="FFFFFF"/>
            <w:vAlign w:val="center"/>
            <w:hideMark/>
          </w:tcPr>
          <w:p w14:paraId="4D67C6CC" w14:textId="77777777" w:rsidR="00E91ECF" w:rsidRPr="00A52AEE" w:rsidRDefault="00E91ECF" w:rsidP="00FE68E8">
            <w:pPr>
              <w:jc w:val="right"/>
              <w:rPr>
                <w:lang w:eastAsia="en-GB"/>
              </w:rPr>
            </w:pPr>
            <w:r w:rsidRPr="00A52AEE">
              <w:rPr>
                <w:lang w:eastAsia="en-GB"/>
              </w:rPr>
              <w:t>4%</w:t>
            </w:r>
          </w:p>
        </w:tc>
        <w:tc>
          <w:tcPr>
            <w:tcW w:w="436" w:type="pct"/>
            <w:tcBorders>
              <w:top w:val="nil"/>
              <w:left w:val="nil"/>
              <w:bottom w:val="single" w:sz="4" w:space="0" w:color="auto"/>
              <w:right w:val="single" w:sz="4" w:space="0" w:color="auto"/>
            </w:tcBorders>
            <w:shd w:val="clear" w:color="000000" w:fill="FFFFFF"/>
            <w:vAlign w:val="center"/>
            <w:hideMark/>
          </w:tcPr>
          <w:p w14:paraId="21426B2F" w14:textId="77777777" w:rsidR="00E91ECF" w:rsidRPr="00A52AEE" w:rsidRDefault="00E91ECF" w:rsidP="00FE68E8">
            <w:pPr>
              <w:jc w:val="right"/>
              <w:rPr>
                <w:lang w:eastAsia="en-GB"/>
              </w:rPr>
            </w:pPr>
            <w:r w:rsidRPr="00A52AEE">
              <w:rPr>
                <w:lang w:eastAsia="en-GB"/>
              </w:rPr>
              <w:t>878</w:t>
            </w:r>
          </w:p>
        </w:tc>
        <w:tc>
          <w:tcPr>
            <w:tcW w:w="367" w:type="pct"/>
            <w:tcBorders>
              <w:top w:val="nil"/>
              <w:left w:val="nil"/>
              <w:bottom w:val="single" w:sz="4" w:space="0" w:color="auto"/>
              <w:right w:val="single" w:sz="4" w:space="0" w:color="auto"/>
            </w:tcBorders>
            <w:shd w:val="clear" w:color="000000" w:fill="FFFFFF"/>
            <w:vAlign w:val="center"/>
            <w:hideMark/>
          </w:tcPr>
          <w:p w14:paraId="0C16B335" w14:textId="77777777" w:rsidR="00E91ECF" w:rsidRPr="00A52AEE" w:rsidRDefault="00E91ECF" w:rsidP="00FE68E8">
            <w:pPr>
              <w:jc w:val="right"/>
              <w:rPr>
                <w:lang w:eastAsia="en-GB"/>
              </w:rPr>
            </w:pPr>
            <w:r w:rsidRPr="00A52AEE">
              <w:rPr>
                <w:lang w:eastAsia="en-GB"/>
              </w:rPr>
              <w:t>87%</w:t>
            </w:r>
          </w:p>
        </w:tc>
      </w:tr>
      <w:tr w:rsidR="000D7228" w:rsidRPr="00A52AEE" w14:paraId="61263B84"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5097E3FB" w14:textId="77777777" w:rsidR="00E91ECF" w:rsidRPr="00A52AEE" w:rsidRDefault="00E91ECF" w:rsidP="00A52AEE">
            <w:pPr>
              <w:rPr>
                <w:lang w:eastAsia="en-GB"/>
              </w:rPr>
            </w:pPr>
            <w:r w:rsidRPr="00A52AEE">
              <w:rPr>
                <w:lang w:eastAsia="en-GB"/>
              </w:rPr>
              <w:t>Black or Black British –African</w:t>
            </w:r>
          </w:p>
        </w:tc>
        <w:tc>
          <w:tcPr>
            <w:tcW w:w="429" w:type="pct"/>
            <w:tcBorders>
              <w:top w:val="nil"/>
              <w:left w:val="nil"/>
              <w:bottom w:val="single" w:sz="4" w:space="0" w:color="auto"/>
              <w:right w:val="single" w:sz="4" w:space="0" w:color="auto"/>
            </w:tcBorders>
            <w:shd w:val="clear" w:color="000000" w:fill="FFFFFF"/>
            <w:vAlign w:val="center"/>
            <w:hideMark/>
          </w:tcPr>
          <w:p w14:paraId="6E1201F3" w14:textId="77777777" w:rsidR="00E91ECF" w:rsidRPr="00A52AEE" w:rsidRDefault="00E91ECF" w:rsidP="00FE68E8">
            <w:pPr>
              <w:jc w:val="right"/>
              <w:rPr>
                <w:lang w:eastAsia="en-GB"/>
              </w:rPr>
            </w:pPr>
            <w:r w:rsidRPr="00A52AEE">
              <w:rPr>
                <w:lang w:eastAsia="en-GB"/>
              </w:rPr>
              <w:t>16%</w:t>
            </w:r>
          </w:p>
        </w:tc>
        <w:tc>
          <w:tcPr>
            <w:tcW w:w="429" w:type="pct"/>
            <w:tcBorders>
              <w:top w:val="nil"/>
              <w:left w:val="nil"/>
              <w:bottom w:val="single" w:sz="4" w:space="0" w:color="auto"/>
              <w:right w:val="single" w:sz="4" w:space="0" w:color="auto"/>
            </w:tcBorders>
            <w:shd w:val="clear" w:color="000000" w:fill="FFFFFF"/>
            <w:vAlign w:val="center"/>
            <w:hideMark/>
          </w:tcPr>
          <w:p w14:paraId="43E1CB73" w14:textId="77777777" w:rsidR="00E91ECF" w:rsidRPr="00A52AEE" w:rsidRDefault="00E91ECF" w:rsidP="00FE68E8">
            <w:pPr>
              <w:jc w:val="right"/>
              <w:rPr>
                <w:lang w:eastAsia="en-GB"/>
              </w:rPr>
            </w:pPr>
            <w:r w:rsidRPr="00A52AEE">
              <w:rPr>
                <w:lang w:eastAsia="en-GB"/>
              </w:rPr>
              <w:t>16%</w:t>
            </w:r>
          </w:p>
        </w:tc>
        <w:tc>
          <w:tcPr>
            <w:tcW w:w="429" w:type="pct"/>
            <w:tcBorders>
              <w:top w:val="nil"/>
              <w:left w:val="nil"/>
              <w:bottom w:val="single" w:sz="4" w:space="0" w:color="auto"/>
              <w:right w:val="single" w:sz="4" w:space="0" w:color="auto"/>
            </w:tcBorders>
            <w:shd w:val="clear" w:color="000000" w:fill="FFFFFF"/>
            <w:vAlign w:val="center"/>
            <w:hideMark/>
          </w:tcPr>
          <w:p w14:paraId="4846E480" w14:textId="77777777" w:rsidR="00E91ECF" w:rsidRPr="00A52AEE" w:rsidRDefault="00E91ECF" w:rsidP="00FE68E8">
            <w:pPr>
              <w:jc w:val="right"/>
              <w:rPr>
                <w:lang w:eastAsia="en-GB"/>
              </w:rPr>
            </w:pPr>
            <w:r w:rsidRPr="00A52AEE">
              <w:rPr>
                <w:lang w:eastAsia="en-GB"/>
              </w:rPr>
              <w:t>16%</w:t>
            </w:r>
          </w:p>
        </w:tc>
        <w:tc>
          <w:tcPr>
            <w:tcW w:w="430" w:type="pct"/>
            <w:tcBorders>
              <w:top w:val="nil"/>
              <w:left w:val="nil"/>
              <w:bottom w:val="single" w:sz="4" w:space="0" w:color="auto"/>
              <w:right w:val="single" w:sz="4" w:space="0" w:color="auto"/>
            </w:tcBorders>
            <w:shd w:val="clear" w:color="000000" w:fill="FFFFFF"/>
            <w:vAlign w:val="center"/>
            <w:hideMark/>
          </w:tcPr>
          <w:p w14:paraId="62B8E7A7" w14:textId="77777777" w:rsidR="00E91ECF" w:rsidRPr="00A52AEE" w:rsidRDefault="00E91ECF" w:rsidP="00FE68E8">
            <w:pPr>
              <w:jc w:val="right"/>
              <w:rPr>
                <w:lang w:eastAsia="en-GB"/>
              </w:rPr>
            </w:pPr>
            <w:r w:rsidRPr="00A52AEE">
              <w:rPr>
                <w:lang w:eastAsia="en-GB"/>
              </w:rPr>
              <w:t>17%</w:t>
            </w:r>
          </w:p>
        </w:tc>
        <w:tc>
          <w:tcPr>
            <w:tcW w:w="431" w:type="pct"/>
            <w:tcBorders>
              <w:top w:val="nil"/>
              <w:left w:val="nil"/>
              <w:bottom w:val="single" w:sz="4" w:space="0" w:color="auto"/>
              <w:right w:val="single" w:sz="4" w:space="0" w:color="auto"/>
            </w:tcBorders>
            <w:shd w:val="clear" w:color="000000" w:fill="FFFFFF"/>
            <w:vAlign w:val="center"/>
            <w:hideMark/>
          </w:tcPr>
          <w:p w14:paraId="6A9BD3BF" w14:textId="77777777" w:rsidR="00E91ECF" w:rsidRPr="00A52AEE" w:rsidRDefault="00E91ECF" w:rsidP="00FE68E8">
            <w:pPr>
              <w:jc w:val="right"/>
              <w:rPr>
                <w:lang w:eastAsia="en-GB"/>
              </w:rPr>
            </w:pPr>
            <w:r w:rsidRPr="00A52AEE">
              <w:rPr>
                <w:lang w:eastAsia="en-GB"/>
              </w:rPr>
              <w:t>18%</w:t>
            </w:r>
          </w:p>
        </w:tc>
        <w:tc>
          <w:tcPr>
            <w:tcW w:w="436" w:type="pct"/>
            <w:tcBorders>
              <w:top w:val="nil"/>
              <w:left w:val="nil"/>
              <w:bottom w:val="single" w:sz="4" w:space="0" w:color="auto"/>
              <w:right w:val="single" w:sz="4" w:space="0" w:color="auto"/>
            </w:tcBorders>
            <w:shd w:val="clear" w:color="000000" w:fill="FFFFFF"/>
            <w:vAlign w:val="center"/>
            <w:hideMark/>
          </w:tcPr>
          <w:p w14:paraId="77173DAB" w14:textId="77777777" w:rsidR="00E91ECF" w:rsidRPr="00A52AEE" w:rsidRDefault="00E91ECF" w:rsidP="00FE68E8">
            <w:pPr>
              <w:jc w:val="right"/>
              <w:rPr>
                <w:lang w:eastAsia="en-GB"/>
              </w:rPr>
            </w:pPr>
            <w:r w:rsidRPr="00A52AEE">
              <w:rPr>
                <w:lang w:eastAsia="en-GB"/>
              </w:rPr>
              <w:t>1649</w:t>
            </w:r>
          </w:p>
        </w:tc>
        <w:tc>
          <w:tcPr>
            <w:tcW w:w="367" w:type="pct"/>
            <w:tcBorders>
              <w:top w:val="nil"/>
              <w:left w:val="nil"/>
              <w:bottom w:val="single" w:sz="4" w:space="0" w:color="auto"/>
              <w:right w:val="single" w:sz="4" w:space="0" w:color="auto"/>
            </w:tcBorders>
            <w:shd w:val="clear" w:color="000000" w:fill="FFFFFF"/>
            <w:vAlign w:val="center"/>
            <w:hideMark/>
          </w:tcPr>
          <w:p w14:paraId="51A5CFEB" w14:textId="77777777" w:rsidR="00E91ECF" w:rsidRPr="00A52AEE" w:rsidRDefault="00E91ECF" w:rsidP="00FE68E8">
            <w:pPr>
              <w:jc w:val="right"/>
              <w:rPr>
                <w:lang w:eastAsia="en-GB"/>
              </w:rPr>
            </w:pPr>
            <w:r w:rsidRPr="00A52AEE">
              <w:rPr>
                <w:lang w:eastAsia="en-GB"/>
              </w:rPr>
              <w:t>25%</w:t>
            </w:r>
          </w:p>
        </w:tc>
      </w:tr>
      <w:tr w:rsidR="000D7228" w:rsidRPr="00A52AEE" w14:paraId="33870BE5"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12C62C4B" w14:textId="77777777" w:rsidR="00E91ECF" w:rsidRPr="00A52AEE" w:rsidRDefault="00E91ECF" w:rsidP="00A52AEE">
            <w:pPr>
              <w:rPr>
                <w:lang w:eastAsia="en-GB"/>
              </w:rPr>
            </w:pPr>
            <w:r w:rsidRPr="00A52AEE">
              <w:rPr>
                <w:lang w:eastAsia="en-GB"/>
              </w:rPr>
              <w:t>Black or Black British –Caribbean</w:t>
            </w:r>
          </w:p>
        </w:tc>
        <w:tc>
          <w:tcPr>
            <w:tcW w:w="429" w:type="pct"/>
            <w:tcBorders>
              <w:top w:val="nil"/>
              <w:left w:val="nil"/>
              <w:bottom w:val="single" w:sz="4" w:space="0" w:color="auto"/>
              <w:right w:val="single" w:sz="4" w:space="0" w:color="auto"/>
            </w:tcBorders>
            <w:shd w:val="clear" w:color="000000" w:fill="FFFFFF"/>
            <w:vAlign w:val="center"/>
            <w:hideMark/>
          </w:tcPr>
          <w:p w14:paraId="579DFDF4" w14:textId="77777777" w:rsidR="00E91ECF" w:rsidRPr="00A52AEE" w:rsidRDefault="00E91ECF" w:rsidP="00FE68E8">
            <w:pPr>
              <w:jc w:val="right"/>
              <w:rPr>
                <w:lang w:eastAsia="en-GB"/>
              </w:rPr>
            </w:pPr>
            <w:r w:rsidRPr="00A52AEE">
              <w:rPr>
                <w:lang w:eastAsia="en-GB"/>
              </w:rPr>
              <w:t>9%</w:t>
            </w:r>
          </w:p>
        </w:tc>
        <w:tc>
          <w:tcPr>
            <w:tcW w:w="429" w:type="pct"/>
            <w:tcBorders>
              <w:top w:val="nil"/>
              <w:left w:val="nil"/>
              <w:bottom w:val="single" w:sz="4" w:space="0" w:color="auto"/>
              <w:right w:val="single" w:sz="4" w:space="0" w:color="auto"/>
            </w:tcBorders>
            <w:shd w:val="clear" w:color="000000" w:fill="FFFFFF"/>
            <w:vAlign w:val="center"/>
            <w:hideMark/>
          </w:tcPr>
          <w:p w14:paraId="63246922" w14:textId="77777777" w:rsidR="00E91ECF" w:rsidRPr="00A52AEE" w:rsidRDefault="00E91ECF" w:rsidP="00FE68E8">
            <w:pPr>
              <w:jc w:val="right"/>
              <w:rPr>
                <w:lang w:eastAsia="en-GB"/>
              </w:rPr>
            </w:pPr>
            <w:r w:rsidRPr="00A52AEE">
              <w:rPr>
                <w:lang w:eastAsia="en-GB"/>
              </w:rPr>
              <w:t>9%</w:t>
            </w:r>
          </w:p>
        </w:tc>
        <w:tc>
          <w:tcPr>
            <w:tcW w:w="429" w:type="pct"/>
            <w:tcBorders>
              <w:top w:val="nil"/>
              <w:left w:val="nil"/>
              <w:bottom w:val="single" w:sz="4" w:space="0" w:color="auto"/>
              <w:right w:val="single" w:sz="4" w:space="0" w:color="auto"/>
            </w:tcBorders>
            <w:shd w:val="clear" w:color="000000" w:fill="FFFFFF"/>
            <w:vAlign w:val="center"/>
            <w:hideMark/>
          </w:tcPr>
          <w:p w14:paraId="06E221FC" w14:textId="77777777" w:rsidR="00E91ECF" w:rsidRPr="00A52AEE" w:rsidRDefault="00E91ECF" w:rsidP="00FE68E8">
            <w:pPr>
              <w:jc w:val="right"/>
              <w:rPr>
                <w:lang w:eastAsia="en-GB"/>
              </w:rPr>
            </w:pPr>
            <w:r w:rsidRPr="00A52AEE">
              <w:rPr>
                <w:lang w:eastAsia="en-GB"/>
              </w:rPr>
              <w:t>9%</w:t>
            </w:r>
          </w:p>
        </w:tc>
        <w:tc>
          <w:tcPr>
            <w:tcW w:w="430" w:type="pct"/>
            <w:tcBorders>
              <w:top w:val="nil"/>
              <w:left w:val="nil"/>
              <w:bottom w:val="single" w:sz="4" w:space="0" w:color="auto"/>
              <w:right w:val="single" w:sz="4" w:space="0" w:color="auto"/>
            </w:tcBorders>
            <w:shd w:val="clear" w:color="000000" w:fill="FFFFFF"/>
            <w:vAlign w:val="center"/>
            <w:hideMark/>
          </w:tcPr>
          <w:p w14:paraId="2C3E71DA" w14:textId="77777777" w:rsidR="00E91ECF" w:rsidRPr="00A52AEE" w:rsidRDefault="00E91ECF" w:rsidP="00FE68E8">
            <w:pPr>
              <w:jc w:val="right"/>
              <w:rPr>
                <w:lang w:eastAsia="en-GB"/>
              </w:rPr>
            </w:pPr>
            <w:r w:rsidRPr="00A52AEE">
              <w:rPr>
                <w:lang w:eastAsia="en-GB"/>
              </w:rPr>
              <w:t>9%</w:t>
            </w:r>
          </w:p>
        </w:tc>
        <w:tc>
          <w:tcPr>
            <w:tcW w:w="431" w:type="pct"/>
            <w:tcBorders>
              <w:top w:val="nil"/>
              <w:left w:val="nil"/>
              <w:bottom w:val="single" w:sz="4" w:space="0" w:color="auto"/>
              <w:right w:val="single" w:sz="4" w:space="0" w:color="auto"/>
            </w:tcBorders>
            <w:shd w:val="clear" w:color="000000" w:fill="FFFFFF"/>
            <w:vAlign w:val="center"/>
            <w:hideMark/>
          </w:tcPr>
          <w:p w14:paraId="72A27F99" w14:textId="77777777" w:rsidR="00E91ECF" w:rsidRPr="00A52AEE" w:rsidRDefault="00E91ECF" w:rsidP="00FE68E8">
            <w:pPr>
              <w:jc w:val="right"/>
              <w:rPr>
                <w:lang w:eastAsia="en-GB"/>
              </w:rPr>
            </w:pPr>
            <w:r w:rsidRPr="00A52AEE">
              <w:rPr>
                <w:lang w:eastAsia="en-GB"/>
              </w:rPr>
              <w:t>9%</w:t>
            </w:r>
          </w:p>
        </w:tc>
        <w:tc>
          <w:tcPr>
            <w:tcW w:w="436" w:type="pct"/>
            <w:tcBorders>
              <w:top w:val="nil"/>
              <w:left w:val="nil"/>
              <w:bottom w:val="single" w:sz="4" w:space="0" w:color="auto"/>
              <w:right w:val="single" w:sz="4" w:space="0" w:color="auto"/>
            </w:tcBorders>
            <w:shd w:val="clear" w:color="000000" w:fill="FFFFFF"/>
            <w:vAlign w:val="center"/>
            <w:hideMark/>
          </w:tcPr>
          <w:p w14:paraId="5F0614C1" w14:textId="77777777" w:rsidR="00E91ECF" w:rsidRPr="00A52AEE" w:rsidRDefault="00E91ECF" w:rsidP="00FE68E8">
            <w:pPr>
              <w:jc w:val="right"/>
              <w:rPr>
                <w:lang w:eastAsia="en-GB"/>
              </w:rPr>
            </w:pPr>
            <w:r w:rsidRPr="00A52AEE">
              <w:rPr>
                <w:lang w:eastAsia="en-GB"/>
              </w:rPr>
              <w:t>166</w:t>
            </w:r>
          </w:p>
        </w:tc>
        <w:tc>
          <w:tcPr>
            <w:tcW w:w="367" w:type="pct"/>
            <w:tcBorders>
              <w:top w:val="nil"/>
              <w:left w:val="nil"/>
              <w:bottom w:val="single" w:sz="4" w:space="0" w:color="auto"/>
              <w:right w:val="single" w:sz="4" w:space="0" w:color="auto"/>
            </w:tcBorders>
            <w:shd w:val="clear" w:color="000000" w:fill="FFFFFF"/>
            <w:vAlign w:val="center"/>
            <w:hideMark/>
          </w:tcPr>
          <w:p w14:paraId="075719D7" w14:textId="77777777" w:rsidR="00E91ECF" w:rsidRPr="00A52AEE" w:rsidRDefault="00E91ECF" w:rsidP="00FE68E8">
            <w:pPr>
              <w:jc w:val="right"/>
              <w:rPr>
                <w:lang w:eastAsia="en-GB"/>
              </w:rPr>
            </w:pPr>
            <w:r w:rsidRPr="00A52AEE">
              <w:rPr>
                <w:lang w:eastAsia="en-GB"/>
              </w:rPr>
              <w:t>4%</w:t>
            </w:r>
          </w:p>
        </w:tc>
      </w:tr>
      <w:tr w:rsidR="000D7228" w:rsidRPr="00A52AEE" w14:paraId="492EB137"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5EE03245" w14:textId="77777777" w:rsidR="00E91ECF" w:rsidRPr="00A52AEE" w:rsidRDefault="00E91ECF" w:rsidP="00A52AEE">
            <w:pPr>
              <w:rPr>
                <w:lang w:eastAsia="en-GB"/>
              </w:rPr>
            </w:pPr>
            <w:r w:rsidRPr="00A52AEE">
              <w:rPr>
                <w:lang w:eastAsia="en-GB"/>
              </w:rPr>
              <w:t>Chinese</w:t>
            </w:r>
          </w:p>
        </w:tc>
        <w:tc>
          <w:tcPr>
            <w:tcW w:w="429" w:type="pct"/>
            <w:tcBorders>
              <w:top w:val="nil"/>
              <w:left w:val="nil"/>
              <w:bottom w:val="single" w:sz="4" w:space="0" w:color="auto"/>
              <w:right w:val="single" w:sz="4" w:space="0" w:color="auto"/>
            </w:tcBorders>
            <w:shd w:val="clear" w:color="000000" w:fill="FFFFFF"/>
            <w:vAlign w:val="center"/>
            <w:hideMark/>
          </w:tcPr>
          <w:p w14:paraId="59F5785A"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3916F521"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40C6C410" w14:textId="77777777" w:rsidR="00E91ECF" w:rsidRPr="00A52AEE" w:rsidRDefault="00E91ECF"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vAlign w:val="center"/>
            <w:hideMark/>
          </w:tcPr>
          <w:p w14:paraId="245C61D2" w14:textId="77777777" w:rsidR="00E91ECF" w:rsidRPr="00A52AEE" w:rsidRDefault="00E91ECF" w:rsidP="00FE68E8">
            <w:pPr>
              <w:jc w:val="right"/>
              <w:rPr>
                <w:lang w:eastAsia="en-GB"/>
              </w:rPr>
            </w:pPr>
            <w:r w:rsidRPr="00A52AEE">
              <w:rPr>
                <w:lang w:eastAsia="en-GB"/>
              </w:rPr>
              <w:t>1%</w:t>
            </w:r>
          </w:p>
        </w:tc>
        <w:tc>
          <w:tcPr>
            <w:tcW w:w="431" w:type="pct"/>
            <w:tcBorders>
              <w:top w:val="nil"/>
              <w:left w:val="nil"/>
              <w:bottom w:val="single" w:sz="4" w:space="0" w:color="auto"/>
              <w:right w:val="single" w:sz="4" w:space="0" w:color="auto"/>
            </w:tcBorders>
            <w:shd w:val="clear" w:color="000000" w:fill="FFFFFF"/>
            <w:vAlign w:val="center"/>
            <w:hideMark/>
          </w:tcPr>
          <w:p w14:paraId="07217E20" w14:textId="77777777" w:rsidR="00E91ECF" w:rsidRPr="00A52AEE" w:rsidRDefault="00E91ECF" w:rsidP="00FE68E8">
            <w:pPr>
              <w:jc w:val="right"/>
              <w:rPr>
                <w:lang w:eastAsia="en-GB"/>
              </w:rPr>
            </w:pPr>
            <w:r w:rsidRPr="00A52AEE">
              <w:rPr>
                <w:lang w:eastAsia="en-GB"/>
              </w:rPr>
              <w:t>1%</w:t>
            </w:r>
          </w:p>
        </w:tc>
        <w:tc>
          <w:tcPr>
            <w:tcW w:w="436" w:type="pct"/>
            <w:tcBorders>
              <w:top w:val="nil"/>
              <w:left w:val="nil"/>
              <w:bottom w:val="single" w:sz="4" w:space="0" w:color="auto"/>
              <w:right w:val="single" w:sz="4" w:space="0" w:color="auto"/>
            </w:tcBorders>
            <w:shd w:val="clear" w:color="000000" w:fill="FFFFFF"/>
            <w:vAlign w:val="center"/>
            <w:hideMark/>
          </w:tcPr>
          <w:p w14:paraId="2AF03405" w14:textId="77777777" w:rsidR="00E91ECF" w:rsidRPr="00A52AEE" w:rsidRDefault="00E91ECF" w:rsidP="00FE68E8">
            <w:pPr>
              <w:jc w:val="right"/>
              <w:rPr>
                <w:lang w:eastAsia="en-GB"/>
              </w:rPr>
            </w:pPr>
            <w:r w:rsidRPr="00A52AEE">
              <w:rPr>
                <w:lang w:eastAsia="en-GB"/>
              </w:rPr>
              <w:t>-102</w:t>
            </w:r>
          </w:p>
        </w:tc>
        <w:tc>
          <w:tcPr>
            <w:tcW w:w="367" w:type="pct"/>
            <w:tcBorders>
              <w:top w:val="nil"/>
              <w:left w:val="nil"/>
              <w:bottom w:val="single" w:sz="4" w:space="0" w:color="auto"/>
              <w:right w:val="single" w:sz="4" w:space="0" w:color="auto"/>
            </w:tcBorders>
            <w:shd w:val="clear" w:color="000000" w:fill="FFFFFF"/>
            <w:vAlign w:val="center"/>
            <w:hideMark/>
          </w:tcPr>
          <w:p w14:paraId="5C08659A" w14:textId="77777777" w:rsidR="00E91ECF" w:rsidRPr="00A52AEE" w:rsidRDefault="00E91ECF" w:rsidP="00FE68E8">
            <w:pPr>
              <w:jc w:val="right"/>
              <w:rPr>
                <w:lang w:eastAsia="en-GB"/>
              </w:rPr>
            </w:pPr>
            <w:r w:rsidRPr="00A52AEE">
              <w:rPr>
                <w:lang w:eastAsia="en-GB"/>
              </w:rPr>
              <w:t>-22%</w:t>
            </w:r>
          </w:p>
        </w:tc>
      </w:tr>
      <w:tr w:rsidR="000D7228" w:rsidRPr="00A52AEE" w14:paraId="37C2B1D9"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1F5176E1" w14:textId="77777777" w:rsidR="00E91ECF" w:rsidRPr="00A52AEE" w:rsidRDefault="00E91ECF" w:rsidP="00A52AEE">
            <w:pPr>
              <w:rPr>
                <w:lang w:eastAsia="en-GB"/>
              </w:rPr>
            </w:pPr>
            <w:r w:rsidRPr="00A52AEE">
              <w:rPr>
                <w:lang w:eastAsia="en-GB"/>
              </w:rPr>
              <w:t>Mixed - White and Asian</w:t>
            </w:r>
          </w:p>
        </w:tc>
        <w:tc>
          <w:tcPr>
            <w:tcW w:w="429" w:type="pct"/>
            <w:tcBorders>
              <w:top w:val="nil"/>
              <w:left w:val="nil"/>
              <w:bottom w:val="single" w:sz="4" w:space="0" w:color="auto"/>
              <w:right w:val="single" w:sz="4" w:space="0" w:color="auto"/>
            </w:tcBorders>
            <w:shd w:val="clear" w:color="000000" w:fill="FFFFFF"/>
            <w:vAlign w:val="center"/>
            <w:hideMark/>
          </w:tcPr>
          <w:p w14:paraId="134A5ECC"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27236F69"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1575C492" w14:textId="77777777" w:rsidR="00E91ECF" w:rsidRPr="00A52AEE" w:rsidRDefault="00E91ECF"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vAlign w:val="center"/>
            <w:hideMark/>
          </w:tcPr>
          <w:p w14:paraId="6202DC12" w14:textId="77777777" w:rsidR="00E91ECF" w:rsidRPr="00A52AEE" w:rsidRDefault="00E91ECF" w:rsidP="00FE68E8">
            <w:pPr>
              <w:jc w:val="right"/>
              <w:rPr>
                <w:lang w:eastAsia="en-GB"/>
              </w:rPr>
            </w:pPr>
            <w:r w:rsidRPr="00A52AEE">
              <w:rPr>
                <w:lang w:eastAsia="en-GB"/>
              </w:rPr>
              <w:t>1%</w:t>
            </w:r>
          </w:p>
        </w:tc>
        <w:tc>
          <w:tcPr>
            <w:tcW w:w="431" w:type="pct"/>
            <w:tcBorders>
              <w:top w:val="nil"/>
              <w:left w:val="nil"/>
              <w:bottom w:val="single" w:sz="4" w:space="0" w:color="auto"/>
              <w:right w:val="single" w:sz="4" w:space="0" w:color="auto"/>
            </w:tcBorders>
            <w:shd w:val="clear" w:color="000000" w:fill="FFFFFF"/>
            <w:vAlign w:val="center"/>
            <w:hideMark/>
          </w:tcPr>
          <w:p w14:paraId="22C17FDF" w14:textId="77777777" w:rsidR="00E91ECF" w:rsidRPr="00A52AEE" w:rsidRDefault="00E91ECF" w:rsidP="00FE68E8">
            <w:pPr>
              <w:jc w:val="right"/>
              <w:rPr>
                <w:lang w:eastAsia="en-GB"/>
              </w:rPr>
            </w:pPr>
            <w:r w:rsidRPr="00A52AEE">
              <w:rPr>
                <w:lang w:eastAsia="en-GB"/>
              </w:rPr>
              <w:t>1%</w:t>
            </w:r>
          </w:p>
        </w:tc>
        <w:tc>
          <w:tcPr>
            <w:tcW w:w="436" w:type="pct"/>
            <w:tcBorders>
              <w:top w:val="nil"/>
              <w:left w:val="nil"/>
              <w:bottom w:val="single" w:sz="4" w:space="0" w:color="auto"/>
              <w:right w:val="single" w:sz="4" w:space="0" w:color="auto"/>
            </w:tcBorders>
            <w:shd w:val="clear" w:color="000000" w:fill="FFFFFF"/>
            <w:vAlign w:val="center"/>
            <w:hideMark/>
          </w:tcPr>
          <w:p w14:paraId="745365FA" w14:textId="77777777" w:rsidR="00E91ECF" w:rsidRPr="00A52AEE" w:rsidRDefault="00E91ECF" w:rsidP="00FE68E8">
            <w:pPr>
              <w:jc w:val="right"/>
              <w:rPr>
                <w:lang w:eastAsia="en-GB"/>
              </w:rPr>
            </w:pPr>
            <w:r w:rsidRPr="00A52AEE">
              <w:rPr>
                <w:lang w:eastAsia="en-GB"/>
              </w:rPr>
              <w:t>127</w:t>
            </w:r>
          </w:p>
        </w:tc>
        <w:tc>
          <w:tcPr>
            <w:tcW w:w="367" w:type="pct"/>
            <w:tcBorders>
              <w:top w:val="nil"/>
              <w:left w:val="nil"/>
              <w:bottom w:val="single" w:sz="4" w:space="0" w:color="auto"/>
              <w:right w:val="single" w:sz="4" w:space="0" w:color="auto"/>
            </w:tcBorders>
            <w:shd w:val="clear" w:color="000000" w:fill="FFFFFF"/>
            <w:vAlign w:val="center"/>
            <w:hideMark/>
          </w:tcPr>
          <w:p w14:paraId="3E7C0B1A" w14:textId="77777777" w:rsidR="00E91ECF" w:rsidRPr="00A52AEE" w:rsidRDefault="00E91ECF" w:rsidP="00FE68E8">
            <w:pPr>
              <w:jc w:val="right"/>
              <w:rPr>
                <w:lang w:eastAsia="en-GB"/>
              </w:rPr>
            </w:pPr>
            <w:r w:rsidRPr="00A52AEE">
              <w:rPr>
                <w:lang w:eastAsia="en-GB"/>
              </w:rPr>
              <w:t>34%</w:t>
            </w:r>
          </w:p>
        </w:tc>
      </w:tr>
      <w:tr w:rsidR="000D7228" w:rsidRPr="00A52AEE" w14:paraId="5BD3694B"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432D9DA9" w14:textId="77777777" w:rsidR="00E91ECF" w:rsidRPr="00A52AEE" w:rsidRDefault="00E91ECF" w:rsidP="00A52AEE">
            <w:pPr>
              <w:rPr>
                <w:lang w:eastAsia="en-GB"/>
              </w:rPr>
            </w:pPr>
            <w:r w:rsidRPr="00A52AEE">
              <w:rPr>
                <w:lang w:eastAsia="en-GB"/>
              </w:rPr>
              <w:t>Mixed - White and Black African</w:t>
            </w:r>
          </w:p>
        </w:tc>
        <w:tc>
          <w:tcPr>
            <w:tcW w:w="429" w:type="pct"/>
            <w:tcBorders>
              <w:top w:val="nil"/>
              <w:left w:val="nil"/>
              <w:bottom w:val="single" w:sz="4" w:space="0" w:color="auto"/>
              <w:right w:val="single" w:sz="4" w:space="0" w:color="auto"/>
            </w:tcBorders>
            <w:shd w:val="clear" w:color="000000" w:fill="FFFFFF"/>
            <w:vAlign w:val="center"/>
            <w:hideMark/>
          </w:tcPr>
          <w:p w14:paraId="48062F57"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3052F95E" w14:textId="77777777" w:rsidR="00E91ECF" w:rsidRPr="00A52AEE" w:rsidRDefault="00E91ECF" w:rsidP="00FE68E8">
            <w:pPr>
              <w:jc w:val="right"/>
              <w:rPr>
                <w:lang w:eastAsia="en-GB"/>
              </w:rPr>
            </w:pPr>
            <w:r w:rsidRPr="00A52AEE">
              <w:rPr>
                <w:lang w:eastAsia="en-GB"/>
              </w:rPr>
              <w:t>1%</w:t>
            </w:r>
          </w:p>
        </w:tc>
        <w:tc>
          <w:tcPr>
            <w:tcW w:w="429" w:type="pct"/>
            <w:tcBorders>
              <w:top w:val="nil"/>
              <w:left w:val="nil"/>
              <w:bottom w:val="single" w:sz="4" w:space="0" w:color="auto"/>
              <w:right w:val="single" w:sz="4" w:space="0" w:color="auto"/>
            </w:tcBorders>
            <w:shd w:val="clear" w:color="000000" w:fill="FFFFFF"/>
            <w:vAlign w:val="center"/>
            <w:hideMark/>
          </w:tcPr>
          <w:p w14:paraId="7A35600A" w14:textId="77777777" w:rsidR="00E91ECF" w:rsidRPr="00A52AEE" w:rsidRDefault="00E91ECF" w:rsidP="00FE68E8">
            <w:pPr>
              <w:jc w:val="right"/>
              <w:rPr>
                <w:lang w:eastAsia="en-GB"/>
              </w:rPr>
            </w:pPr>
            <w:r w:rsidRPr="00A52AEE">
              <w:rPr>
                <w:lang w:eastAsia="en-GB"/>
              </w:rPr>
              <w:t>1%</w:t>
            </w:r>
          </w:p>
        </w:tc>
        <w:tc>
          <w:tcPr>
            <w:tcW w:w="430" w:type="pct"/>
            <w:tcBorders>
              <w:top w:val="nil"/>
              <w:left w:val="nil"/>
              <w:bottom w:val="single" w:sz="4" w:space="0" w:color="auto"/>
              <w:right w:val="single" w:sz="4" w:space="0" w:color="auto"/>
            </w:tcBorders>
            <w:shd w:val="clear" w:color="000000" w:fill="FFFFFF"/>
            <w:vAlign w:val="center"/>
            <w:hideMark/>
          </w:tcPr>
          <w:p w14:paraId="6CB2581D" w14:textId="77777777" w:rsidR="00E91ECF" w:rsidRPr="00A52AEE" w:rsidRDefault="00E91ECF" w:rsidP="00FE68E8">
            <w:pPr>
              <w:jc w:val="right"/>
              <w:rPr>
                <w:lang w:eastAsia="en-GB"/>
              </w:rPr>
            </w:pPr>
            <w:r w:rsidRPr="00A52AEE">
              <w:rPr>
                <w:lang w:eastAsia="en-GB"/>
              </w:rPr>
              <w:t>1%</w:t>
            </w:r>
          </w:p>
        </w:tc>
        <w:tc>
          <w:tcPr>
            <w:tcW w:w="431" w:type="pct"/>
            <w:tcBorders>
              <w:top w:val="nil"/>
              <w:left w:val="nil"/>
              <w:bottom w:val="single" w:sz="4" w:space="0" w:color="auto"/>
              <w:right w:val="single" w:sz="4" w:space="0" w:color="auto"/>
            </w:tcBorders>
            <w:shd w:val="clear" w:color="000000" w:fill="FFFFFF"/>
            <w:vAlign w:val="center"/>
            <w:hideMark/>
          </w:tcPr>
          <w:p w14:paraId="10EB53BD" w14:textId="77777777" w:rsidR="00E91ECF" w:rsidRPr="00A52AEE" w:rsidRDefault="00E91ECF" w:rsidP="00FE68E8">
            <w:pPr>
              <w:jc w:val="right"/>
              <w:rPr>
                <w:lang w:eastAsia="en-GB"/>
              </w:rPr>
            </w:pPr>
            <w:r w:rsidRPr="00A52AEE">
              <w:rPr>
                <w:lang w:eastAsia="en-GB"/>
              </w:rPr>
              <w:t>1%</w:t>
            </w:r>
          </w:p>
        </w:tc>
        <w:tc>
          <w:tcPr>
            <w:tcW w:w="436" w:type="pct"/>
            <w:tcBorders>
              <w:top w:val="nil"/>
              <w:left w:val="nil"/>
              <w:bottom w:val="single" w:sz="4" w:space="0" w:color="auto"/>
              <w:right w:val="single" w:sz="4" w:space="0" w:color="auto"/>
            </w:tcBorders>
            <w:shd w:val="clear" w:color="000000" w:fill="FFFFFF"/>
            <w:vAlign w:val="center"/>
            <w:hideMark/>
          </w:tcPr>
          <w:p w14:paraId="2EF82F3C" w14:textId="77777777" w:rsidR="00E91ECF" w:rsidRPr="00A52AEE" w:rsidRDefault="00E91ECF" w:rsidP="00FE68E8">
            <w:pPr>
              <w:jc w:val="right"/>
              <w:rPr>
                <w:lang w:eastAsia="en-GB"/>
              </w:rPr>
            </w:pPr>
            <w:r w:rsidRPr="00A52AEE">
              <w:rPr>
                <w:lang w:eastAsia="en-GB"/>
              </w:rPr>
              <w:t>158</w:t>
            </w:r>
          </w:p>
        </w:tc>
        <w:tc>
          <w:tcPr>
            <w:tcW w:w="367" w:type="pct"/>
            <w:tcBorders>
              <w:top w:val="nil"/>
              <w:left w:val="nil"/>
              <w:bottom w:val="single" w:sz="4" w:space="0" w:color="auto"/>
              <w:right w:val="single" w:sz="4" w:space="0" w:color="auto"/>
            </w:tcBorders>
            <w:shd w:val="clear" w:color="000000" w:fill="FFFFFF"/>
            <w:vAlign w:val="center"/>
            <w:hideMark/>
          </w:tcPr>
          <w:p w14:paraId="0238E5C5" w14:textId="77777777" w:rsidR="00E91ECF" w:rsidRPr="00A52AEE" w:rsidRDefault="00E91ECF" w:rsidP="00FE68E8">
            <w:pPr>
              <w:jc w:val="right"/>
              <w:rPr>
                <w:lang w:eastAsia="en-GB"/>
              </w:rPr>
            </w:pPr>
            <w:r w:rsidRPr="00A52AEE">
              <w:rPr>
                <w:lang w:eastAsia="en-GB"/>
              </w:rPr>
              <w:t>33%</w:t>
            </w:r>
          </w:p>
        </w:tc>
      </w:tr>
      <w:tr w:rsidR="000D7228" w:rsidRPr="00A52AEE" w14:paraId="358B56E4"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587B3AF6" w14:textId="77777777" w:rsidR="00E91ECF" w:rsidRPr="00A52AEE" w:rsidRDefault="00E91ECF" w:rsidP="00A52AEE">
            <w:pPr>
              <w:rPr>
                <w:lang w:eastAsia="en-GB"/>
              </w:rPr>
            </w:pPr>
            <w:r w:rsidRPr="00A52AEE">
              <w:rPr>
                <w:lang w:eastAsia="en-GB"/>
              </w:rPr>
              <w:t>Mixed - White and Black Caribbean</w:t>
            </w:r>
          </w:p>
        </w:tc>
        <w:tc>
          <w:tcPr>
            <w:tcW w:w="429" w:type="pct"/>
            <w:tcBorders>
              <w:top w:val="nil"/>
              <w:left w:val="nil"/>
              <w:bottom w:val="single" w:sz="4" w:space="0" w:color="auto"/>
              <w:right w:val="single" w:sz="4" w:space="0" w:color="auto"/>
            </w:tcBorders>
            <w:shd w:val="clear" w:color="000000" w:fill="FFFFFF"/>
            <w:vAlign w:val="center"/>
            <w:hideMark/>
          </w:tcPr>
          <w:p w14:paraId="0A91E29C"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19AF3C16"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72A0E16B" w14:textId="77777777" w:rsidR="00E91ECF" w:rsidRPr="00A52AEE" w:rsidRDefault="00E91ECF"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vAlign w:val="center"/>
            <w:hideMark/>
          </w:tcPr>
          <w:p w14:paraId="20F4C660" w14:textId="77777777" w:rsidR="00E91ECF" w:rsidRPr="00A52AEE" w:rsidRDefault="00E91ECF" w:rsidP="00FE68E8">
            <w:pPr>
              <w:jc w:val="right"/>
              <w:rPr>
                <w:lang w:eastAsia="en-GB"/>
              </w:rPr>
            </w:pPr>
            <w:r w:rsidRPr="00A52AEE">
              <w:rPr>
                <w:lang w:eastAsia="en-GB"/>
              </w:rPr>
              <w:t>2%</w:t>
            </w:r>
          </w:p>
        </w:tc>
        <w:tc>
          <w:tcPr>
            <w:tcW w:w="431" w:type="pct"/>
            <w:tcBorders>
              <w:top w:val="nil"/>
              <w:left w:val="nil"/>
              <w:bottom w:val="single" w:sz="4" w:space="0" w:color="auto"/>
              <w:right w:val="single" w:sz="4" w:space="0" w:color="auto"/>
            </w:tcBorders>
            <w:shd w:val="clear" w:color="000000" w:fill="FFFFFF"/>
            <w:vAlign w:val="center"/>
            <w:hideMark/>
          </w:tcPr>
          <w:p w14:paraId="696B1821" w14:textId="77777777" w:rsidR="00E91ECF" w:rsidRPr="00A52AEE" w:rsidRDefault="00E91ECF" w:rsidP="00FE68E8">
            <w:pPr>
              <w:jc w:val="right"/>
              <w:rPr>
                <w:lang w:eastAsia="en-GB"/>
              </w:rPr>
            </w:pPr>
            <w:r w:rsidRPr="00A52AEE">
              <w:rPr>
                <w:lang w:eastAsia="en-GB"/>
              </w:rPr>
              <w:t>2%</w:t>
            </w:r>
          </w:p>
        </w:tc>
        <w:tc>
          <w:tcPr>
            <w:tcW w:w="436" w:type="pct"/>
            <w:tcBorders>
              <w:top w:val="nil"/>
              <w:left w:val="nil"/>
              <w:bottom w:val="single" w:sz="4" w:space="0" w:color="auto"/>
              <w:right w:val="single" w:sz="4" w:space="0" w:color="auto"/>
            </w:tcBorders>
            <w:shd w:val="clear" w:color="000000" w:fill="FFFFFF"/>
            <w:vAlign w:val="center"/>
            <w:hideMark/>
          </w:tcPr>
          <w:p w14:paraId="4C89A03A" w14:textId="77777777" w:rsidR="00E91ECF" w:rsidRPr="00A52AEE" w:rsidRDefault="00E91ECF" w:rsidP="00FE68E8">
            <w:pPr>
              <w:jc w:val="right"/>
              <w:rPr>
                <w:lang w:eastAsia="en-GB"/>
              </w:rPr>
            </w:pPr>
            <w:r w:rsidRPr="00A52AEE">
              <w:rPr>
                <w:lang w:eastAsia="en-GB"/>
              </w:rPr>
              <w:t>294</w:t>
            </w:r>
          </w:p>
        </w:tc>
        <w:tc>
          <w:tcPr>
            <w:tcW w:w="367" w:type="pct"/>
            <w:tcBorders>
              <w:top w:val="nil"/>
              <w:left w:val="nil"/>
              <w:bottom w:val="single" w:sz="4" w:space="0" w:color="auto"/>
              <w:right w:val="single" w:sz="4" w:space="0" w:color="auto"/>
            </w:tcBorders>
            <w:shd w:val="clear" w:color="000000" w:fill="FFFFFF"/>
            <w:vAlign w:val="center"/>
            <w:hideMark/>
          </w:tcPr>
          <w:p w14:paraId="56D49CAC" w14:textId="77777777" w:rsidR="00E91ECF" w:rsidRPr="00A52AEE" w:rsidRDefault="00E91ECF" w:rsidP="00FE68E8">
            <w:pPr>
              <w:jc w:val="right"/>
              <w:rPr>
                <w:lang w:eastAsia="en-GB"/>
              </w:rPr>
            </w:pPr>
            <w:r w:rsidRPr="00A52AEE">
              <w:rPr>
                <w:lang w:eastAsia="en-GB"/>
              </w:rPr>
              <w:t>36%</w:t>
            </w:r>
          </w:p>
        </w:tc>
      </w:tr>
      <w:tr w:rsidR="000D7228" w:rsidRPr="00A52AEE" w14:paraId="4954803C"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3D912B97" w14:textId="18F57437" w:rsidR="00E91ECF" w:rsidRPr="00A52AEE" w:rsidRDefault="00561FE7" w:rsidP="00A52AEE">
            <w:pPr>
              <w:rPr>
                <w:lang w:eastAsia="en-GB"/>
              </w:rPr>
            </w:pPr>
            <w:r w:rsidRPr="00A52AEE">
              <w:rPr>
                <w:lang w:eastAsia="en-GB"/>
              </w:rPr>
              <w:t>N</w:t>
            </w:r>
            <w:r w:rsidR="00E91ECF" w:rsidRPr="00A52AEE">
              <w:rPr>
                <w:lang w:eastAsia="en-GB"/>
              </w:rPr>
              <w:t>ot known/not provided</w:t>
            </w:r>
          </w:p>
        </w:tc>
        <w:tc>
          <w:tcPr>
            <w:tcW w:w="429" w:type="pct"/>
            <w:tcBorders>
              <w:top w:val="nil"/>
              <w:left w:val="nil"/>
              <w:bottom w:val="single" w:sz="4" w:space="0" w:color="auto"/>
              <w:right w:val="single" w:sz="4" w:space="0" w:color="auto"/>
            </w:tcBorders>
            <w:shd w:val="clear" w:color="000000" w:fill="FFFFFF"/>
            <w:vAlign w:val="center"/>
            <w:hideMark/>
          </w:tcPr>
          <w:p w14:paraId="054213A1" w14:textId="77777777" w:rsidR="00E91ECF" w:rsidRPr="00A52AEE" w:rsidRDefault="00E91ECF" w:rsidP="00FE68E8">
            <w:pPr>
              <w:jc w:val="right"/>
              <w:rPr>
                <w:lang w:eastAsia="en-GB"/>
              </w:rPr>
            </w:pPr>
            <w:r w:rsidRPr="00A52AEE">
              <w:rPr>
                <w:lang w:eastAsia="en-GB"/>
              </w:rPr>
              <w:t>3%</w:t>
            </w:r>
          </w:p>
        </w:tc>
        <w:tc>
          <w:tcPr>
            <w:tcW w:w="429" w:type="pct"/>
            <w:tcBorders>
              <w:top w:val="nil"/>
              <w:left w:val="nil"/>
              <w:bottom w:val="single" w:sz="4" w:space="0" w:color="auto"/>
              <w:right w:val="single" w:sz="4" w:space="0" w:color="auto"/>
            </w:tcBorders>
            <w:shd w:val="clear" w:color="000000" w:fill="FFFFFF"/>
            <w:vAlign w:val="center"/>
            <w:hideMark/>
          </w:tcPr>
          <w:p w14:paraId="52F7BDCF" w14:textId="77777777" w:rsidR="00E91ECF" w:rsidRPr="00A52AEE" w:rsidRDefault="00E91ECF" w:rsidP="00FE68E8">
            <w:pPr>
              <w:jc w:val="right"/>
              <w:rPr>
                <w:lang w:eastAsia="en-GB"/>
              </w:rPr>
            </w:pPr>
            <w:r w:rsidRPr="00A52AEE">
              <w:rPr>
                <w:lang w:eastAsia="en-GB"/>
              </w:rPr>
              <w:t>3%</w:t>
            </w:r>
          </w:p>
        </w:tc>
        <w:tc>
          <w:tcPr>
            <w:tcW w:w="429" w:type="pct"/>
            <w:tcBorders>
              <w:top w:val="nil"/>
              <w:left w:val="nil"/>
              <w:bottom w:val="single" w:sz="4" w:space="0" w:color="auto"/>
              <w:right w:val="single" w:sz="4" w:space="0" w:color="auto"/>
            </w:tcBorders>
            <w:shd w:val="clear" w:color="000000" w:fill="FFFFFF"/>
            <w:vAlign w:val="center"/>
            <w:hideMark/>
          </w:tcPr>
          <w:p w14:paraId="0539A27E" w14:textId="77777777" w:rsidR="00E91ECF" w:rsidRPr="00A52AEE" w:rsidRDefault="00E91ECF"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vAlign w:val="center"/>
            <w:hideMark/>
          </w:tcPr>
          <w:p w14:paraId="0F1B6BA8" w14:textId="77777777" w:rsidR="00E91ECF" w:rsidRPr="00A52AEE" w:rsidRDefault="00E91ECF" w:rsidP="00FE68E8">
            <w:pPr>
              <w:jc w:val="right"/>
              <w:rPr>
                <w:lang w:eastAsia="en-GB"/>
              </w:rPr>
            </w:pPr>
            <w:r w:rsidRPr="00A52AEE">
              <w:rPr>
                <w:lang w:eastAsia="en-GB"/>
              </w:rPr>
              <w:t>1%</w:t>
            </w:r>
          </w:p>
        </w:tc>
        <w:tc>
          <w:tcPr>
            <w:tcW w:w="431" w:type="pct"/>
            <w:tcBorders>
              <w:top w:val="nil"/>
              <w:left w:val="nil"/>
              <w:bottom w:val="single" w:sz="4" w:space="0" w:color="auto"/>
              <w:right w:val="single" w:sz="4" w:space="0" w:color="auto"/>
            </w:tcBorders>
            <w:shd w:val="clear" w:color="000000" w:fill="FFFFFF"/>
            <w:vAlign w:val="center"/>
            <w:hideMark/>
          </w:tcPr>
          <w:p w14:paraId="29FDC222" w14:textId="77777777" w:rsidR="00E91ECF" w:rsidRPr="00A52AEE" w:rsidRDefault="00E91ECF" w:rsidP="00FE68E8">
            <w:pPr>
              <w:jc w:val="right"/>
              <w:rPr>
                <w:lang w:eastAsia="en-GB"/>
              </w:rPr>
            </w:pPr>
            <w:r w:rsidRPr="00A52AEE">
              <w:rPr>
                <w:lang w:eastAsia="en-GB"/>
              </w:rPr>
              <w:t>1%</w:t>
            </w:r>
          </w:p>
        </w:tc>
        <w:tc>
          <w:tcPr>
            <w:tcW w:w="436" w:type="pct"/>
            <w:tcBorders>
              <w:top w:val="nil"/>
              <w:left w:val="nil"/>
              <w:bottom w:val="single" w:sz="4" w:space="0" w:color="auto"/>
              <w:right w:val="single" w:sz="4" w:space="0" w:color="auto"/>
            </w:tcBorders>
            <w:shd w:val="clear" w:color="000000" w:fill="FFFFFF"/>
            <w:vAlign w:val="center"/>
            <w:hideMark/>
          </w:tcPr>
          <w:p w14:paraId="070D4B60" w14:textId="77777777" w:rsidR="00E91ECF" w:rsidRPr="00A52AEE" w:rsidRDefault="00E91ECF" w:rsidP="00FE68E8">
            <w:pPr>
              <w:jc w:val="right"/>
              <w:rPr>
                <w:lang w:eastAsia="en-GB"/>
              </w:rPr>
            </w:pPr>
            <w:r w:rsidRPr="00A52AEE">
              <w:rPr>
                <w:lang w:eastAsia="en-GB"/>
              </w:rPr>
              <w:t>-598</w:t>
            </w:r>
          </w:p>
        </w:tc>
        <w:tc>
          <w:tcPr>
            <w:tcW w:w="367" w:type="pct"/>
            <w:tcBorders>
              <w:top w:val="nil"/>
              <w:left w:val="nil"/>
              <w:bottom w:val="single" w:sz="4" w:space="0" w:color="auto"/>
              <w:right w:val="single" w:sz="4" w:space="0" w:color="auto"/>
            </w:tcBorders>
            <w:shd w:val="clear" w:color="000000" w:fill="FFFFFF"/>
            <w:vAlign w:val="center"/>
            <w:hideMark/>
          </w:tcPr>
          <w:p w14:paraId="24115E1F" w14:textId="77777777" w:rsidR="00E91ECF" w:rsidRPr="00A52AEE" w:rsidRDefault="00E91ECF" w:rsidP="00FE68E8">
            <w:pPr>
              <w:jc w:val="right"/>
              <w:rPr>
                <w:lang w:eastAsia="en-GB"/>
              </w:rPr>
            </w:pPr>
            <w:r w:rsidRPr="00A52AEE">
              <w:rPr>
                <w:lang w:eastAsia="en-GB"/>
              </w:rPr>
              <w:t>-55%</w:t>
            </w:r>
          </w:p>
        </w:tc>
      </w:tr>
      <w:tr w:rsidR="000D7228" w:rsidRPr="00A52AEE" w14:paraId="104408F4"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49C867BF" w14:textId="77777777" w:rsidR="00E91ECF" w:rsidRPr="00A52AEE" w:rsidRDefault="00E91ECF" w:rsidP="00A52AEE">
            <w:pPr>
              <w:rPr>
                <w:lang w:eastAsia="en-GB"/>
              </w:rPr>
            </w:pPr>
            <w:r w:rsidRPr="00A52AEE">
              <w:rPr>
                <w:lang w:eastAsia="en-GB"/>
              </w:rPr>
              <w:t>White - any other White background</w:t>
            </w:r>
          </w:p>
        </w:tc>
        <w:tc>
          <w:tcPr>
            <w:tcW w:w="429" w:type="pct"/>
            <w:tcBorders>
              <w:top w:val="nil"/>
              <w:left w:val="nil"/>
              <w:bottom w:val="single" w:sz="4" w:space="0" w:color="auto"/>
              <w:right w:val="single" w:sz="4" w:space="0" w:color="auto"/>
            </w:tcBorders>
            <w:shd w:val="clear" w:color="000000" w:fill="FFFFFF"/>
            <w:vAlign w:val="center"/>
            <w:hideMark/>
          </w:tcPr>
          <w:p w14:paraId="2840DE15" w14:textId="77777777" w:rsidR="00E91ECF" w:rsidRPr="00A52AEE" w:rsidRDefault="00E91ECF" w:rsidP="00FE68E8">
            <w:pPr>
              <w:jc w:val="right"/>
              <w:rPr>
                <w:lang w:eastAsia="en-GB"/>
              </w:rPr>
            </w:pPr>
            <w:r w:rsidRPr="00A52AEE">
              <w:rPr>
                <w:lang w:eastAsia="en-GB"/>
              </w:rPr>
              <w:t>8%</w:t>
            </w:r>
          </w:p>
        </w:tc>
        <w:tc>
          <w:tcPr>
            <w:tcW w:w="429" w:type="pct"/>
            <w:tcBorders>
              <w:top w:val="nil"/>
              <w:left w:val="nil"/>
              <w:bottom w:val="single" w:sz="4" w:space="0" w:color="auto"/>
              <w:right w:val="single" w:sz="4" w:space="0" w:color="auto"/>
            </w:tcBorders>
            <w:shd w:val="clear" w:color="000000" w:fill="FFFFFF"/>
            <w:vAlign w:val="center"/>
            <w:hideMark/>
          </w:tcPr>
          <w:p w14:paraId="5B94A158" w14:textId="77777777" w:rsidR="00E91ECF" w:rsidRPr="00A52AEE" w:rsidRDefault="00E91ECF" w:rsidP="00FE68E8">
            <w:pPr>
              <w:jc w:val="right"/>
              <w:rPr>
                <w:lang w:eastAsia="en-GB"/>
              </w:rPr>
            </w:pPr>
            <w:r w:rsidRPr="00A52AEE">
              <w:rPr>
                <w:lang w:eastAsia="en-GB"/>
              </w:rPr>
              <w:t>9%</w:t>
            </w:r>
          </w:p>
        </w:tc>
        <w:tc>
          <w:tcPr>
            <w:tcW w:w="429" w:type="pct"/>
            <w:tcBorders>
              <w:top w:val="nil"/>
              <w:left w:val="nil"/>
              <w:bottom w:val="single" w:sz="4" w:space="0" w:color="auto"/>
              <w:right w:val="single" w:sz="4" w:space="0" w:color="auto"/>
            </w:tcBorders>
            <w:shd w:val="clear" w:color="000000" w:fill="FFFFFF"/>
            <w:vAlign w:val="center"/>
            <w:hideMark/>
          </w:tcPr>
          <w:p w14:paraId="6FFEA560" w14:textId="77777777" w:rsidR="00E91ECF" w:rsidRPr="00A52AEE" w:rsidRDefault="00E91ECF" w:rsidP="00FE68E8">
            <w:pPr>
              <w:jc w:val="right"/>
              <w:rPr>
                <w:lang w:eastAsia="en-GB"/>
              </w:rPr>
            </w:pPr>
            <w:r w:rsidRPr="00A52AEE">
              <w:rPr>
                <w:lang w:eastAsia="en-GB"/>
              </w:rPr>
              <w:t>9%</w:t>
            </w:r>
          </w:p>
        </w:tc>
        <w:tc>
          <w:tcPr>
            <w:tcW w:w="430" w:type="pct"/>
            <w:tcBorders>
              <w:top w:val="nil"/>
              <w:left w:val="nil"/>
              <w:bottom w:val="single" w:sz="4" w:space="0" w:color="auto"/>
              <w:right w:val="single" w:sz="4" w:space="0" w:color="auto"/>
            </w:tcBorders>
            <w:shd w:val="clear" w:color="000000" w:fill="FFFFFF"/>
            <w:vAlign w:val="center"/>
            <w:hideMark/>
          </w:tcPr>
          <w:p w14:paraId="171B501C" w14:textId="77777777" w:rsidR="00E91ECF" w:rsidRPr="00A52AEE" w:rsidRDefault="00E91ECF" w:rsidP="00FE68E8">
            <w:pPr>
              <w:jc w:val="right"/>
              <w:rPr>
                <w:lang w:eastAsia="en-GB"/>
              </w:rPr>
            </w:pPr>
            <w:r w:rsidRPr="00A52AEE">
              <w:rPr>
                <w:lang w:eastAsia="en-GB"/>
              </w:rPr>
              <w:t>10%</w:t>
            </w:r>
          </w:p>
        </w:tc>
        <w:tc>
          <w:tcPr>
            <w:tcW w:w="431" w:type="pct"/>
            <w:tcBorders>
              <w:top w:val="nil"/>
              <w:left w:val="nil"/>
              <w:bottom w:val="single" w:sz="4" w:space="0" w:color="auto"/>
              <w:right w:val="single" w:sz="4" w:space="0" w:color="auto"/>
            </w:tcBorders>
            <w:shd w:val="clear" w:color="000000" w:fill="FFFFFF"/>
            <w:vAlign w:val="center"/>
            <w:hideMark/>
          </w:tcPr>
          <w:p w14:paraId="0DDCFBF2" w14:textId="77777777" w:rsidR="00E91ECF" w:rsidRPr="00A52AEE" w:rsidRDefault="00E91ECF" w:rsidP="00FE68E8">
            <w:pPr>
              <w:jc w:val="right"/>
              <w:rPr>
                <w:lang w:eastAsia="en-GB"/>
              </w:rPr>
            </w:pPr>
            <w:r w:rsidRPr="00A52AEE">
              <w:rPr>
                <w:lang w:eastAsia="en-GB"/>
              </w:rPr>
              <w:t>11%</w:t>
            </w:r>
          </w:p>
        </w:tc>
        <w:tc>
          <w:tcPr>
            <w:tcW w:w="436" w:type="pct"/>
            <w:tcBorders>
              <w:top w:val="nil"/>
              <w:left w:val="nil"/>
              <w:bottom w:val="single" w:sz="4" w:space="0" w:color="auto"/>
              <w:right w:val="single" w:sz="4" w:space="0" w:color="auto"/>
            </w:tcBorders>
            <w:shd w:val="clear" w:color="000000" w:fill="FFFFFF"/>
            <w:vAlign w:val="center"/>
            <w:hideMark/>
          </w:tcPr>
          <w:p w14:paraId="71BA281C" w14:textId="77777777" w:rsidR="00E91ECF" w:rsidRPr="00A52AEE" w:rsidRDefault="00E91ECF" w:rsidP="00FE68E8">
            <w:pPr>
              <w:jc w:val="right"/>
              <w:rPr>
                <w:lang w:eastAsia="en-GB"/>
              </w:rPr>
            </w:pPr>
            <w:r w:rsidRPr="00A52AEE">
              <w:rPr>
                <w:lang w:eastAsia="en-GB"/>
              </w:rPr>
              <w:t>1439</w:t>
            </w:r>
          </w:p>
        </w:tc>
        <w:tc>
          <w:tcPr>
            <w:tcW w:w="367" w:type="pct"/>
            <w:tcBorders>
              <w:top w:val="nil"/>
              <w:left w:val="nil"/>
              <w:bottom w:val="single" w:sz="4" w:space="0" w:color="auto"/>
              <w:right w:val="single" w:sz="4" w:space="0" w:color="auto"/>
            </w:tcBorders>
            <w:shd w:val="clear" w:color="000000" w:fill="FFFFFF"/>
            <w:vAlign w:val="center"/>
            <w:hideMark/>
          </w:tcPr>
          <w:p w14:paraId="0DA1B907" w14:textId="77777777" w:rsidR="00E91ECF" w:rsidRPr="00A52AEE" w:rsidRDefault="00E91ECF" w:rsidP="00FE68E8">
            <w:pPr>
              <w:jc w:val="right"/>
              <w:rPr>
                <w:lang w:eastAsia="en-GB"/>
              </w:rPr>
            </w:pPr>
            <w:r w:rsidRPr="00A52AEE">
              <w:rPr>
                <w:lang w:eastAsia="en-GB"/>
              </w:rPr>
              <w:t>41%</w:t>
            </w:r>
          </w:p>
        </w:tc>
      </w:tr>
      <w:tr w:rsidR="000D7228" w:rsidRPr="00A52AEE" w14:paraId="232166A7"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1D183017" w14:textId="77777777" w:rsidR="00E91ECF" w:rsidRPr="00A52AEE" w:rsidRDefault="00E91ECF" w:rsidP="00A52AEE">
            <w:pPr>
              <w:rPr>
                <w:lang w:eastAsia="en-GB"/>
              </w:rPr>
            </w:pPr>
            <w:r w:rsidRPr="00A52AEE">
              <w:rPr>
                <w:lang w:eastAsia="en-GB"/>
              </w:rPr>
              <w:t>White –British</w:t>
            </w:r>
          </w:p>
        </w:tc>
        <w:tc>
          <w:tcPr>
            <w:tcW w:w="429" w:type="pct"/>
            <w:tcBorders>
              <w:top w:val="nil"/>
              <w:left w:val="nil"/>
              <w:bottom w:val="single" w:sz="4" w:space="0" w:color="auto"/>
              <w:right w:val="single" w:sz="4" w:space="0" w:color="auto"/>
            </w:tcBorders>
            <w:shd w:val="clear" w:color="000000" w:fill="FFFFFF"/>
            <w:vAlign w:val="center"/>
            <w:hideMark/>
          </w:tcPr>
          <w:p w14:paraId="43F9A5B7" w14:textId="77777777" w:rsidR="00E91ECF" w:rsidRPr="00A52AEE" w:rsidRDefault="00E91ECF" w:rsidP="00FE68E8">
            <w:pPr>
              <w:jc w:val="right"/>
              <w:rPr>
                <w:lang w:eastAsia="en-GB"/>
              </w:rPr>
            </w:pPr>
            <w:r w:rsidRPr="00A52AEE">
              <w:rPr>
                <w:lang w:eastAsia="en-GB"/>
              </w:rPr>
              <w:t>33%</w:t>
            </w:r>
          </w:p>
        </w:tc>
        <w:tc>
          <w:tcPr>
            <w:tcW w:w="429" w:type="pct"/>
            <w:tcBorders>
              <w:top w:val="nil"/>
              <w:left w:val="nil"/>
              <w:bottom w:val="single" w:sz="4" w:space="0" w:color="auto"/>
              <w:right w:val="single" w:sz="4" w:space="0" w:color="auto"/>
            </w:tcBorders>
            <w:shd w:val="clear" w:color="000000" w:fill="FFFFFF"/>
            <w:vAlign w:val="center"/>
            <w:hideMark/>
          </w:tcPr>
          <w:p w14:paraId="5B5742A2" w14:textId="77777777" w:rsidR="00E91ECF" w:rsidRPr="00A52AEE" w:rsidRDefault="00E91ECF" w:rsidP="00FE68E8">
            <w:pPr>
              <w:jc w:val="right"/>
              <w:rPr>
                <w:lang w:eastAsia="en-GB"/>
              </w:rPr>
            </w:pPr>
            <w:r w:rsidRPr="00A52AEE">
              <w:rPr>
                <w:lang w:eastAsia="en-GB"/>
              </w:rPr>
              <w:t>34%</w:t>
            </w:r>
          </w:p>
        </w:tc>
        <w:tc>
          <w:tcPr>
            <w:tcW w:w="429" w:type="pct"/>
            <w:tcBorders>
              <w:top w:val="nil"/>
              <w:left w:val="nil"/>
              <w:bottom w:val="single" w:sz="4" w:space="0" w:color="auto"/>
              <w:right w:val="single" w:sz="4" w:space="0" w:color="auto"/>
            </w:tcBorders>
            <w:shd w:val="clear" w:color="000000" w:fill="FFFFFF"/>
            <w:vAlign w:val="center"/>
            <w:hideMark/>
          </w:tcPr>
          <w:p w14:paraId="3DA422EF" w14:textId="77777777" w:rsidR="00E91ECF" w:rsidRPr="00A52AEE" w:rsidRDefault="00E91ECF" w:rsidP="00FE68E8">
            <w:pPr>
              <w:jc w:val="right"/>
              <w:rPr>
                <w:lang w:eastAsia="en-GB"/>
              </w:rPr>
            </w:pPr>
            <w:r w:rsidRPr="00A52AEE">
              <w:rPr>
                <w:lang w:eastAsia="en-GB"/>
              </w:rPr>
              <w:t>35%</w:t>
            </w:r>
          </w:p>
        </w:tc>
        <w:tc>
          <w:tcPr>
            <w:tcW w:w="430" w:type="pct"/>
            <w:tcBorders>
              <w:top w:val="nil"/>
              <w:left w:val="nil"/>
              <w:bottom w:val="single" w:sz="4" w:space="0" w:color="auto"/>
              <w:right w:val="single" w:sz="4" w:space="0" w:color="auto"/>
            </w:tcBorders>
            <w:shd w:val="clear" w:color="000000" w:fill="FFFFFF"/>
            <w:vAlign w:val="center"/>
            <w:hideMark/>
          </w:tcPr>
          <w:p w14:paraId="5CDCFBBF" w14:textId="77777777" w:rsidR="00E91ECF" w:rsidRPr="00A52AEE" w:rsidRDefault="00E91ECF" w:rsidP="00FE68E8">
            <w:pPr>
              <w:jc w:val="right"/>
              <w:rPr>
                <w:lang w:eastAsia="en-GB"/>
              </w:rPr>
            </w:pPr>
            <w:r w:rsidRPr="00A52AEE">
              <w:rPr>
                <w:lang w:eastAsia="en-GB"/>
              </w:rPr>
              <w:t>31%</w:t>
            </w:r>
          </w:p>
        </w:tc>
        <w:tc>
          <w:tcPr>
            <w:tcW w:w="431" w:type="pct"/>
            <w:tcBorders>
              <w:top w:val="nil"/>
              <w:left w:val="nil"/>
              <w:bottom w:val="single" w:sz="4" w:space="0" w:color="auto"/>
              <w:right w:val="single" w:sz="4" w:space="0" w:color="auto"/>
            </w:tcBorders>
            <w:shd w:val="clear" w:color="000000" w:fill="FFFFFF"/>
            <w:vAlign w:val="center"/>
            <w:hideMark/>
          </w:tcPr>
          <w:p w14:paraId="24B2AED2" w14:textId="77777777" w:rsidR="00E91ECF" w:rsidRPr="00A52AEE" w:rsidRDefault="00E91ECF" w:rsidP="00FE68E8">
            <w:pPr>
              <w:jc w:val="right"/>
              <w:rPr>
                <w:lang w:eastAsia="en-GB"/>
              </w:rPr>
            </w:pPr>
            <w:r w:rsidRPr="00A52AEE">
              <w:rPr>
                <w:lang w:eastAsia="en-GB"/>
              </w:rPr>
              <w:t>28%</w:t>
            </w:r>
          </w:p>
        </w:tc>
        <w:tc>
          <w:tcPr>
            <w:tcW w:w="436" w:type="pct"/>
            <w:tcBorders>
              <w:top w:val="nil"/>
              <w:left w:val="nil"/>
              <w:bottom w:val="single" w:sz="4" w:space="0" w:color="auto"/>
              <w:right w:val="single" w:sz="4" w:space="0" w:color="auto"/>
            </w:tcBorders>
            <w:shd w:val="clear" w:color="000000" w:fill="FFFFFF"/>
            <w:vAlign w:val="center"/>
            <w:hideMark/>
          </w:tcPr>
          <w:p w14:paraId="75E97F5C" w14:textId="77777777" w:rsidR="00E91ECF" w:rsidRPr="00A52AEE" w:rsidRDefault="00E91ECF" w:rsidP="00FE68E8">
            <w:pPr>
              <w:jc w:val="right"/>
              <w:rPr>
                <w:lang w:eastAsia="en-GB"/>
              </w:rPr>
            </w:pPr>
            <w:r w:rsidRPr="00A52AEE">
              <w:rPr>
                <w:lang w:eastAsia="en-GB"/>
              </w:rPr>
              <w:t>-919</w:t>
            </w:r>
          </w:p>
        </w:tc>
        <w:tc>
          <w:tcPr>
            <w:tcW w:w="367" w:type="pct"/>
            <w:tcBorders>
              <w:top w:val="nil"/>
              <w:left w:val="nil"/>
              <w:bottom w:val="single" w:sz="4" w:space="0" w:color="auto"/>
              <w:right w:val="single" w:sz="4" w:space="0" w:color="auto"/>
            </w:tcBorders>
            <w:shd w:val="clear" w:color="000000" w:fill="FFFFFF"/>
            <w:vAlign w:val="center"/>
            <w:hideMark/>
          </w:tcPr>
          <w:p w14:paraId="19C7DACB" w14:textId="77777777" w:rsidR="00E91ECF" w:rsidRPr="00A52AEE" w:rsidRDefault="00E91ECF" w:rsidP="00FE68E8">
            <w:pPr>
              <w:jc w:val="right"/>
              <w:rPr>
                <w:lang w:eastAsia="en-GB"/>
              </w:rPr>
            </w:pPr>
            <w:r w:rsidRPr="00A52AEE">
              <w:rPr>
                <w:lang w:eastAsia="en-GB"/>
              </w:rPr>
              <w:t>-7%</w:t>
            </w:r>
          </w:p>
        </w:tc>
      </w:tr>
      <w:tr w:rsidR="000D7228" w:rsidRPr="00A52AEE" w14:paraId="4571352E"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536BE464" w14:textId="77777777" w:rsidR="00E91ECF" w:rsidRPr="00A52AEE" w:rsidRDefault="00E91ECF" w:rsidP="00A52AEE">
            <w:pPr>
              <w:rPr>
                <w:lang w:eastAsia="en-GB"/>
              </w:rPr>
            </w:pPr>
            <w:r w:rsidRPr="00A52AEE">
              <w:rPr>
                <w:lang w:eastAsia="en-GB"/>
              </w:rPr>
              <w:t>Other ethnic group</w:t>
            </w:r>
          </w:p>
        </w:tc>
        <w:tc>
          <w:tcPr>
            <w:tcW w:w="429" w:type="pct"/>
            <w:tcBorders>
              <w:top w:val="nil"/>
              <w:left w:val="nil"/>
              <w:bottom w:val="single" w:sz="4" w:space="0" w:color="auto"/>
              <w:right w:val="single" w:sz="4" w:space="0" w:color="auto"/>
            </w:tcBorders>
            <w:shd w:val="clear" w:color="000000" w:fill="FFFFFF"/>
            <w:vAlign w:val="center"/>
            <w:hideMark/>
          </w:tcPr>
          <w:p w14:paraId="6D25B45B" w14:textId="77777777" w:rsidR="00E91ECF" w:rsidRPr="00A52AEE" w:rsidRDefault="00E91ECF" w:rsidP="00FE68E8">
            <w:pPr>
              <w:jc w:val="right"/>
              <w:rPr>
                <w:lang w:eastAsia="en-GB"/>
              </w:rPr>
            </w:pPr>
            <w:r w:rsidRPr="00A52AEE">
              <w:rPr>
                <w:lang w:eastAsia="en-GB"/>
              </w:rPr>
              <w:t>5%</w:t>
            </w:r>
          </w:p>
        </w:tc>
        <w:tc>
          <w:tcPr>
            <w:tcW w:w="429" w:type="pct"/>
            <w:tcBorders>
              <w:top w:val="nil"/>
              <w:left w:val="nil"/>
              <w:bottom w:val="single" w:sz="4" w:space="0" w:color="auto"/>
              <w:right w:val="single" w:sz="4" w:space="0" w:color="auto"/>
            </w:tcBorders>
            <w:shd w:val="clear" w:color="000000" w:fill="FFFFFF"/>
            <w:vAlign w:val="center"/>
            <w:hideMark/>
          </w:tcPr>
          <w:p w14:paraId="5A84F3B4" w14:textId="77777777" w:rsidR="00E91ECF" w:rsidRPr="00A52AEE" w:rsidRDefault="00E91ECF" w:rsidP="00FE68E8">
            <w:pPr>
              <w:jc w:val="right"/>
              <w:rPr>
                <w:lang w:eastAsia="en-GB"/>
              </w:rPr>
            </w:pPr>
            <w:r w:rsidRPr="00A52AEE">
              <w:rPr>
                <w:lang w:eastAsia="en-GB"/>
              </w:rPr>
              <w:t>5%</w:t>
            </w:r>
          </w:p>
        </w:tc>
        <w:tc>
          <w:tcPr>
            <w:tcW w:w="429" w:type="pct"/>
            <w:tcBorders>
              <w:top w:val="nil"/>
              <w:left w:val="nil"/>
              <w:bottom w:val="single" w:sz="4" w:space="0" w:color="auto"/>
              <w:right w:val="single" w:sz="4" w:space="0" w:color="auto"/>
            </w:tcBorders>
            <w:shd w:val="clear" w:color="000000" w:fill="FFFFFF"/>
            <w:vAlign w:val="center"/>
            <w:hideMark/>
          </w:tcPr>
          <w:p w14:paraId="398628EB" w14:textId="77777777" w:rsidR="00E91ECF" w:rsidRPr="00A52AEE" w:rsidRDefault="00E91ECF" w:rsidP="00FE68E8">
            <w:pPr>
              <w:jc w:val="right"/>
              <w:rPr>
                <w:lang w:eastAsia="en-GB"/>
              </w:rPr>
            </w:pPr>
            <w:r w:rsidRPr="00A52AEE">
              <w:rPr>
                <w:lang w:eastAsia="en-GB"/>
              </w:rPr>
              <w:t>5%</w:t>
            </w:r>
          </w:p>
        </w:tc>
        <w:tc>
          <w:tcPr>
            <w:tcW w:w="430" w:type="pct"/>
            <w:tcBorders>
              <w:top w:val="nil"/>
              <w:left w:val="nil"/>
              <w:bottom w:val="single" w:sz="4" w:space="0" w:color="auto"/>
              <w:right w:val="single" w:sz="4" w:space="0" w:color="auto"/>
            </w:tcBorders>
            <w:shd w:val="clear" w:color="000000" w:fill="FFFFFF"/>
            <w:vAlign w:val="center"/>
            <w:hideMark/>
          </w:tcPr>
          <w:p w14:paraId="6ADC81C1" w14:textId="77777777" w:rsidR="00E91ECF" w:rsidRPr="00A52AEE" w:rsidRDefault="00E91ECF" w:rsidP="00FE68E8">
            <w:pPr>
              <w:jc w:val="right"/>
              <w:rPr>
                <w:lang w:eastAsia="en-GB"/>
              </w:rPr>
            </w:pPr>
            <w:r w:rsidRPr="00A52AEE">
              <w:rPr>
                <w:lang w:eastAsia="en-GB"/>
              </w:rPr>
              <w:t>5%</w:t>
            </w:r>
          </w:p>
        </w:tc>
        <w:tc>
          <w:tcPr>
            <w:tcW w:w="431" w:type="pct"/>
            <w:tcBorders>
              <w:top w:val="nil"/>
              <w:left w:val="nil"/>
              <w:bottom w:val="single" w:sz="4" w:space="0" w:color="auto"/>
              <w:right w:val="single" w:sz="4" w:space="0" w:color="auto"/>
            </w:tcBorders>
            <w:shd w:val="clear" w:color="000000" w:fill="FFFFFF"/>
            <w:vAlign w:val="center"/>
            <w:hideMark/>
          </w:tcPr>
          <w:p w14:paraId="286AC6C5" w14:textId="77777777" w:rsidR="00E91ECF" w:rsidRPr="00A52AEE" w:rsidRDefault="00E91ECF" w:rsidP="00FE68E8">
            <w:pPr>
              <w:jc w:val="right"/>
              <w:rPr>
                <w:lang w:eastAsia="en-GB"/>
              </w:rPr>
            </w:pPr>
            <w:r w:rsidRPr="00A52AEE">
              <w:rPr>
                <w:lang w:eastAsia="en-GB"/>
              </w:rPr>
              <w:t>4%</w:t>
            </w:r>
          </w:p>
        </w:tc>
        <w:tc>
          <w:tcPr>
            <w:tcW w:w="436" w:type="pct"/>
            <w:tcBorders>
              <w:top w:val="nil"/>
              <w:left w:val="nil"/>
              <w:bottom w:val="single" w:sz="4" w:space="0" w:color="auto"/>
              <w:right w:val="single" w:sz="4" w:space="0" w:color="auto"/>
            </w:tcBorders>
            <w:shd w:val="clear" w:color="000000" w:fill="FFFFFF"/>
            <w:vAlign w:val="center"/>
            <w:hideMark/>
          </w:tcPr>
          <w:p w14:paraId="23583E92" w14:textId="77777777" w:rsidR="00E91ECF" w:rsidRPr="00A52AEE" w:rsidRDefault="00E91ECF" w:rsidP="00FE68E8">
            <w:pPr>
              <w:jc w:val="right"/>
              <w:rPr>
                <w:lang w:eastAsia="en-GB"/>
              </w:rPr>
            </w:pPr>
            <w:r w:rsidRPr="00A52AEE">
              <w:rPr>
                <w:lang w:eastAsia="en-GB"/>
              </w:rPr>
              <w:t>-16</w:t>
            </w:r>
          </w:p>
        </w:tc>
        <w:tc>
          <w:tcPr>
            <w:tcW w:w="367" w:type="pct"/>
            <w:tcBorders>
              <w:top w:val="nil"/>
              <w:left w:val="nil"/>
              <w:bottom w:val="single" w:sz="4" w:space="0" w:color="auto"/>
              <w:right w:val="single" w:sz="4" w:space="0" w:color="auto"/>
            </w:tcBorders>
            <w:shd w:val="clear" w:color="000000" w:fill="FFFFFF"/>
            <w:vAlign w:val="center"/>
            <w:hideMark/>
          </w:tcPr>
          <w:p w14:paraId="0B653A10" w14:textId="77777777" w:rsidR="00E91ECF" w:rsidRPr="00A52AEE" w:rsidRDefault="00E91ECF" w:rsidP="00FE68E8">
            <w:pPr>
              <w:jc w:val="right"/>
              <w:rPr>
                <w:lang w:eastAsia="en-GB"/>
              </w:rPr>
            </w:pPr>
            <w:r w:rsidRPr="00A52AEE">
              <w:rPr>
                <w:lang w:eastAsia="en-GB"/>
              </w:rPr>
              <w:t>-1%</w:t>
            </w:r>
          </w:p>
        </w:tc>
      </w:tr>
      <w:tr w:rsidR="000D7228" w:rsidRPr="00A52AEE" w14:paraId="05FA1CD9" w14:textId="77777777" w:rsidTr="00D92B68">
        <w:trPr>
          <w:trHeight w:val="30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14:paraId="2311F67C" w14:textId="77777777" w:rsidR="00E91ECF" w:rsidRPr="00A52AEE" w:rsidRDefault="00E91ECF" w:rsidP="00A52AEE">
            <w:pPr>
              <w:rPr>
                <w:lang w:eastAsia="en-GB"/>
              </w:rPr>
            </w:pPr>
            <w:r w:rsidRPr="00A52AEE">
              <w:rPr>
                <w:lang w:eastAsia="en-GB"/>
              </w:rPr>
              <w:t>Other Mixed / multiple ethnic background</w:t>
            </w:r>
          </w:p>
        </w:tc>
        <w:tc>
          <w:tcPr>
            <w:tcW w:w="429" w:type="pct"/>
            <w:tcBorders>
              <w:top w:val="nil"/>
              <w:left w:val="nil"/>
              <w:bottom w:val="single" w:sz="4" w:space="0" w:color="auto"/>
              <w:right w:val="single" w:sz="4" w:space="0" w:color="auto"/>
            </w:tcBorders>
            <w:shd w:val="clear" w:color="000000" w:fill="FFFFFF"/>
            <w:vAlign w:val="center"/>
            <w:hideMark/>
          </w:tcPr>
          <w:p w14:paraId="0329C58C"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748C3ECF" w14:textId="77777777" w:rsidR="00E91ECF" w:rsidRPr="00A52AEE" w:rsidRDefault="00E91ECF" w:rsidP="00FE68E8">
            <w:pPr>
              <w:jc w:val="right"/>
              <w:rPr>
                <w:lang w:eastAsia="en-GB"/>
              </w:rPr>
            </w:pPr>
            <w:r w:rsidRPr="00A52AEE">
              <w:rPr>
                <w:lang w:eastAsia="en-GB"/>
              </w:rPr>
              <w:t>2%</w:t>
            </w:r>
          </w:p>
        </w:tc>
        <w:tc>
          <w:tcPr>
            <w:tcW w:w="429" w:type="pct"/>
            <w:tcBorders>
              <w:top w:val="nil"/>
              <w:left w:val="nil"/>
              <w:bottom w:val="single" w:sz="4" w:space="0" w:color="auto"/>
              <w:right w:val="single" w:sz="4" w:space="0" w:color="auto"/>
            </w:tcBorders>
            <w:shd w:val="clear" w:color="000000" w:fill="FFFFFF"/>
            <w:vAlign w:val="center"/>
            <w:hideMark/>
          </w:tcPr>
          <w:p w14:paraId="435278D2" w14:textId="77777777" w:rsidR="00E91ECF" w:rsidRPr="00A52AEE" w:rsidRDefault="00E91ECF" w:rsidP="00FE68E8">
            <w:pPr>
              <w:jc w:val="right"/>
              <w:rPr>
                <w:lang w:eastAsia="en-GB"/>
              </w:rPr>
            </w:pPr>
            <w:r w:rsidRPr="00A52AEE">
              <w:rPr>
                <w:lang w:eastAsia="en-GB"/>
              </w:rPr>
              <w:t>2%</w:t>
            </w:r>
          </w:p>
        </w:tc>
        <w:tc>
          <w:tcPr>
            <w:tcW w:w="430" w:type="pct"/>
            <w:tcBorders>
              <w:top w:val="nil"/>
              <w:left w:val="nil"/>
              <w:bottom w:val="single" w:sz="4" w:space="0" w:color="auto"/>
              <w:right w:val="single" w:sz="4" w:space="0" w:color="auto"/>
            </w:tcBorders>
            <w:shd w:val="clear" w:color="000000" w:fill="FFFFFF"/>
            <w:vAlign w:val="center"/>
            <w:hideMark/>
          </w:tcPr>
          <w:p w14:paraId="4DF1F72A" w14:textId="77777777" w:rsidR="00E91ECF" w:rsidRPr="00A52AEE" w:rsidRDefault="00E91ECF" w:rsidP="00FE68E8">
            <w:pPr>
              <w:jc w:val="right"/>
              <w:rPr>
                <w:lang w:eastAsia="en-GB"/>
              </w:rPr>
            </w:pPr>
            <w:r w:rsidRPr="00A52AEE">
              <w:rPr>
                <w:lang w:eastAsia="en-GB"/>
              </w:rPr>
              <w:t>2%</w:t>
            </w:r>
          </w:p>
        </w:tc>
        <w:tc>
          <w:tcPr>
            <w:tcW w:w="431" w:type="pct"/>
            <w:tcBorders>
              <w:top w:val="nil"/>
              <w:left w:val="nil"/>
              <w:bottom w:val="single" w:sz="4" w:space="0" w:color="auto"/>
              <w:right w:val="single" w:sz="4" w:space="0" w:color="auto"/>
            </w:tcBorders>
            <w:shd w:val="clear" w:color="000000" w:fill="FFFFFF"/>
            <w:vAlign w:val="center"/>
            <w:hideMark/>
          </w:tcPr>
          <w:p w14:paraId="56A3EF28" w14:textId="77777777" w:rsidR="00E91ECF" w:rsidRPr="00A52AEE" w:rsidRDefault="00E91ECF" w:rsidP="00FE68E8">
            <w:pPr>
              <w:jc w:val="right"/>
              <w:rPr>
                <w:lang w:eastAsia="en-GB"/>
              </w:rPr>
            </w:pPr>
            <w:r w:rsidRPr="00A52AEE">
              <w:rPr>
                <w:lang w:eastAsia="en-GB"/>
              </w:rPr>
              <w:t>2%</w:t>
            </w:r>
          </w:p>
        </w:tc>
        <w:tc>
          <w:tcPr>
            <w:tcW w:w="436" w:type="pct"/>
            <w:tcBorders>
              <w:top w:val="nil"/>
              <w:left w:val="nil"/>
              <w:bottom w:val="single" w:sz="4" w:space="0" w:color="auto"/>
              <w:right w:val="single" w:sz="4" w:space="0" w:color="auto"/>
            </w:tcBorders>
            <w:shd w:val="clear" w:color="000000" w:fill="FFFFFF"/>
            <w:vAlign w:val="center"/>
            <w:hideMark/>
          </w:tcPr>
          <w:p w14:paraId="6A1AB6C2" w14:textId="77777777" w:rsidR="00E91ECF" w:rsidRPr="00A52AEE" w:rsidRDefault="00E91ECF" w:rsidP="00FE68E8">
            <w:pPr>
              <w:jc w:val="right"/>
              <w:rPr>
                <w:lang w:eastAsia="en-GB"/>
              </w:rPr>
            </w:pPr>
            <w:r w:rsidRPr="00A52AEE">
              <w:rPr>
                <w:lang w:eastAsia="en-GB"/>
              </w:rPr>
              <w:t>289</w:t>
            </w:r>
          </w:p>
        </w:tc>
        <w:tc>
          <w:tcPr>
            <w:tcW w:w="367" w:type="pct"/>
            <w:tcBorders>
              <w:top w:val="nil"/>
              <w:left w:val="nil"/>
              <w:bottom w:val="single" w:sz="4" w:space="0" w:color="auto"/>
              <w:right w:val="single" w:sz="4" w:space="0" w:color="auto"/>
            </w:tcBorders>
            <w:shd w:val="clear" w:color="000000" w:fill="FFFFFF"/>
            <w:vAlign w:val="center"/>
            <w:hideMark/>
          </w:tcPr>
          <w:p w14:paraId="1DE21987" w14:textId="77777777" w:rsidR="00E91ECF" w:rsidRPr="00A52AEE" w:rsidRDefault="00E91ECF" w:rsidP="00FE68E8">
            <w:pPr>
              <w:jc w:val="right"/>
              <w:rPr>
                <w:lang w:eastAsia="en-GB"/>
              </w:rPr>
            </w:pPr>
            <w:r w:rsidRPr="00A52AEE">
              <w:rPr>
                <w:lang w:eastAsia="en-GB"/>
              </w:rPr>
              <w:t>41%</w:t>
            </w:r>
          </w:p>
        </w:tc>
      </w:tr>
      <w:tr w:rsidR="000D7228" w:rsidRPr="00A52AEE" w14:paraId="5BC0831E" w14:textId="77777777" w:rsidTr="00D92B68">
        <w:trPr>
          <w:trHeight w:val="300"/>
        </w:trPr>
        <w:tc>
          <w:tcPr>
            <w:tcW w:w="2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6B46" w14:textId="77777777" w:rsidR="00E91ECF" w:rsidRPr="00A52AEE" w:rsidRDefault="00E91ECF" w:rsidP="00A52AEE">
            <w:pPr>
              <w:rPr>
                <w:lang w:eastAsia="en-GB"/>
              </w:rPr>
            </w:pPr>
            <w:r w:rsidRPr="00A52AEE">
              <w:rPr>
                <w:lang w:eastAsia="en-GB"/>
              </w:rPr>
              <w:t xml:space="preserve">Total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DED5057" w14:textId="77777777" w:rsidR="00E91ECF" w:rsidRPr="00A52AEE" w:rsidRDefault="00E91ECF" w:rsidP="00FE68E8">
            <w:pPr>
              <w:jc w:val="right"/>
              <w:rPr>
                <w:lang w:eastAsia="en-GB"/>
              </w:rPr>
            </w:pPr>
            <w:r w:rsidRPr="00A52AEE">
              <w:rPr>
                <w:lang w:eastAsia="en-GB"/>
              </w:rPr>
              <w:t>42060</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43019BC" w14:textId="77777777" w:rsidR="00E91ECF" w:rsidRPr="00A52AEE" w:rsidRDefault="00E91ECF" w:rsidP="00FE68E8">
            <w:pPr>
              <w:jc w:val="right"/>
              <w:rPr>
                <w:lang w:eastAsia="en-GB"/>
              </w:rPr>
            </w:pPr>
            <w:r w:rsidRPr="00A52AEE">
              <w:rPr>
                <w:lang w:eastAsia="en-GB"/>
              </w:rPr>
              <w:t>44140</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14:paraId="04580C27" w14:textId="77777777" w:rsidR="00E91ECF" w:rsidRPr="00A52AEE" w:rsidRDefault="00E91ECF" w:rsidP="00FE68E8">
            <w:pPr>
              <w:jc w:val="right"/>
              <w:rPr>
                <w:lang w:eastAsia="en-GB"/>
              </w:rPr>
            </w:pPr>
            <w:r w:rsidRPr="00A52AEE">
              <w:rPr>
                <w:lang w:eastAsia="en-GB"/>
              </w:rPr>
              <w:t>46085</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14:paraId="40D6F941" w14:textId="77777777" w:rsidR="00E91ECF" w:rsidRPr="00A52AEE" w:rsidRDefault="00E91ECF" w:rsidP="00FE68E8">
            <w:pPr>
              <w:jc w:val="right"/>
              <w:rPr>
                <w:lang w:eastAsia="en-GB"/>
              </w:rPr>
            </w:pPr>
            <w:r w:rsidRPr="00A52AEE">
              <w:rPr>
                <w:lang w:eastAsia="en-GB"/>
              </w:rPr>
              <w:t>42830</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14:paraId="1224F83A" w14:textId="77777777" w:rsidR="00E91ECF" w:rsidRPr="00A52AEE" w:rsidRDefault="00E91ECF" w:rsidP="00FE68E8">
            <w:pPr>
              <w:jc w:val="right"/>
              <w:rPr>
                <w:lang w:eastAsia="en-GB"/>
              </w:rPr>
            </w:pPr>
            <w:r w:rsidRPr="00A52AEE">
              <w:rPr>
                <w:lang w:eastAsia="en-GB"/>
              </w:rPr>
              <w:t>46380</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14:paraId="2F5372BB" w14:textId="77777777" w:rsidR="00E91ECF" w:rsidRPr="00A52AEE" w:rsidRDefault="00E91ECF" w:rsidP="00FE68E8">
            <w:pPr>
              <w:jc w:val="right"/>
              <w:rPr>
                <w:lang w:eastAsia="en-GB"/>
              </w:rPr>
            </w:pPr>
            <w:r w:rsidRPr="00A52AEE">
              <w:rPr>
                <w:lang w:eastAsia="en-GB"/>
              </w:rPr>
              <w:t>4321</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14:paraId="2F654979" w14:textId="77777777" w:rsidR="00E91ECF" w:rsidRPr="00A52AEE" w:rsidRDefault="00E91ECF" w:rsidP="00FE68E8">
            <w:pPr>
              <w:jc w:val="right"/>
              <w:rPr>
                <w:lang w:eastAsia="en-GB"/>
              </w:rPr>
            </w:pPr>
            <w:r w:rsidRPr="00A52AEE">
              <w:rPr>
                <w:lang w:eastAsia="en-GB"/>
              </w:rPr>
              <w:t>10%</w:t>
            </w:r>
          </w:p>
        </w:tc>
      </w:tr>
      <w:tr w:rsidR="000D7228" w:rsidRPr="00A52AEE" w14:paraId="5C3C8B42" w14:textId="77777777" w:rsidTr="00D92B68">
        <w:trPr>
          <w:trHeight w:val="300"/>
        </w:trPr>
        <w:tc>
          <w:tcPr>
            <w:tcW w:w="20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B7E042E" w14:textId="05AA6F53" w:rsidR="00E91ECF" w:rsidRPr="00A52AEE" w:rsidRDefault="00E91ECF" w:rsidP="00A52AEE">
            <w:pPr>
              <w:rPr>
                <w:rFonts w:eastAsia="Times New Roman"/>
                <w:szCs w:val="20"/>
                <w:lang w:eastAsia="en-GB"/>
              </w:rPr>
            </w:pPr>
            <w:r w:rsidRPr="00A52AEE">
              <w:t xml:space="preserve">White </w:t>
            </w:r>
          </w:p>
        </w:tc>
        <w:tc>
          <w:tcPr>
            <w:tcW w:w="429" w:type="pct"/>
            <w:tcBorders>
              <w:top w:val="single" w:sz="4" w:space="0" w:color="auto"/>
              <w:left w:val="nil"/>
              <w:bottom w:val="single" w:sz="4" w:space="0" w:color="auto"/>
              <w:right w:val="single" w:sz="4" w:space="0" w:color="auto"/>
            </w:tcBorders>
            <w:shd w:val="clear" w:color="auto" w:fill="BDD6EE" w:themeFill="accent1" w:themeFillTint="66"/>
            <w:noWrap/>
          </w:tcPr>
          <w:p w14:paraId="2C734908" w14:textId="767D66D1" w:rsidR="00E91ECF" w:rsidRPr="00A52AEE" w:rsidRDefault="00E91ECF" w:rsidP="00FE68E8">
            <w:pPr>
              <w:jc w:val="right"/>
              <w:rPr>
                <w:rFonts w:eastAsia="Times New Roman"/>
                <w:szCs w:val="20"/>
                <w:lang w:eastAsia="en-GB"/>
              </w:rPr>
            </w:pPr>
            <w:r w:rsidRPr="00A52AEE">
              <w:t>43%</w:t>
            </w:r>
          </w:p>
        </w:tc>
        <w:tc>
          <w:tcPr>
            <w:tcW w:w="429" w:type="pct"/>
            <w:tcBorders>
              <w:top w:val="single" w:sz="4" w:space="0" w:color="auto"/>
              <w:left w:val="nil"/>
              <w:bottom w:val="single" w:sz="4" w:space="0" w:color="auto"/>
              <w:right w:val="single" w:sz="4" w:space="0" w:color="auto"/>
            </w:tcBorders>
            <w:shd w:val="clear" w:color="auto" w:fill="BDD6EE" w:themeFill="accent1" w:themeFillTint="66"/>
            <w:noWrap/>
          </w:tcPr>
          <w:p w14:paraId="5DC5762C" w14:textId="43DE4B73" w:rsidR="00E91ECF" w:rsidRPr="00A52AEE" w:rsidRDefault="00E91ECF" w:rsidP="00FE68E8">
            <w:pPr>
              <w:jc w:val="right"/>
              <w:rPr>
                <w:rFonts w:eastAsia="Times New Roman"/>
                <w:szCs w:val="20"/>
                <w:lang w:eastAsia="en-GB"/>
              </w:rPr>
            </w:pPr>
            <w:r w:rsidRPr="00A52AEE">
              <w:t>44%</w:t>
            </w:r>
          </w:p>
        </w:tc>
        <w:tc>
          <w:tcPr>
            <w:tcW w:w="429" w:type="pct"/>
            <w:tcBorders>
              <w:top w:val="single" w:sz="4" w:space="0" w:color="auto"/>
              <w:left w:val="nil"/>
              <w:bottom w:val="single" w:sz="4" w:space="0" w:color="auto"/>
              <w:right w:val="single" w:sz="4" w:space="0" w:color="auto"/>
            </w:tcBorders>
            <w:shd w:val="clear" w:color="auto" w:fill="BDD6EE" w:themeFill="accent1" w:themeFillTint="66"/>
          </w:tcPr>
          <w:p w14:paraId="7B534DA6" w14:textId="4201476E" w:rsidR="00E91ECF" w:rsidRPr="00A52AEE" w:rsidRDefault="00E91ECF" w:rsidP="00FE68E8">
            <w:pPr>
              <w:jc w:val="right"/>
              <w:rPr>
                <w:rFonts w:eastAsia="Times New Roman"/>
                <w:szCs w:val="20"/>
                <w:lang w:eastAsia="en-GB"/>
              </w:rPr>
            </w:pPr>
            <w:r w:rsidRPr="00A52AEE">
              <w:t>44%</w:t>
            </w:r>
          </w:p>
        </w:tc>
        <w:tc>
          <w:tcPr>
            <w:tcW w:w="430" w:type="pct"/>
            <w:tcBorders>
              <w:top w:val="single" w:sz="4" w:space="0" w:color="auto"/>
              <w:left w:val="nil"/>
              <w:bottom w:val="single" w:sz="4" w:space="0" w:color="auto"/>
              <w:right w:val="single" w:sz="4" w:space="0" w:color="auto"/>
            </w:tcBorders>
            <w:shd w:val="clear" w:color="auto" w:fill="BDD6EE" w:themeFill="accent1" w:themeFillTint="66"/>
          </w:tcPr>
          <w:p w14:paraId="45D6C713" w14:textId="461E19D5" w:rsidR="00E91ECF" w:rsidRPr="00A52AEE" w:rsidRDefault="00E91ECF" w:rsidP="00FE68E8">
            <w:pPr>
              <w:jc w:val="right"/>
              <w:rPr>
                <w:rFonts w:eastAsia="Times New Roman"/>
                <w:szCs w:val="20"/>
                <w:lang w:eastAsia="en-GB"/>
              </w:rPr>
            </w:pPr>
            <w:r w:rsidRPr="00A52AEE">
              <w:t>41%</w:t>
            </w:r>
          </w:p>
        </w:tc>
        <w:tc>
          <w:tcPr>
            <w:tcW w:w="431" w:type="pct"/>
            <w:tcBorders>
              <w:top w:val="single" w:sz="4" w:space="0" w:color="auto"/>
              <w:left w:val="nil"/>
              <w:bottom w:val="single" w:sz="4" w:space="0" w:color="auto"/>
              <w:right w:val="single" w:sz="4" w:space="0" w:color="auto"/>
            </w:tcBorders>
            <w:shd w:val="clear" w:color="auto" w:fill="BDD6EE" w:themeFill="accent1" w:themeFillTint="66"/>
          </w:tcPr>
          <w:p w14:paraId="5BA001C9" w14:textId="0BD1D62D" w:rsidR="00E91ECF" w:rsidRPr="00A52AEE" w:rsidRDefault="00E91ECF" w:rsidP="00FE68E8">
            <w:pPr>
              <w:jc w:val="right"/>
              <w:rPr>
                <w:rFonts w:eastAsia="Times New Roman"/>
                <w:szCs w:val="20"/>
                <w:lang w:eastAsia="en-GB"/>
              </w:rPr>
            </w:pPr>
            <w:r w:rsidRPr="00A52AEE">
              <w:t>39%</w:t>
            </w:r>
          </w:p>
        </w:tc>
        <w:tc>
          <w:tcPr>
            <w:tcW w:w="436" w:type="pct"/>
            <w:tcBorders>
              <w:top w:val="single" w:sz="4" w:space="0" w:color="auto"/>
              <w:left w:val="nil"/>
              <w:bottom w:val="single" w:sz="4" w:space="0" w:color="auto"/>
              <w:right w:val="single" w:sz="4" w:space="0" w:color="auto"/>
            </w:tcBorders>
            <w:shd w:val="clear" w:color="auto" w:fill="BDD6EE" w:themeFill="accent1" w:themeFillTint="66"/>
          </w:tcPr>
          <w:p w14:paraId="24716CB7" w14:textId="0C122F01" w:rsidR="00E91ECF" w:rsidRPr="00A52AEE" w:rsidRDefault="00E91ECF" w:rsidP="00FE68E8">
            <w:pPr>
              <w:jc w:val="right"/>
              <w:rPr>
                <w:rFonts w:eastAsia="Times New Roman"/>
                <w:szCs w:val="20"/>
                <w:lang w:eastAsia="en-GB"/>
              </w:rPr>
            </w:pPr>
            <w:r w:rsidRPr="00A52AEE">
              <w:t>39%</w:t>
            </w:r>
          </w:p>
        </w:tc>
        <w:tc>
          <w:tcPr>
            <w:tcW w:w="367" w:type="pct"/>
            <w:tcBorders>
              <w:top w:val="single" w:sz="4" w:space="0" w:color="auto"/>
              <w:left w:val="nil"/>
              <w:bottom w:val="single" w:sz="4" w:space="0" w:color="auto"/>
              <w:right w:val="single" w:sz="4" w:space="0" w:color="auto"/>
            </w:tcBorders>
            <w:shd w:val="clear" w:color="auto" w:fill="BDD6EE" w:themeFill="accent1" w:themeFillTint="66"/>
          </w:tcPr>
          <w:p w14:paraId="2E646327" w14:textId="30A1E4BF" w:rsidR="00E91ECF" w:rsidRPr="00A52AEE" w:rsidRDefault="00E91ECF" w:rsidP="00FE68E8">
            <w:pPr>
              <w:jc w:val="right"/>
              <w:rPr>
                <w:rFonts w:eastAsia="Times New Roman"/>
                <w:lang w:eastAsia="en-GB"/>
              </w:rPr>
            </w:pPr>
            <w:r w:rsidRPr="00A52AEE">
              <w:t>3%</w:t>
            </w:r>
          </w:p>
        </w:tc>
      </w:tr>
      <w:tr w:rsidR="000D7228" w:rsidRPr="00A52AEE" w14:paraId="7D2BDA03" w14:textId="77777777" w:rsidTr="00D92B68">
        <w:trPr>
          <w:trHeight w:val="300"/>
        </w:trPr>
        <w:tc>
          <w:tcPr>
            <w:tcW w:w="20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6D2D1CA" w14:textId="4DD153BE" w:rsidR="00E91ECF" w:rsidRPr="00A52AEE" w:rsidRDefault="00E91ECF" w:rsidP="00A52AEE">
            <w:pPr>
              <w:rPr>
                <w:rFonts w:eastAsia="Times New Roman"/>
                <w:szCs w:val="20"/>
                <w:lang w:eastAsia="en-GB"/>
              </w:rPr>
            </w:pPr>
            <w:r w:rsidRPr="00A52AEE">
              <w:t>BME</w:t>
            </w:r>
          </w:p>
        </w:tc>
        <w:tc>
          <w:tcPr>
            <w:tcW w:w="429" w:type="pct"/>
            <w:tcBorders>
              <w:top w:val="single" w:sz="4" w:space="0" w:color="auto"/>
              <w:left w:val="nil"/>
              <w:bottom w:val="single" w:sz="4" w:space="0" w:color="auto"/>
              <w:right w:val="single" w:sz="4" w:space="0" w:color="auto"/>
            </w:tcBorders>
            <w:shd w:val="clear" w:color="auto" w:fill="BDD6EE" w:themeFill="accent1" w:themeFillTint="66"/>
            <w:noWrap/>
          </w:tcPr>
          <w:p w14:paraId="30C6E51C" w14:textId="7286907D" w:rsidR="00E91ECF" w:rsidRPr="00A52AEE" w:rsidRDefault="00E91ECF" w:rsidP="00FE68E8">
            <w:pPr>
              <w:jc w:val="right"/>
              <w:rPr>
                <w:rFonts w:eastAsia="Times New Roman"/>
                <w:szCs w:val="20"/>
                <w:lang w:eastAsia="en-GB"/>
              </w:rPr>
            </w:pPr>
            <w:r w:rsidRPr="00A52AEE">
              <w:t>57%</w:t>
            </w:r>
          </w:p>
        </w:tc>
        <w:tc>
          <w:tcPr>
            <w:tcW w:w="429" w:type="pct"/>
            <w:tcBorders>
              <w:top w:val="single" w:sz="4" w:space="0" w:color="auto"/>
              <w:left w:val="nil"/>
              <w:bottom w:val="single" w:sz="4" w:space="0" w:color="auto"/>
              <w:right w:val="single" w:sz="4" w:space="0" w:color="auto"/>
            </w:tcBorders>
            <w:shd w:val="clear" w:color="auto" w:fill="BDD6EE" w:themeFill="accent1" w:themeFillTint="66"/>
            <w:noWrap/>
          </w:tcPr>
          <w:p w14:paraId="59503BE3" w14:textId="2F61FDE7" w:rsidR="00E91ECF" w:rsidRPr="00A52AEE" w:rsidRDefault="00E91ECF" w:rsidP="00FE68E8">
            <w:pPr>
              <w:jc w:val="right"/>
              <w:rPr>
                <w:rFonts w:eastAsia="Times New Roman"/>
                <w:szCs w:val="20"/>
                <w:lang w:eastAsia="en-GB"/>
              </w:rPr>
            </w:pPr>
            <w:r w:rsidRPr="00A52AEE">
              <w:t>56%</w:t>
            </w:r>
          </w:p>
        </w:tc>
        <w:tc>
          <w:tcPr>
            <w:tcW w:w="429" w:type="pct"/>
            <w:tcBorders>
              <w:top w:val="single" w:sz="4" w:space="0" w:color="auto"/>
              <w:left w:val="nil"/>
              <w:bottom w:val="single" w:sz="4" w:space="0" w:color="auto"/>
              <w:right w:val="single" w:sz="4" w:space="0" w:color="auto"/>
            </w:tcBorders>
            <w:shd w:val="clear" w:color="auto" w:fill="BDD6EE" w:themeFill="accent1" w:themeFillTint="66"/>
          </w:tcPr>
          <w:p w14:paraId="76164FB3" w14:textId="5D564F5F" w:rsidR="00E91ECF" w:rsidRPr="00A52AEE" w:rsidRDefault="00E91ECF" w:rsidP="00FE68E8">
            <w:pPr>
              <w:jc w:val="right"/>
              <w:rPr>
                <w:rFonts w:eastAsia="Times New Roman"/>
                <w:szCs w:val="20"/>
                <w:lang w:eastAsia="en-GB"/>
              </w:rPr>
            </w:pPr>
            <w:r w:rsidRPr="00A52AEE">
              <w:t>56%</w:t>
            </w:r>
          </w:p>
        </w:tc>
        <w:tc>
          <w:tcPr>
            <w:tcW w:w="430" w:type="pct"/>
            <w:tcBorders>
              <w:top w:val="single" w:sz="4" w:space="0" w:color="auto"/>
              <w:left w:val="nil"/>
              <w:bottom w:val="single" w:sz="4" w:space="0" w:color="auto"/>
              <w:right w:val="single" w:sz="4" w:space="0" w:color="auto"/>
            </w:tcBorders>
            <w:shd w:val="clear" w:color="auto" w:fill="BDD6EE" w:themeFill="accent1" w:themeFillTint="66"/>
          </w:tcPr>
          <w:p w14:paraId="50FC76DE" w14:textId="532FE227" w:rsidR="00E91ECF" w:rsidRPr="00A52AEE" w:rsidRDefault="00E91ECF" w:rsidP="00FE68E8">
            <w:pPr>
              <w:jc w:val="right"/>
              <w:rPr>
                <w:rFonts w:eastAsia="Times New Roman"/>
                <w:szCs w:val="20"/>
                <w:lang w:eastAsia="en-GB"/>
              </w:rPr>
            </w:pPr>
            <w:r w:rsidRPr="00A52AEE">
              <w:t>59%</w:t>
            </w:r>
          </w:p>
        </w:tc>
        <w:tc>
          <w:tcPr>
            <w:tcW w:w="431" w:type="pct"/>
            <w:tcBorders>
              <w:top w:val="single" w:sz="4" w:space="0" w:color="auto"/>
              <w:left w:val="nil"/>
              <w:bottom w:val="single" w:sz="4" w:space="0" w:color="auto"/>
              <w:right w:val="single" w:sz="4" w:space="0" w:color="auto"/>
            </w:tcBorders>
            <w:shd w:val="clear" w:color="auto" w:fill="BDD6EE" w:themeFill="accent1" w:themeFillTint="66"/>
          </w:tcPr>
          <w:p w14:paraId="006911C5" w14:textId="6F03C88F" w:rsidR="00E91ECF" w:rsidRPr="00A52AEE" w:rsidRDefault="00E91ECF" w:rsidP="00FE68E8">
            <w:pPr>
              <w:jc w:val="right"/>
              <w:rPr>
                <w:rFonts w:eastAsia="Times New Roman"/>
                <w:szCs w:val="20"/>
                <w:lang w:eastAsia="en-GB"/>
              </w:rPr>
            </w:pPr>
            <w:r w:rsidRPr="00A52AEE">
              <w:t>61%</w:t>
            </w:r>
          </w:p>
        </w:tc>
        <w:tc>
          <w:tcPr>
            <w:tcW w:w="436" w:type="pct"/>
            <w:tcBorders>
              <w:top w:val="single" w:sz="4" w:space="0" w:color="auto"/>
              <w:left w:val="nil"/>
              <w:bottom w:val="single" w:sz="4" w:space="0" w:color="auto"/>
              <w:right w:val="single" w:sz="4" w:space="0" w:color="auto"/>
            </w:tcBorders>
            <w:shd w:val="clear" w:color="auto" w:fill="BDD6EE" w:themeFill="accent1" w:themeFillTint="66"/>
          </w:tcPr>
          <w:p w14:paraId="59DB745A" w14:textId="7F320058" w:rsidR="00E91ECF" w:rsidRPr="00A52AEE" w:rsidRDefault="00E91ECF" w:rsidP="00FE68E8">
            <w:pPr>
              <w:jc w:val="right"/>
              <w:rPr>
                <w:rFonts w:eastAsia="Times New Roman"/>
                <w:szCs w:val="20"/>
                <w:lang w:eastAsia="en-GB"/>
              </w:rPr>
            </w:pPr>
            <w:r w:rsidRPr="00A52AEE">
              <w:t>61%</w:t>
            </w:r>
          </w:p>
        </w:tc>
        <w:tc>
          <w:tcPr>
            <w:tcW w:w="367" w:type="pct"/>
            <w:tcBorders>
              <w:top w:val="single" w:sz="4" w:space="0" w:color="auto"/>
              <w:left w:val="nil"/>
              <w:bottom w:val="single" w:sz="4" w:space="0" w:color="auto"/>
              <w:right w:val="single" w:sz="4" w:space="0" w:color="auto"/>
            </w:tcBorders>
            <w:shd w:val="clear" w:color="auto" w:fill="BDD6EE" w:themeFill="accent1" w:themeFillTint="66"/>
          </w:tcPr>
          <w:p w14:paraId="530B8CF8" w14:textId="3C442D79" w:rsidR="00E91ECF" w:rsidRPr="00A52AEE" w:rsidRDefault="00E91ECF" w:rsidP="00FE68E8">
            <w:pPr>
              <w:jc w:val="right"/>
              <w:rPr>
                <w:rFonts w:eastAsia="Times New Roman"/>
                <w:lang w:eastAsia="en-GB"/>
              </w:rPr>
            </w:pPr>
            <w:r w:rsidRPr="00A52AEE">
              <w:t>19%</w:t>
            </w:r>
          </w:p>
        </w:tc>
      </w:tr>
    </w:tbl>
    <w:p w14:paraId="1B11A678" w14:textId="77777777" w:rsidR="002E286F" w:rsidRDefault="002E286F" w:rsidP="002E286F">
      <w:r>
        <w:t xml:space="preserve">* Percentages have been rounded </w:t>
      </w:r>
    </w:p>
    <w:p w14:paraId="422F8881" w14:textId="77777777" w:rsidR="00E91ECF" w:rsidRPr="00A52AEE" w:rsidRDefault="00E91ECF" w:rsidP="00A52AEE"/>
    <w:p w14:paraId="710E1248" w14:textId="74E6CC08" w:rsidR="00766035" w:rsidRPr="00A52AEE" w:rsidRDefault="004D3FD1" w:rsidP="008D527A">
      <w:pPr>
        <w:pStyle w:val="Heading2"/>
      </w:pPr>
      <w:bookmarkStart w:id="95" w:name="_Toc405201390"/>
      <w:bookmarkStart w:id="96" w:name="_Toc411437021"/>
      <w:bookmarkStart w:id="97" w:name="_Toc429151320"/>
      <w:r>
        <w:t>4.16</w:t>
      </w:r>
      <w:r w:rsidR="001F1D4D" w:rsidRPr="00A52AEE">
        <w:tab/>
      </w:r>
      <w:r w:rsidR="000D7228">
        <w:tab/>
      </w:r>
      <w:r w:rsidR="00766035" w:rsidRPr="00A52AEE">
        <w:t>Ethnic group and age</w:t>
      </w:r>
      <w:bookmarkEnd w:id="95"/>
      <w:bookmarkEnd w:id="96"/>
      <w:r w:rsidR="001F1D4D" w:rsidRPr="00A52AEE">
        <w:t xml:space="preserve"> breakdown</w:t>
      </w:r>
      <w:bookmarkEnd w:id="97"/>
    </w:p>
    <w:p w14:paraId="43E0393C" w14:textId="18D936D1" w:rsidR="00766035" w:rsidRPr="00A52AEE" w:rsidRDefault="00766035" w:rsidP="00A52AEE">
      <w:r w:rsidRPr="00A52AEE">
        <w:t xml:space="preserve">The age profile of </w:t>
      </w:r>
      <w:r w:rsidR="0076166E" w:rsidRPr="00A52AEE">
        <w:t>London</w:t>
      </w:r>
      <w:r w:rsidRPr="00A52AEE">
        <w:t xml:space="preserve"> Level 3 </w:t>
      </w:r>
      <w:r w:rsidR="00842186" w:rsidRPr="00A52AEE">
        <w:t>student</w:t>
      </w:r>
      <w:r w:rsidRPr="00A52AEE">
        <w:t xml:space="preserve">s varies </w:t>
      </w:r>
      <w:r w:rsidR="000D7228">
        <w:t>according to ethnic background</w:t>
      </w:r>
      <w:r w:rsidRPr="00A52AEE">
        <w:t xml:space="preserve"> as shown in Table 1</w:t>
      </w:r>
      <w:r w:rsidR="00B03413">
        <w:t>7</w:t>
      </w:r>
      <w:r w:rsidRPr="00A52AEE">
        <w:t xml:space="preserve">. For example, there is a much higher proportion of young students from the Bangladeshi and Pakistani ethnic groups than, say, from African and Caribbean groups who are more likely to be older. Similarly, White </w:t>
      </w:r>
      <w:r w:rsidR="0021637B" w:rsidRPr="00A52AEE">
        <w:t>Level</w:t>
      </w:r>
      <w:r w:rsidRPr="00A52AEE">
        <w:t xml:space="preserve"> 3 </w:t>
      </w:r>
      <w:r w:rsidR="00842186" w:rsidRPr="00A52AEE">
        <w:t>student</w:t>
      </w:r>
      <w:r w:rsidRPr="00A52AEE">
        <w:t xml:space="preserve">s in London colleges are much more likely to be older, there are just as many </w:t>
      </w:r>
      <w:r w:rsidR="000D7228">
        <w:t xml:space="preserve">aged </w:t>
      </w:r>
      <w:r w:rsidRPr="00A52AEE">
        <w:t xml:space="preserve">25+ as there are </w:t>
      </w:r>
      <w:r w:rsidR="005175E4" w:rsidRPr="00A52AEE">
        <w:t>17-19</w:t>
      </w:r>
      <w:r w:rsidRPr="00A52AEE">
        <w:t xml:space="preserve">. Clearly, age profiles will explain variances in the HE progression behaviour of ethnic group cohorts, explored in </w:t>
      </w:r>
      <w:r w:rsidR="00F60ABC" w:rsidRPr="00A52AEE">
        <w:t>Section 5.</w:t>
      </w:r>
    </w:p>
    <w:p w14:paraId="2E91A71B" w14:textId="77777777" w:rsidR="009A2373" w:rsidRDefault="009A2373" w:rsidP="00A52AEE">
      <w:pPr>
        <w:rPr>
          <w:b/>
        </w:rPr>
      </w:pPr>
    </w:p>
    <w:p w14:paraId="0C53D890" w14:textId="5E732455" w:rsidR="00766035" w:rsidRPr="000D7228" w:rsidRDefault="00766035" w:rsidP="00A52AEE">
      <w:pPr>
        <w:rPr>
          <w:b/>
        </w:rPr>
      </w:pPr>
      <w:r w:rsidRPr="000D7228">
        <w:rPr>
          <w:b/>
        </w:rPr>
        <w:t>Table 1</w:t>
      </w:r>
      <w:r w:rsidR="004D2866">
        <w:rPr>
          <w:b/>
        </w:rPr>
        <w:t>7</w:t>
      </w:r>
      <w:r w:rsidRPr="000D7228">
        <w:rPr>
          <w:b/>
        </w:rPr>
        <w:t>: Cohort breakdown by ethnic group and age</w:t>
      </w:r>
    </w:p>
    <w:p w14:paraId="2EA452ED" w14:textId="77777777" w:rsidR="00766035" w:rsidRPr="00A52AEE" w:rsidRDefault="00766035" w:rsidP="00A52AEE"/>
    <w:tbl>
      <w:tblPr>
        <w:tblW w:w="5000" w:type="pct"/>
        <w:tblLayout w:type="fixed"/>
        <w:tblLook w:val="04A0" w:firstRow="1" w:lastRow="0" w:firstColumn="1" w:lastColumn="0" w:noHBand="0" w:noVBand="1"/>
      </w:tblPr>
      <w:tblGrid>
        <w:gridCol w:w="5118"/>
        <w:gridCol w:w="1497"/>
        <w:gridCol w:w="1126"/>
        <w:gridCol w:w="812"/>
        <w:gridCol w:w="1018"/>
      </w:tblGrid>
      <w:tr w:rsidR="00D2146B" w:rsidRPr="000D7228" w14:paraId="0DB52555" w14:textId="77777777" w:rsidTr="00D2146B">
        <w:trPr>
          <w:trHeight w:val="435"/>
        </w:trPr>
        <w:tc>
          <w:tcPr>
            <w:tcW w:w="2674"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4CBC6FFA" w14:textId="77777777" w:rsidR="001F1D4D" w:rsidRPr="000D7228" w:rsidRDefault="001F1D4D" w:rsidP="00A52AEE">
            <w:pPr>
              <w:rPr>
                <w:b/>
                <w:color w:val="FFFFFF" w:themeColor="background1"/>
                <w:lang w:eastAsia="en-GB"/>
              </w:rPr>
            </w:pPr>
          </w:p>
          <w:p w14:paraId="17D3908C" w14:textId="77777777" w:rsidR="00766035" w:rsidRPr="000D7228" w:rsidRDefault="00766035" w:rsidP="00A52AEE">
            <w:pPr>
              <w:rPr>
                <w:b/>
                <w:color w:val="FFFFFF" w:themeColor="background1"/>
                <w:lang w:eastAsia="en-GB"/>
              </w:rPr>
            </w:pPr>
            <w:r w:rsidRPr="000D7228">
              <w:rPr>
                <w:b/>
                <w:color w:val="FFFFFF" w:themeColor="background1"/>
                <w:lang w:eastAsia="en-GB"/>
              </w:rPr>
              <w:t>Ethnic group</w:t>
            </w:r>
          </w:p>
          <w:p w14:paraId="2A5CF6D8" w14:textId="77777777" w:rsidR="001F1D4D" w:rsidRPr="000D7228" w:rsidRDefault="001F1D4D" w:rsidP="00A52AEE">
            <w:pPr>
              <w:rPr>
                <w:b/>
                <w:color w:val="FFFFFF" w:themeColor="background1"/>
                <w:lang w:eastAsia="en-GB"/>
              </w:rPr>
            </w:pPr>
          </w:p>
          <w:p w14:paraId="0BD2991A" w14:textId="77777777" w:rsidR="001F1D4D" w:rsidRPr="000D7228" w:rsidRDefault="001F1D4D" w:rsidP="00A52AEE">
            <w:pPr>
              <w:rPr>
                <w:b/>
                <w:color w:val="FFFFFF" w:themeColor="background1"/>
                <w:lang w:eastAsia="en-GB"/>
              </w:rPr>
            </w:pPr>
          </w:p>
        </w:tc>
        <w:tc>
          <w:tcPr>
            <w:tcW w:w="782"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94821EF" w14:textId="77777777" w:rsidR="00766035" w:rsidRPr="000D7228" w:rsidRDefault="00766035" w:rsidP="00A52AEE">
            <w:pPr>
              <w:rPr>
                <w:b/>
                <w:color w:val="FFFFFF" w:themeColor="background1"/>
                <w:lang w:eastAsia="en-GB"/>
              </w:rPr>
            </w:pPr>
            <w:r w:rsidRPr="000D7228">
              <w:rPr>
                <w:b/>
                <w:color w:val="FFFFFF" w:themeColor="background1"/>
                <w:lang w:eastAsia="en-GB"/>
              </w:rPr>
              <w:t>Cohort population</w:t>
            </w:r>
          </w:p>
        </w:tc>
        <w:tc>
          <w:tcPr>
            <w:tcW w:w="588"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4F4A9D19" w14:textId="3163602B" w:rsidR="00766035" w:rsidRPr="000D7228" w:rsidRDefault="005175E4" w:rsidP="00A52AEE">
            <w:pPr>
              <w:rPr>
                <w:b/>
                <w:color w:val="FFFFFF" w:themeColor="background1"/>
                <w:lang w:eastAsia="en-GB"/>
              </w:rPr>
            </w:pPr>
            <w:r w:rsidRPr="000D7228">
              <w:rPr>
                <w:b/>
                <w:color w:val="FFFFFF" w:themeColor="background1"/>
                <w:lang w:eastAsia="en-GB"/>
              </w:rPr>
              <w:t>17-19</w:t>
            </w:r>
          </w:p>
        </w:tc>
        <w:tc>
          <w:tcPr>
            <w:tcW w:w="424"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7C79A8A9" w14:textId="77777777" w:rsidR="00766035" w:rsidRPr="000D7228" w:rsidRDefault="00766035" w:rsidP="00A52AEE">
            <w:pPr>
              <w:rPr>
                <w:b/>
                <w:color w:val="FFFFFF" w:themeColor="background1"/>
                <w:lang w:eastAsia="en-GB"/>
              </w:rPr>
            </w:pPr>
            <w:r w:rsidRPr="000D7228">
              <w:rPr>
                <w:b/>
                <w:color w:val="FFFFFF" w:themeColor="background1"/>
                <w:lang w:eastAsia="en-GB"/>
              </w:rPr>
              <w:t>20-24</w:t>
            </w:r>
          </w:p>
        </w:tc>
        <w:tc>
          <w:tcPr>
            <w:tcW w:w="53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24860C4" w14:textId="77777777" w:rsidR="00766035" w:rsidRPr="000D7228" w:rsidRDefault="00766035" w:rsidP="00A52AEE">
            <w:pPr>
              <w:rPr>
                <w:b/>
                <w:color w:val="FFFFFF" w:themeColor="background1"/>
                <w:lang w:eastAsia="en-GB"/>
              </w:rPr>
            </w:pPr>
            <w:r w:rsidRPr="000D7228">
              <w:rPr>
                <w:b/>
                <w:color w:val="FFFFFF" w:themeColor="background1"/>
                <w:lang w:eastAsia="en-GB"/>
              </w:rPr>
              <w:t>25 plus</w:t>
            </w:r>
          </w:p>
        </w:tc>
      </w:tr>
      <w:tr w:rsidR="00766035" w:rsidRPr="00A52AEE" w14:paraId="4A29D3DA"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7965F775" w14:textId="77777777" w:rsidR="00766035" w:rsidRPr="00A52AEE" w:rsidRDefault="00766035" w:rsidP="00A52AEE">
            <w:pPr>
              <w:rPr>
                <w:lang w:eastAsia="en-GB"/>
              </w:rPr>
            </w:pPr>
            <w:r w:rsidRPr="00A52AEE">
              <w:rPr>
                <w:lang w:eastAsia="en-GB"/>
              </w:rPr>
              <w:t>Asian or Asian British - any other Asian background</w:t>
            </w:r>
          </w:p>
        </w:tc>
        <w:tc>
          <w:tcPr>
            <w:tcW w:w="782" w:type="pct"/>
            <w:tcBorders>
              <w:top w:val="nil"/>
              <w:left w:val="nil"/>
              <w:bottom w:val="single" w:sz="4" w:space="0" w:color="auto"/>
              <w:right w:val="single" w:sz="4" w:space="0" w:color="auto"/>
            </w:tcBorders>
            <w:shd w:val="clear" w:color="auto" w:fill="auto"/>
            <w:vAlign w:val="center"/>
            <w:hideMark/>
          </w:tcPr>
          <w:p w14:paraId="57D32B94" w14:textId="77777777" w:rsidR="00766035" w:rsidRPr="00A52AEE" w:rsidRDefault="00766035" w:rsidP="009A2373">
            <w:pPr>
              <w:jc w:val="right"/>
              <w:rPr>
                <w:lang w:eastAsia="en-GB"/>
              </w:rPr>
            </w:pPr>
            <w:r w:rsidRPr="00A52AEE">
              <w:rPr>
                <w:lang w:eastAsia="en-GB"/>
              </w:rPr>
              <w:t>9255</w:t>
            </w:r>
          </w:p>
        </w:tc>
        <w:tc>
          <w:tcPr>
            <w:tcW w:w="588" w:type="pct"/>
            <w:tcBorders>
              <w:top w:val="nil"/>
              <w:left w:val="nil"/>
              <w:bottom w:val="single" w:sz="4" w:space="0" w:color="auto"/>
              <w:right w:val="single" w:sz="4" w:space="0" w:color="auto"/>
            </w:tcBorders>
            <w:shd w:val="clear" w:color="auto" w:fill="auto"/>
            <w:noWrap/>
            <w:vAlign w:val="center"/>
            <w:hideMark/>
          </w:tcPr>
          <w:p w14:paraId="5B3BB224" w14:textId="77777777" w:rsidR="00766035" w:rsidRPr="00A52AEE" w:rsidRDefault="00766035" w:rsidP="009A2373">
            <w:pPr>
              <w:jc w:val="right"/>
              <w:rPr>
                <w:lang w:eastAsia="en-GB"/>
              </w:rPr>
            </w:pPr>
            <w:r w:rsidRPr="00A52AEE">
              <w:rPr>
                <w:lang w:eastAsia="en-GB"/>
              </w:rPr>
              <w:t>61%</w:t>
            </w:r>
          </w:p>
        </w:tc>
        <w:tc>
          <w:tcPr>
            <w:tcW w:w="424" w:type="pct"/>
            <w:tcBorders>
              <w:top w:val="nil"/>
              <w:left w:val="nil"/>
              <w:bottom w:val="single" w:sz="4" w:space="0" w:color="auto"/>
              <w:right w:val="single" w:sz="4" w:space="0" w:color="auto"/>
            </w:tcBorders>
            <w:shd w:val="clear" w:color="auto" w:fill="auto"/>
            <w:noWrap/>
            <w:vAlign w:val="center"/>
            <w:hideMark/>
          </w:tcPr>
          <w:p w14:paraId="1C2E0611" w14:textId="77777777" w:rsidR="00766035" w:rsidRPr="00A52AEE" w:rsidRDefault="00766035" w:rsidP="009A2373">
            <w:pPr>
              <w:jc w:val="right"/>
              <w:rPr>
                <w:lang w:eastAsia="en-GB"/>
              </w:rPr>
            </w:pPr>
            <w:r w:rsidRPr="00A52AEE">
              <w:rPr>
                <w:lang w:eastAsia="en-GB"/>
              </w:rPr>
              <w:t>15%</w:t>
            </w:r>
          </w:p>
        </w:tc>
        <w:tc>
          <w:tcPr>
            <w:tcW w:w="532" w:type="pct"/>
            <w:tcBorders>
              <w:top w:val="nil"/>
              <w:left w:val="nil"/>
              <w:bottom w:val="single" w:sz="4" w:space="0" w:color="auto"/>
              <w:right w:val="single" w:sz="4" w:space="0" w:color="auto"/>
            </w:tcBorders>
            <w:shd w:val="clear" w:color="auto" w:fill="auto"/>
            <w:noWrap/>
            <w:vAlign w:val="center"/>
            <w:hideMark/>
          </w:tcPr>
          <w:p w14:paraId="2CAB7EBD" w14:textId="77777777" w:rsidR="00766035" w:rsidRPr="00A52AEE" w:rsidRDefault="00766035" w:rsidP="009A2373">
            <w:pPr>
              <w:jc w:val="right"/>
              <w:rPr>
                <w:lang w:eastAsia="en-GB"/>
              </w:rPr>
            </w:pPr>
            <w:r w:rsidRPr="00A52AEE">
              <w:rPr>
                <w:lang w:eastAsia="en-GB"/>
              </w:rPr>
              <w:t>24%</w:t>
            </w:r>
          </w:p>
        </w:tc>
      </w:tr>
      <w:tr w:rsidR="00766035" w:rsidRPr="00A52AEE" w14:paraId="574CB792"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1B13F11" w14:textId="77777777" w:rsidR="00766035" w:rsidRPr="00A52AEE" w:rsidRDefault="00766035" w:rsidP="00A52AEE">
            <w:pPr>
              <w:rPr>
                <w:lang w:eastAsia="en-GB"/>
              </w:rPr>
            </w:pPr>
            <w:r w:rsidRPr="00A52AEE">
              <w:rPr>
                <w:lang w:eastAsia="en-GB"/>
              </w:rPr>
              <w:t>Asian or Asian British –Bangladeshi</w:t>
            </w:r>
          </w:p>
        </w:tc>
        <w:tc>
          <w:tcPr>
            <w:tcW w:w="782" w:type="pct"/>
            <w:tcBorders>
              <w:top w:val="nil"/>
              <w:left w:val="nil"/>
              <w:bottom w:val="single" w:sz="4" w:space="0" w:color="auto"/>
              <w:right w:val="single" w:sz="4" w:space="0" w:color="auto"/>
            </w:tcBorders>
            <w:shd w:val="clear" w:color="auto" w:fill="auto"/>
            <w:vAlign w:val="center"/>
            <w:hideMark/>
          </w:tcPr>
          <w:p w14:paraId="47CD4618" w14:textId="77777777" w:rsidR="00766035" w:rsidRPr="00A52AEE" w:rsidRDefault="00766035" w:rsidP="009A2373">
            <w:pPr>
              <w:jc w:val="right"/>
              <w:rPr>
                <w:lang w:eastAsia="en-GB"/>
              </w:rPr>
            </w:pPr>
            <w:r w:rsidRPr="00A52AEE">
              <w:rPr>
                <w:lang w:eastAsia="en-GB"/>
              </w:rPr>
              <w:t>8245</w:t>
            </w:r>
          </w:p>
        </w:tc>
        <w:tc>
          <w:tcPr>
            <w:tcW w:w="588" w:type="pct"/>
            <w:tcBorders>
              <w:top w:val="nil"/>
              <w:left w:val="nil"/>
              <w:bottom w:val="single" w:sz="4" w:space="0" w:color="auto"/>
              <w:right w:val="single" w:sz="4" w:space="0" w:color="auto"/>
            </w:tcBorders>
            <w:shd w:val="clear" w:color="auto" w:fill="auto"/>
            <w:noWrap/>
            <w:vAlign w:val="center"/>
            <w:hideMark/>
          </w:tcPr>
          <w:p w14:paraId="2906D52C" w14:textId="77777777" w:rsidR="00766035" w:rsidRPr="00A52AEE" w:rsidRDefault="00766035" w:rsidP="009A2373">
            <w:pPr>
              <w:jc w:val="right"/>
              <w:rPr>
                <w:lang w:eastAsia="en-GB"/>
              </w:rPr>
            </w:pPr>
            <w:r w:rsidRPr="00A52AEE">
              <w:rPr>
                <w:lang w:eastAsia="en-GB"/>
              </w:rPr>
              <w:t>78%</w:t>
            </w:r>
          </w:p>
        </w:tc>
        <w:tc>
          <w:tcPr>
            <w:tcW w:w="424" w:type="pct"/>
            <w:tcBorders>
              <w:top w:val="nil"/>
              <w:left w:val="nil"/>
              <w:bottom w:val="single" w:sz="4" w:space="0" w:color="auto"/>
              <w:right w:val="single" w:sz="4" w:space="0" w:color="auto"/>
            </w:tcBorders>
            <w:shd w:val="clear" w:color="auto" w:fill="auto"/>
            <w:noWrap/>
            <w:vAlign w:val="center"/>
            <w:hideMark/>
          </w:tcPr>
          <w:p w14:paraId="062CB348" w14:textId="77777777" w:rsidR="00766035" w:rsidRPr="00A52AEE" w:rsidRDefault="00766035" w:rsidP="009A2373">
            <w:pPr>
              <w:jc w:val="right"/>
              <w:rPr>
                <w:lang w:eastAsia="en-GB"/>
              </w:rPr>
            </w:pPr>
            <w:r w:rsidRPr="00A52AEE">
              <w:rPr>
                <w:lang w:eastAsia="en-GB"/>
              </w:rPr>
              <w:t>8%</w:t>
            </w:r>
          </w:p>
        </w:tc>
        <w:tc>
          <w:tcPr>
            <w:tcW w:w="532" w:type="pct"/>
            <w:tcBorders>
              <w:top w:val="nil"/>
              <w:left w:val="nil"/>
              <w:bottom w:val="single" w:sz="4" w:space="0" w:color="auto"/>
              <w:right w:val="single" w:sz="4" w:space="0" w:color="auto"/>
            </w:tcBorders>
            <w:shd w:val="clear" w:color="auto" w:fill="auto"/>
            <w:noWrap/>
            <w:vAlign w:val="center"/>
            <w:hideMark/>
          </w:tcPr>
          <w:p w14:paraId="7BE690C4" w14:textId="77777777" w:rsidR="00766035" w:rsidRPr="00A52AEE" w:rsidRDefault="00766035" w:rsidP="009A2373">
            <w:pPr>
              <w:jc w:val="right"/>
              <w:rPr>
                <w:lang w:eastAsia="en-GB"/>
              </w:rPr>
            </w:pPr>
            <w:r w:rsidRPr="00A52AEE">
              <w:rPr>
                <w:lang w:eastAsia="en-GB"/>
              </w:rPr>
              <w:t>14%</w:t>
            </w:r>
          </w:p>
        </w:tc>
      </w:tr>
      <w:tr w:rsidR="00766035" w:rsidRPr="00A52AEE" w14:paraId="69B27A4F"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352B4C5C" w14:textId="77777777" w:rsidR="00766035" w:rsidRPr="00A52AEE" w:rsidRDefault="00766035" w:rsidP="00A52AEE">
            <w:pPr>
              <w:rPr>
                <w:lang w:eastAsia="en-GB"/>
              </w:rPr>
            </w:pPr>
            <w:r w:rsidRPr="00A52AEE">
              <w:rPr>
                <w:lang w:eastAsia="en-GB"/>
              </w:rPr>
              <w:t>Asian or Asian British –Indian</w:t>
            </w:r>
          </w:p>
        </w:tc>
        <w:tc>
          <w:tcPr>
            <w:tcW w:w="782" w:type="pct"/>
            <w:tcBorders>
              <w:top w:val="nil"/>
              <w:left w:val="nil"/>
              <w:bottom w:val="single" w:sz="4" w:space="0" w:color="auto"/>
              <w:right w:val="single" w:sz="4" w:space="0" w:color="auto"/>
            </w:tcBorders>
            <w:shd w:val="clear" w:color="auto" w:fill="auto"/>
            <w:vAlign w:val="center"/>
            <w:hideMark/>
          </w:tcPr>
          <w:p w14:paraId="591D239C" w14:textId="77777777" w:rsidR="00766035" w:rsidRPr="00A52AEE" w:rsidRDefault="00766035" w:rsidP="009A2373">
            <w:pPr>
              <w:jc w:val="right"/>
              <w:rPr>
                <w:lang w:eastAsia="en-GB"/>
              </w:rPr>
            </w:pPr>
            <w:r w:rsidRPr="00A52AEE">
              <w:rPr>
                <w:lang w:eastAsia="en-GB"/>
              </w:rPr>
              <w:t>11365</w:t>
            </w:r>
          </w:p>
        </w:tc>
        <w:tc>
          <w:tcPr>
            <w:tcW w:w="588" w:type="pct"/>
            <w:tcBorders>
              <w:top w:val="nil"/>
              <w:left w:val="nil"/>
              <w:bottom w:val="single" w:sz="4" w:space="0" w:color="auto"/>
              <w:right w:val="single" w:sz="4" w:space="0" w:color="auto"/>
            </w:tcBorders>
            <w:shd w:val="clear" w:color="auto" w:fill="auto"/>
            <w:noWrap/>
            <w:vAlign w:val="center"/>
            <w:hideMark/>
          </w:tcPr>
          <w:p w14:paraId="4DEC0EBB" w14:textId="77777777" w:rsidR="00766035" w:rsidRPr="00A52AEE" w:rsidRDefault="00766035" w:rsidP="009A2373">
            <w:pPr>
              <w:jc w:val="right"/>
              <w:rPr>
                <w:lang w:eastAsia="en-GB"/>
              </w:rPr>
            </w:pPr>
            <w:r w:rsidRPr="00A52AEE">
              <w:rPr>
                <w:lang w:eastAsia="en-GB"/>
              </w:rPr>
              <w:t>69%</w:t>
            </w:r>
          </w:p>
        </w:tc>
        <w:tc>
          <w:tcPr>
            <w:tcW w:w="424" w:type="pct"/>
            <w:tcBorders>
              <w:top w:val="nil"/>
              <w:left w:val="nil"/>
              <w:bottom w:val="single" w:sz="4" w:space="0" w:color="auto"/>
              <w:right w:val="single" w:sz="4" w:space="0" w:color="auto"/>
            </w:tcBorders>
            <w:shd w:val="clear" w:color="auto" w:fill="auto"/>
            <w:noWrap/>
            <w:vAlign w:val="center"/>
            <w:hideMark/>
          </w:tcPr>
          <w:p w14:paraId="73FE0DD2" w14:textId="77777777" w:rsidR="00766035" w:rsidRPr="00A52AEE" w:rsidRDefault="00766035" w:rsidP="009A2373">
            <w:pPr>
              <w:jc w:val="right"/>
              <w:rPr>
                <w:lang w:eastAsia="en-GB"/>
              </w:rPr>
            </w:pPr>
            <w:r w:rsidRPr="00A52AEE">
              <w:rPr>
                <w:lang w:eastAsia="en-GB"/>
              </w:rPr>
              <w:t>8%</w:t>
            </w:r>
          </w:p>
        </w:tc>
        <w:tc>
          <w:tcPr>
            <w:tcW w:w="532" w:type="pct"/>
            <w:tcBorders>
              <w:top w:val="nil"/>
              <w:left w:val="nil"/>
              <w:bottom w:val="single" w:sz="4" w:space="0" w:color="auto"/>
              <w:right w:val="single" w:sz="4" w:space="0" w:color="auto"/>
            </w:tcBorders>
            <w:shd w:val="clear" w:color="auto" w:fill="auto"/>
            <w:noWrap/>
            <w:vAlign w:val="center"/>
            <w:hideMark/>
          </w:tcPr>
          <w:p w14:paraId="74653516" w14:textId="77777777" w:rsidR="00766035" w:rsidRPr="00A52AEE" w:rsidRDefault="00766035" w:rsidP="009A2373">
            <w:pPr>
              <w:jc w:val="right"/>
              <w:rPr>
                <w:lang w:eastAsia="en-GB"/>
              </w:rPr>
            </w:pPr>
            <w:r w:rsidRPr="00A52AEE">
              <w:rPr>
                <w:lang w:eastAsia="en-GB"/>
              </w:rPr>
              <w:t>23%</w:t>
            </w:r>
          </w:p>
        </w:tc>
      </w:tr>
      <w:tr w:rsidR="00766035" w:rsidRPr="00A52AEE" w14:paraId="6A872E84"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7F0B297F" w14:textId="77777777" w:rsidR="00766035" w:rsidRPr="00A52AEE" w:rsidRDefault="00766035" w:rsidP="00A52AEE">
            <w:pPr>
              <w:rPr>
                <w:lang w:eastAsia="en-GB"/>
              </w:rPr>
            </w:pPr>
            <w:r w:rsidRPr="00A52AEE">
              <w:rPr>
                <w:lang w:eastAsia="en-GB"/>
              </w:rPr>
              <w:t>Asian or Asian British –Pakistani</w:t>
            </w:r>
          </w:p>
        </w:tc>
        <w:tc>
          <w:tcPr>
            <w:tcW w:w="782" w:type="pct"/>
            <w:tcBorders>
              <w:top w:val="nil"/>
              <w:left w:val="nil"/>
              <w:bottom w:val="single" w:sz="4" w:space="0" w:color="auto"/>
              <w:right w:val="single" w:sz="4" w:space="0" w:color="auto"/>
            </w:tcBorders>
            <w:shd w:val="clear" w:color="auto" w:fill="auto"/>
            <w:vAlign w:val="center"/>
            <w:hideMark/>
          </w:tcPr>
          <w:p w14:paraId="6A43F68E" w14:textId="77777777" w:rsidR="00766035" w:rsidRPr="00A52AEE" w:rsidRDefault="00766035" w:rsidP="009A2373">
            <w:pPr>
              <w:jc w:val="right"/>
              <w:rPr>
                <w:lang w:eastAsia="en-GB"/>
              </w:rPr>
            </w:pPr>
            <w:r w:rsidRPr="00A52AEE">
              <w:rPr>
                <w:lang w:eastAsia="en-GB"/>
              </w:rPr>
              <w:t>7570</w:t>
            </w:r>
          </w:p>
        </w:tc>
        <w:tc>
          <w:tcPr>
            <w:tcW w:w="588" w:type="pct"/>
            <w:tcBorders>
              <w:top w:val="nil"/>
              <w:left w:val="nil"/>
              <w:bottom w:val="single" w:sz="4" w:space="0" w:color="auto"/>
              <w:right w:val="single" w:sz="4" w:space="0" w:color="auto"/>
            </w:tcBorders>
            <w:shd w:val="clear" w:color="auto" w:fill="auto"/>
            <w:noWrap/>
            <w:vAlign w:val="center"/>
            <w:hideMark/>
          </w:tcPr>
          <w:p w14:paraId="4C568485" w14:textId="77777777" w:rsidR="00766035" w:rsidRPr="00A52AEE" w:rsidRDefault="00766035" w:rsidP="009A2373">
            <w:pPr>
              <w:jc w:val="right"/>
              <w:rPr>
                <w:lang w:eastAsia="en-GB"/>
              </w:rPr>
            </w:pPr>
            <w:r w:rsidRPr="00A52AEE">
              <w:rPr>
                <w:lang w:eastAsia="en-GB"/>
              </w:rPr>
              <w:t>76%</w:t>
            </w:r>
          </w:p>
        </w:tc>
        <w:tc>
          <w:tcPr>
            <w:tcW w:w="424" w:type="pct"/>
            <w:tcBorders>
              <w:top w:val="nil"/>
              <w:left w:val="nil"/>
              <w:bottom w:val="single" w:sz="4" w:space="0" w:color="auto"/>
              <w:right w:val="single" w:sz="4" w:space="0" w:color="auto"/>
            </w:tcBorders>
            <w:shd w:val="clear" w:color="auto" w:fill="auto"/>
            <w:noWrap/>
            <w:vAlign w:val="center"/>
            <w:hideMark/>
          </w:tcPr>
          <w:p w14:paraId="2E26C17A" w14:textId="77777777" w:rsidR="00766035" w:rsidRPr="00A52AEE" w:rsidRDefault="00766035" w:rsidP="009A2373">
            <w:pPr>
              <w:jc w:val="right"/>
              <w:rPr>
                <w:lang w:eastAsia="en-GB"/>
              </w:rPr>
            </w:pPr>
            <w:r w:rsidRPr="00A52AEE">
              <w:rPr>
                <w:lang w:eastAsia="en-GB"/>
              </w:rPr>
              <w:t>10%</w:t>
            </w:r>
          </w:p>
        </w:tc>
        <w:tc>
          <w:tcPr>
            <w:tcW w:w="532" w:type="pct"/>
            <w:tcBorders>
              <w:top w:val="nil"/>
              <w:left w:val="nil"/>
              <w:bottom w:val="single" w:sz="4" w:space="0" w:color="auto"/>
              <w:right w:val="single" w:sz="4" w:space="0" w:color="auto"/>
            </w:tcBorders>
            <w:shd w:val="clear" w:color="auto" w:fill="auto"/>
            <w:noWrap/>
            <w:vAlign w:val="center"/>
            <w:hideMark/>
          </w:tcPr>
          <w:p w14:paraId="1FD93306" w14:textId="77777777" w:rsidR="00766035" w:rsidRPr="00A52AEE" w:rsidRDefault="00766035" w:rsidP="009A2373">
            <w:pPr>
              <w:jc w:val="right"/>
              <w:rPr>
                <w:lang w:eastAsia="en-GB"/>
              </w:rPr>
            </w:pPr>
            <w:r w:rsidRPr="00A52AEE">
              <w:rPr>
                <w:lang w:eastAsia="en-GB"/>
              </w:rPr>
              <w:t>14%</w:t>
            </w:r>
          </w:p>
        </w:tc>
      </w:tr>
      <w:tr w:rsidR="00766035" w:rsidRPr="00A52AEE" w14:paraId="26D4953A"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5F1066C7" w14:textId="77777777" w:rsidR="00766035" w:rsidRPr="00A52AEE" w:rsidRDefault="00766035" w:rsidP="00A52AEE">
            <w:pPr>
              <w:rPr>
                <w:lang w:eastAsia="en-GB"/>
              </w:rPr>
            </w:pPr>
            <w:r w:rsidRPr="00A52AEE">
              <w:rPr>
                <w:lang w:eastAsia="en-GB"/>
              </w:rPr>
              <w:t>Black or Black British - any other Black background</w:t>
            </w:r>
          </w:p>
        </w:tc>
        <w:tc>
          <w:tcPr>
            <w:tcW w:w="782" w:type="pct"/>
            <w:tcBorders>
              <w:top w:val="nil"/>
              <w:left w:val="nil"/>
              <w:bottom w:val="single" w:sz="4" w:space="0" w:color="auto"/>
              <w:right w:val="single" w:sz="4" w:space="0" w:color="auto"/>
            </w:tcBorders>
            <w:shd w:val="clear" w:color="auto" w:fill="auto"/>
            <w:vAlign w:val="center"/>
            <w:hideMark/>
          </w:tcPr>
          <w:p w14:paraId="1343BE8E" w14:textId="77777777" w:rsidR="00766035" w:rsidRPr="00A52AEE" w:rsidRDefault="00766035" w:rsidP="009A2373">
            <w:pPr>
              <w:jc w:val="right"/>
              <w:rPr>
                <w:lang w:eastAsia="en-GB"/>
              </w:rPr>
            </w:pPr>
            <w:r w:rsidRPr="00A52AEE">
              <w:rPr>
                <w:lang w:eastAsia="en-GB"/>
              </w:rPr>
              <w:t>6235</w:t>
            </w:r>
          </w:p>
        </w:tc>
        <w:tc>
          <w:tcPr>
            <w:tcW w:w="588" w:type="pct"/>
            <w:tcBorders>
              <w:top w:val="nil"/>
              <w:left w:val="nil"/>
              <w:bottom w:val="single" w:sz="4" w:space="0" w:color="auto"/>
              <w:right w:val="single" w:sz="4" w:space="0" w:color="auto"/>
            </w:tcBorders>
            <w:shd w:val="clear" w:color="auto" w:fill="auto"/>
            <w:noWrap/>
            <w:vAlign w:val="center"/>
            <w:hideMark/>
          </w:tcPr>
          <w:p w14:paraId="28F21465" w14:textId="77777777" w:rsidR="00766035" w:rsidRPr="00A52AEE" w:rsidRDefault="00766035" w:rsidP="009A2373">
            <w:pPr>
              <w:jc w:val="right"/>
              <w:rPr>
                <w:lang w:eastAsia="en-GB"/>
              </w:rPr>
            </w:pPr>
            <w:r w:rsidRPr="00A52AEE">
              <w:rPr>
                <w:lang w:eastAsia="en-GB"/>
              </w:rPr>
              <w:t>53%</w:t>
            </w:r>
          </w:p>
        </w:tc>
        <w:tc>
          <w:tcPr>
            <w:tcW w:w="424" w:type="pct"/>
            <w:tcBorders>
              <w:top w:val="nil"/>
              <w:left w:val="nil"/>
              <w:bottom w:val="single" w:sz="4" w:space="0" w:color="auto"/>
              <w:right w:val="single" w:sz="4" w:space="0" w:color="auto"/>
            </w:tcBorders>
            <w:shd w:val="clear" w:color="auto" w:fill="auto"/>
            <w:noWrap/>
            <w:vAlign w:val="center"/>
            <w:hideMark/>
          </w:tcPr>
          <w:p w14:paraId="6A05331E" w14:textId="77777777" w:rsidR="00766035" w:rsidRPr="00A52AEE" w:rsidRDefault="00766035" w:rsidP="009A2373">
            <w:pPr>
              <w:jc w:val="right"/>
              <w:rPr>
                <w:lang w:eastAsia="en-GB"/>
              </w:rPr>
            </w:pPr>
            <w:r w:rsidRPr="00A52AEE">
              <w:rPr>
                <w:lang w:eastAsia="en-GB"/>
              </w:rPr>
              <w:t>14%</w:t>
            </w:r>
          </w:p>
        </w:tc>
        <w:tc>
          <w:tcPr>
            <w:tcW w:w="532" w:type="pct"/>
            <w:tcBorders>
              <w:top w:val="nil"/>
              <w:left w:val="nil"/>
              <w:bottom w:val="single" w:sz="4" w:space="0" w:color="auto"/>
              <w:right w:val="single" w:sz="4" w:space="0" w:color="auto"/>
            </w:tcBorders>
            <w:shd w:val="clear" w:color="auto" w:fill="auto"/>
            <w:noWrap/>
            <w:vAlign w:val="center"/>
            <w:hideMark/>
          </w:tcPr>
          <w:p w14:paraId="6486EA3A" w14:textId="77777777" w:rsidR="00766035" w:rsidRPr="00A52AEE" w:rsidRDefault="00766035" w:rsidP="009A2373">
            <w:pPr>
              <w:jc w:val="right"/>
              <w:rPr>
                <w:lang w:eastAsia="en-GB"/>
              </w:rPr>
            </w:pPr>
            <w:r w:rsidRPr="00A52AEE">
              <w:rPr>
                <w:lang w:eastAsia="en-GB"/>
              </w:rPr>
              <w:t>33%</w:t>
            </w:r>
          </w:p>
        </w:tc>
      </w:tr>
      <w:tr w:rsidR="00766035" w:rsidRPr="00A52AEE" w14:paraId="681E6C24"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46DA9F6" w14:textId="77777777" w:rsidR="00766035" w:rsidRPr="00A52AEE" w:rsidRDefault="00766035" w:rsidP="00A52AEE">
            <w:pPr>
              <w:rPr>
                <w:lang w:eastAsia="en-GB"/>
              </w:rPr>
            </w:pPr>
            <w:r w:rsidRPr="00A52AEE">
              <w:rPr>
                <w:lang w:eastAsia="en-GB"/>
              </w:rPr>
              <w:t>Black or Black British –African</w:t>
            </w:r>
          </w:p>
        </w:tc>
        <w:tc>
          <w:tcPr>
            <w:tcW w:w="782" w:type="pct"/>
            <w:tcBorders>
              <w:top w:val="nil"/>
              <w:left w:val="nil"/>
              <w:bottom w:val="single" w:sz="4" w:space="0" w:color="auto"/>
              <w:right w:val="single" w:sz="4" w:space="0" w:color="auto"/>
            </w:tcBorders>
            <w:shd w:val="clear" w:color="auto" w:fill="auto"/>
            <w:vAlign w:val="center"/>
            <w:hideMark/>
          </w:tcPr>
          <w:p w14:paraId="3E1E1EAE" w14:textId="77777777" w:rsidR="00766035" w:rsidRPr="00A52AEE" w:rsidRDefault="00766035" w:rsidP="009A2373">
            <w:pPr>
              <w:jc w:val="right"/>
              <w:rPr>
                <w:lang w:eastAsia="en-GB"/>
              </w:rPr>
            </w:pPr>
            <w:r w:rsidRPr="00A52AEE">
              <w:rPr>
                <w:lang w:eastAsia="en-GB"/>
              </w:rPr>
              <w:t>36510</w:t>
            </w:r>
          </w:p>
        </w:tc>
        <w:tc>
          <w:tcPr>
            <w:tcW w:w="588" w:type="pct"/>
            <w:tcBorders>
              <w:top w:val="nil"/>
              <w:left w:val="nil"/>
              <w:bottom w:val="single" w:sz="4" w:space="0" w:color="auto"/>
              <w:right w:val="single" w:sz="4" w:space="0" w:color="auto"/>
            </w:tcBorders>
            <w:shd w:val="clear" w:color="auto" w:fill="auto"/>
            <w:noWrap/>
            <w:vAlign w:val="center"/>
            <w:hideMark/>
          </w:tcPr>
          <w:p w14:paraId="248BCAA9" w14:textId="77777777" w:rsidR="00766035" w:rsidRPr="00A52AEE" w:rsidRDefault="00766035" w:rsidP="009A2373">
            <w:pPr>
              <w:jc w:val="right"/>
              <w:rPr>
                <w:lang w:eastAsia="en-GB"/>
              </w:rPr>
            </w:pPr>
            <w:r w:rsidRPr="00A52AEE">
              <w:rPr>
                <w:lang w:eastAsia="en-GB"/>
              </w:rPr>
              <w:t>60%</w:t>
            </w:r>
          </w:p>
        </w:tc>
        <w:tc>
          <w:tcPr>
            <w:tcW w:w="424" w:type="pct"/>
            <w:tcBorders>
              <w:top w:val="nil"/>
              <w:left w:val="nil"/>
              <w:bottom w:val="single" w:sz="4" w:space="0" w:color="auto"/>
              <w:right w:val="single" w:sz="4" w:space="0" w:color="auto"/>
            </w:tcBorders>
            <w:shd w:val="clear" w:color="auto" w:fill="auto"/>
            <w:noWrap/>
            <w:vAlign w:val="center"/>
            <w:hideMark/>
          </w:tcPr>
          <w:p w14:paraId="21EA79E2" w14:textId="77777777" w:rsidR="00766035" w:rsidRPr="00A52AEE" w:rsidRDefault="00766035" w:rsidP="009A2373">
            <w:pPr>
              <w:jc w:val="right"/>
              <w:rPr>
                <w:lang w:eastAsia="en-GB"/>
              </w:rPr>
            </w:pPr>
            <w:r w:rsidRPr="00A52AEE">
              <w:rPr>
                <w:lang w:eastAsia="en-GB"/>
              </w:rPr>
              <w:t>12%</w:t>
            </w:r>
          </w:p>
        </w:tc>
        <w:tc>
          <w:tcPr>
            <w:tcW w:w="532" w:type="pct"/>
            <w:tcBorders>
              <w:top w:val="nil"/>
              <w:left w:val="nil"/>
              <w:bottom w:val="single" w:sz="4" w:space="0" w:color="auto"/>
              <w:right w:val="single" w:sz="4" w:space="0" w:color="auto"/>
            </w:tcBorders>
            <w:shd w:val="clear" w:color="auto" w:fill="auto"/>
            <w:noWrap/>
            <w:vAlign w:val="center"/>
            <w:hideMark/>
          </w:tcPr>
          <w:p w14:paraId="3B528754" w14:textId="77777777" w:rsidR="00766035" w:rsidRPr="00A52AEE" w:rsidRDefault="00766035" w:rsidP="009A2373">
            <w:pPr>
              <w:jc w:val="right"/>
              <w:rPr>
                <w:lang w:eastAsia="en-GB"/>
              </w:rPr>
            </w:pPr>
            <w:r w:rsidRPr="00A52AEE">
              <w:rPr>
                <w:lang w:eastAsia="en-GB"/>
              </w:rPr>
              <w:t>28%</w:t>
            </w:r>
          </w:p>
        </w:tc>
      </w:tr>
      <w:tr w:rsidR="00766035" w:rsidRPr="00A52AEE" w14:paraId="10B8BA8A"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72279DFB" w14:textId="77777777" w:rsidR="00766035" w:rsidRPr="00A52AEE" w:rsidRDefault="00766035" w:rsidP="00A52AEE">
            <w:pPr>
              <w:rPr>
                <w:lang w:eastAsia="en-GB"/>
              </w:rPr>
            </w:pPr>
            <w:r w:rsidRPr="00A52AEE">
              <w:rPr>
                <w:lang w:eastAsia="en-GB"/>
              </w:rPr>
              <w:t>Black or Black British –Caribbean</w:t>
            </w:r>
          </w:p>
        </w:tc>
        <w:tc>
          <w:tcPr>
            <w:tcW w:w="782" w:type="pct"/>
            <w:tcBorders>
              <w:top w:val="nil"/>
              <w:left w:val="nil"/>
              <w:bottom w:val="single" w:sz="4" w:space="0" w:color="auto"/>
              <w:right w:val="single" w:sz="4" w:space="0" w:color="auto"/>
            </w:tcBorders>
            <w:shd w:val="clear" w:color="auto" w:fill="auto"/>
            <w:vAlign w:val="center"/>
            <w:hideMark/>
          </w:tcPr>
          <w:p w14:paraId="74E49E84" w14:textId="77777777" w:rsidR="00766035" w:rsidRPr="00A52AEE" w:rsidRDefault="00766035" w:rsidP="009A2373">
            <w:pPr>
              <w:jc w:val="right"/>
              <w:rPr>
                <w:lang w:eastAsia="en-GB"/>
              </w:rPr>
            </w:pPr>
            <w:r w:rsidRPr="00A52AEE">
              <w:rPr>
                <w:lang w:eastAsia="en-GB"/>
              </w:rPr>
              <w:t>19820</w:t>
            </w:r>
          </w:p>
        </w:tc>
        <w:tc>
          <w:tcPr>
            <w:tcW w:w="588" w:type="pct"/>
            <w:tcBorders>
              <w:top w:val="nil"/>
              <w:left w:val="nil"/>
              <w:bottom w:val="single" w:sz="4" w:space="0" w:color="auto"/>
              <w:right w:val="single" w:sz="4" w:space="0" w:color="auto"/>
            </w:tcBorders>
            <w:shd w:val="clear" w:color="auto" w:fill="auto"/>
            <w:noWrap/>
            <w:vAlign w:val="center"/>
            <w:hideMark/>
          </w:tcPr>
          <w:p w14:paraId="01A2235F" w14:textId="77777777" w:rsidR="00766035" w:rsidRPr="00A52AEE" w:rsidRDefault="00766035" w:rsidP="009A2373">
            <w:pPr>
              <w:jc w:val="right"/>
              <w:rPr>
                <w:lang w:eastAsia="en-GB"/>
              </w:rPr>
            </w:pPr>
            <w:r w:rsidRPr="00A52AEE">
              <w:rPr>
                <w:lang w:eastAsia="en-GB"/>
              </w:rPr>
              <w:t>57%</w:t>
            </w:r>
          </w:p>
        </w:tc>
        <w:tc>
          <w:tcPr>
            <w:tcW w:w="424" w:type="pct"/>
            <w:tcBorders>
              <w:top w:val="nil"/>
              <w:left w:val="nil"/>
              <w:bottom w:val="single" w:sz="4" w:space="0" w:color="auto"/>
              <w:right w:val="single" w:sz="4" w:space="0" w:color="auto"/>
            </w:tcBorders>
            <w:shd w:val="clear" w:color="auto" w:fill="auto"/>
            <w:noWrap/>
            <w:vAlign w:val="center"/>
            <w:hideMark/>
          </w:tcPr>
          <w:p w14:paraId="443398E7" w14:textId="77777777" w:rsidR="00766035" w:rsidRPr="00A52AEE" w:rsidRDefault="00766035" w:rsidP="009A2373">
            <w:pPr>
              <w:jc w:val="right"/>
              <w:rPr>
                <w:lang w:eastAsia="en-GB"/>
              </w:rPr>
            </w:pPr>
            <w:r w:rsidRPr="00A52AEE">
              <w:rPr>
                <w:lang w:eastAsia="en-GB"/>
              </w:rPr>
              <w:t>11%</w:t>
            </w:r>
          </w:p>
        </w:tc>
        <w:tc>
          <w:tcPr>
            <w:tcW w:w="532" w:type="pct"/>
            <w:tcBorders>
              <w:top w:val="nil"/>
              <w:left w:val="nil"/>
              <w:bottom w:val="single" w:sz="4" w:space="0" w:color="auto"/>
              <w:right w:val="single" w:sz="4" w:space="0" w:color="auto"/>
            </w:tcBorders>
            <w:shd w:val="clear" w:color="auto" w:fill="auto"/>
            <w:noWrap/>
            <w:vAlign w:val="center"/>
            <w:hideMark/>
          </w:tcPr>
          <w:p w14:paraId="0A7DA1E6" w14:textId="77777777" w:rsidR="00766035" w:rsidRPr="00A52AEE" w:rsidRDefault="00766035" w:rsidP="009A2373">
            <w:pPr>
              <w:jc w:val="right"/>
              <w:rPr>
                <w:lang w:eastAsia="en-GB"/>
              </w:rPr>
            </w:pPr>
            <w:r w:rsidRPr="00A52AEE">
              <w:rPr>
                <w:lang w:eastAsia="en-GB"/>
              </w:rPr>
              <w:t>32%</w:t>
            </w:r>
          </w:p>
        </w:tc>
      </w:tr>
      <w:tr w:rsidR="00766035" w:rsidRPr="00A52AEE" w14:paraId="439516EB"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19D90CA3" w14:textId="77777777" w:rsidR="00766035" w:rsidRPr="00A52AEE" w:rsidRDefault="00766035" w:rsidP="00A52AEE">
            <w:pPr>
              <w:rPr>
                <w:lang w:eastAsia="en-GB"/>
              </w:rPr>
            </w:pPr>
            <w:r w:rsidRPr="00A52AEE">
              <w:rPr>
                <w:lang w:eastAsia="en-GB"/>
              </w:rPr>
              <w:t>Chinese</w:t>
            </w:r>
          </w:p>
        </w:tc>
        <w:tc>
          <w:tcPr>
            <w:tcW w:w="782" w:type="pct"/>
            <w:tcBorders>
              <w:top w:val="nil"/>
              <w:left w:val="nil"/>
              <w:bottom w:val="single" w:sz="4" w:space="0" w:color="auto"/>
              <w:right w:val="single" w:sz="4" w:space="0" w:color="auto"/>
            </w:tcBorders>
            <w:shd w:val="clear" w:color="auto" w:fill="auto"/>
            <w:vAlign w:val="center"/>
            <w:hideMark/>
          </w:tcPr>
          <w:p w14:paraId="36C68E26" w14:textId="77777777" w:rsidR="00766035" w:rsidRPr="00A52AEE" w:rsidRDefault="00766035" w:rsidP="009A2373">
            <w:pPr>
              <w:jc w:val="right"/>
              <w:rPr>
                <w:lang w:eastAsia="en-GB"/>
              </w:rPr>
            </w:pPr>
            <w:r w:rsidRPr="00A52AEE">
              <w:rPr>
                <w:lang w:eastAsia="en-GB"/>
              </w:rPr>
              <w:t>2005</w:t>
            </w:r>
          </w:p>
        </w:tc>
        <w:tc>
          <w:tcPr>
            <w:tcW w:w="588" w:type="pct"/>
            <w:tcBorders>
              <w:top w:val="nil"/>
              <w:left w:val="nil"/>
              <w:bottom w:val="single" w:sz="4" w:space="0" w:color="auto"/>
              <w:right w:val="single" w:sz="4" w:space="0" w:color="auto"/>
            </w:tcBorders>
            <w:shd w:val="clear" w:color="auto" w:fill="auto"/>
            <w:noWrap/>
            <w:vAlign w:val="center"/>
            <w:hideMark/>
          </w:tcPr>
          <w:p w14:paraId="7A4825D6" w14:textId="77777777" w:rsidR="00766035" w:rsidRPr="00A52AEE" w:rsidRDefault="00766035" w:rsidP="009A2373">
            <w:pPr>
              <w:jc w:val="right"/>
              <w:rPr>
                <w:lang w:eastAsia="en-GB"/>
              </w:rPr>
            </w:pPr>
            <w:r w:rsidRPr="00A52AEE">
              <w:rPr>
                <w:lang w:eastAsia="en-GB"/>
              </w:rPr>
              <w:t>65%</w:t>
            </w:r>
          </w:p>
        </w:tc>
        <w:tc>
          <w:tcPr>
            <w:tcW w:w="424" w:type="pct"/>
            <w:tcBorders>
              <w:top w:val="nil"/>
              <w:left w:val="nil"/>
              <w:bottom w:val="single" w:sz="4" w:space="0" w:color="auto"/>
              <w:right w:val="single" w:sz="4" w:space="0" w:color="auto"/>
            </w:tcBorders>
            <w:shd w:val="clear" w:color="auto" w:fill="auto"/>
            <w:noWrap/>
            <w:vAlign w:val="center"/>
            <w:hideMark/>
          </w:tcPr>
          <w:p w14:paraId="3CE0815F" w14:textId="77777777" w:rsidR="00766035" w:rsidRPr="00A52AEE" w:rsidRDefault="00766035" w:rsidP="009A2373">
            <w:pPr>
              <w:jc w:val="right"/>
              <w:rPr>
                <w:lang w:eastAsia="en-GB"/>
              </w:rPr>
            </w:pPr>
            <w:r w:rsidRPr="00A52AEE">
              <w:rPr>
                <w:lang w:eastAsia="en-GB"/>
              </w:rPr>
              <w:t>11%</w:t>
            </w:r>
          </w:p>
        </w:tc>
        <w:tc>
          <w:tcPr>
            <w:tcW w:w="532" w:type="pct"/>
            <w:tcBorders>
              <w:top w:val="nil"/>
              <w:left w:val="nil"/>
              <w:bottom w:val="single" w:sz="4" w:space="0" w:color="auto"/>
              <w:right w:val="single" w:sz="4" w:space="0" w:color="auto"/>
            </w:tcBorders>
            <w:shd w:val="clear" w:color="auto" w:fill="auto"/>
            <w:noWrap/>
            <w:vAlign w:val="center"/>
            <w:hideMark/>
          </w:tcPr>
          <w:p w14:paraId="0BCFF275" w14:textId="77777777" w:rsidR="00766035" w:rsidRPr="00A52AEE" w:rsidRDefault="00766035" w:rsidP="009A2373">
            <w:pPr>
              <w:jc w:val="right"/>
              <w:rPr>
                <w:lang w:eastAsia="en-GB"/>
              </w:rPr>
            </w:pPr>
            <w:r w:rsidRPr="00A52AEE">
              <w:rPr>
                <w:lang w:eastAsia="en-GB"/>
              </w:rPr>
              <w:t>24%</w:t>
            </w:r>
          </w:p>
        </w:tc>
      </w:tr>
      <w:tr w:rsidR="00766035" w:rsidRPr="00A52AEE" w14:paraId="105BCEB7"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99D19DA" w14:textId="77777777" w:rsidR="00766035" w:rsidRPr="00A52AEE" w:rsidRDefault="00766035" w:rsidP="00A52AEE">
            <w:pPr>
              <w:rPr>
                <w:lang w:eastAsia="en-GB"/>
              </w:rPr>
            </w:pPr>
            <w:r w:rsidRPr="00A52AEE">
              <w:rPr>
                <w:lang w:eastAsia="en-GB"/>
              </w:rPr>
              <w:t>Mixed - White and Asian</w:t>
            </w:r>
          </w:p>
        </w:tc>
        <w:tc>
          <w:tcPr>
            <w:tcW w:w="782" w:type="pct"/>
            <w:tcBorders>
              <w:top w:val="nil"/>
              <w:left w:val="nil"/>
              <w:bottom w:val="single" w:sz="4" w:space="0" w:color="auto"/>
              <w:right w:val="single" w:sz="4" w:space="0" w:color="auto"/>
            </w:tcBorders>
            <w:shd w:val="clear" w:color="auto" w:fill="auto"/>
            <w:vAlign w:val="center"/>
            <w:hideMark/>
          </w:tcPr>
          <w:p w14:paraId="2AF589ED" w14:textId="77777777" w:rsidR="00766035" w:rsidRPr="00A52AEE" w:rsidRDefault="00766035" w:rsidP="009A2373">
            <w:pPr>
              <w:jc w:val="right"/>
              <w:rPr>
                <w:lang w:eastAsia="en-GB"/>
              </w:rPr>
            </w:pPr>
            <w:r w:rsidRPr="00A52AEE">
              <w:rPr>
                <w:lang w:eastAsia="en-GB"/>
              </w:rPr>
              <w:t>2010</w:t>
            </w:r>
          </w:p>
        </w:tc>
        <w:tc>
          <w:tcPr>
            <w:tcW w:w="588" w:type="pct"/>
            <w:tcBorders>
              <w:top w:val="nil"/>
              <w:left w:val="nil"/>
              <w:bottom w:val="single" w:sz="4" w:space="0" w:color="auto"/>
              <w:right w:val="single" w:sz="4" w:space="0" w:color="auto"/>
            </w:tcBorders>
            <w:shd w:val="clear" w:color="auto" w:fill="auto"/>
            <w:noWrap/>
            <w:vAlign w:val="center"/>
            <w:hideMark/>
          </w:tcPr>
          <w:p w14:paraId="28B918C0" w14:textId="77777777" w:rsidR="00766035" w:rsidRPr="00A52AEE" w:rsidRDefault="00766035" w:rsidP="009A2373">
            <w:pPr>
              <w:jc w:val="right"/>
              <w:rPr>
                <w:lang w:eastAsia="en-GB"/>
              </w:rPr>
            </w:pPr>
            <w:r w:rsidRPr="00A52AEE">
              <w:rPr>
                <w:lang w:eastAsia="en-GB"/>
              </w:rPr>
              <w:t>64%</w:t>
            </w:r>
          </w:p>
        </w:tc>
        <w:tc>
          <w:tcPr>
            <w:tcW w:w="424" w:type="pct"/>
            <w:tcBorders>
              <w:top w:val="nil"/>
              <w:left w:val="nil"/>
              <w:bottom w:val="single" w:sz="4" w:space="0" w:color="auto"/>
              <w:right w:val="single" w:sz="4" w:space="0" w:color="auto"/>
            </w:tcBorders>
            <w:shd w:val="clear" w:color="auto" w:fill="auto"/>
            <w:noWrap/>
            <w:vAlign w:val="center"/>
            <w:hideMark/>
          </w:tcPr>
          <w:p w14:paraId="5FF73472" w14:textId="77777777" w:rsidR="00766035" w:rsidRPr="00A52AEE" w:rsidRDefault="00766035" w:rsidP="009A2373">
            <w:pPr>
              <w:jc w:val="right"/>
              <w:rPr>
                <w:lang w:eastAsia="en-GB"/>
              </w:rPr>
            </w:pPr>
            <w:r w:rsidRPr="00A52AEE">
              <w:rPr>
                <w:lang w:eastAsia="en-GB"/>
              </w:rPr>
              <w:t>13%</w:t>
            </w:r>
          </w:p>
        </w:tc>
        <w:tc>
          <w:tcPr>
            <w:tcW w:w="532" w:type="pct"/>
            <w:tcBorders>
              <w:top w:val="nil"/>
              <w:left w:val="nil"/>
              <w:bottom w:val="single" w:sz="4" w:space="0" w:color="auto"/>
              <w:right w:val="single" w:sz="4" w:space="0" w:color="auto"/>
            </w:tcBorders>
            <w:shd w:val="clear" w:color="auto" w:fill="auto"/>
            <w:noWrap/>
            <w:vAlign w:val="center"/>
            <w:hideMark/>
          </w:tcPr>
          <w:p w14:paraId="29A3EA2F" w14:textId="77777777" w:rsidR="00766035" w:rsidRPr="00A52AEE" w:rsidRDefault="00766035" w:rsidP="009A2373">
            <w:pPr>
              <w:jc w:val="right"/>
              <w:rPr>
                <w:lang w:eastAsia="en-GB"/>
              </w:rPr>
            </w:pPr>
            <w:r w:rsidRPr="00A52AEE">
              <w:rPr>
                <w:lang w:eastAsia="en-GB"/>
              </w:rPr>
              <w:t>22%</w:t>
            </w:r>
          </w:p>
        </w:tc>
      </w:tr>
      <w:tr w:rsidR="00766035" w:rsidRPr="00A52AEE" w14:paraId="14CE4336"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2D15FA74" w14:textId="77777777" w:rsidR="00766035" w:rsidRPr="00A52AEE" w:rsidRDefault="00766035" w:rsidP="00A52AEE">
            <w:pPr>
              <w:rPr>
                <w:lang w:eastAsia="en-GB"/>
              </w:rPr>
            </w:pPr>
            <w:r w:rsidRPr="00A52AEE">
              <w:rPr>
                <w:lang w:eastAsia="en-GB"/>
              </w:rPr>
              <w:t>Mixed - White and Black African</w:t>
            </w:r>
          </w:p>
        </w:tc>
        <w:tc>
          <w:tcPr>
            <w:tcW w:w="782" w:type="pct"/>
            <w:tcBorders>
              <w:top w:val="nil"/>
              <w:left w:val="nil"/>
              <w:bottom w:val="single" w:sz="4" w:space="0" w:color="auto"/>
              <w:right w:val="single" w:sz="4" w:space="0" w:color="auto"/>
            </w:tcBorders>
            <w:shd w:val="clear" w:color="auto" w:fill="auto"/>
            <w:vAlign w:val="center"/>
            <w:hideMark/>
          </w:tcPr>
          <w:p w14:paraId="3F3601EB" w14:textId="77777777" w:rsidR="00766035" w:rsidRPr="00A52AEE" w:rsidRDefault="00766035" w:rsidP="009A2373">
            <w:pPr>
              <w:jc w:val="right"/>
              <w:rPr>
                <w:lang w:eastAsia="en-GB"/>
              </w:rPr>
            </w:pPr>
            <w:r w:rsidRPr="00A52AEE">
              <w:rPr>
                <w:lang w:eastAsia="en-GB"/>
              </w:rPr>
              <w:t>2675</w:t>
            </w:r>
          </w:p>
        </w:tc>
        <w:tc>
          <w:tcPr>
            <w:tcW w:w="588" w:type="pct"/>
            <w:tcBorders>
              <w:top w:val="nil"/>
              <w:left w:val="nil"/>
              <w:bottom w:val="single" w:sz="4" w:space="0" w:color="auto"/>
              <w:right w:val="single" w:sz="4" w:space="0" w:color="auto"/>
            </w:tcBorders>
            <w:shd w:val="clear" w:color="auto" w:fill="auto"/>
            <w:noWrap/>
            <w:vAlign w:val="center"/>
            <w:hideMark/>
          </w:tcPr>
          <w:p w14:paraId="15F45CAE" w14:textId="77777777" w:rsidR="00766035" w:rsidRPr="00A52AEE" w:rsidRDefault="00766035" w:rsidP="009A2373">
            <w:pPr>
              <w:jc w:val="right"/>
              <w:rPr>
                <w:lang w:eastAsia="en-GB"/>
              </w:rPr>
            </w:pPr>
            <w:r w:rsidRPr="00A52AEE">
              <w:rPr>
                <w:lang w:eastAsia="en-GB"/>
              </w:rPr>
              <w:t>55%</w:t>
            </w:r>
          </w:p>
        </w:tc>
        <w:tc>
          <w:tcPr>
            <w:tcW w:w="424" w:type="pct"/>
            <w:tcBorders>
              <w:top w:val="nil"/>
              <w:left w:val="nil"/>
              <w:bottom w:val="single" w:sz="4" w:space="0" w:color="auto"/>
              <w:right w:val="single" w:sz="4" w:space="0" w:color="auto"/>
            </w:tcBorders>
            <w:shd w:val="clear" w:color="auto" w:fill="auto"/>
            <w:noWrap/>
            <w:vAlign w:val="center"/>
            <w:hideMark/>
          </w:tcPr>
          <w:p w14:paraId="5A943D8D" w14:textId="77777777" w:rsidR="00766035" w:rsidRPr="00A52AEE" w:rsidRDefault="00766035" w:rsidP="009A2373">
            <w:pPr>
              <w:jc w:val="right"/>
              <w:rPr>
                <w:lang w:eastAsia="en-GB"/>
              </w:rPr>
            </w:pPr>
            <w:r w:rsidRPr="00A52AEE">
              <w:rPr>
                <w:lang w:eastAsia="en-GB"/>
              </w:rPr>
              <w:t>14%</w:t>
            </w:r>
          </w:p>
        </w:tc>
        <w:tc>
          <w:tcPr>
            <w:tcW w:w="532" w:type="pct"/>
            <w:tcBorders>
              <w:top w:val="nil"/>
              <w:left w:val="nil"/>
              <w:bottom w:val="single" w:sz="4" w:space="0" w:color="auto"/>
              <w:right w:val="single" w:sz="4" w:space="0" w:color="auto"/>
            </w:tcBorders>
            <w:shd w:val="clear" w:color="auto" w:fill="auto"/>
            <w:noWrap/>
            <w:vAlign w:val="center"/>
            <w:hideMark/>
          </w:tcPr>
          <w:p w14:paraId="040A28DC" w14:textId="77777777" w:rsidR="00766035" w:rsidRPr="00A52AEE" w:rsidRDefault="00766035" w:rsidP="009A2373">
            <w:pPr>
              <w:jc w:val="right"/>
              <w:rPr>
                <w:lang w:eastAsia="en-GB"/>
              </w:rPr>
            </w:pPr>
            <w:r w:rsidRPr="00A52AEE">
              <w:rPr>
                <w:lang w:eastAsia="en-GB"/>
              </w:rPr>
              <w:t>31%</w:t>
            </w:r>
          </w:p>
        </w:tc>
      </w:tr>
      <w:tr w:rsidR="00766035" w:rsidRPr="00A52AEE" w14:paraId="2BD14DCC"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7F52670" w14:textId="77777777" w:rsidR="00766035" w:rsidRPr="00A52AEE" w:rsidRDefault="00766035" w:rsidP="00A52AEE">
            <w:pPr>
              <w:rPr>
                <w:lang w:eastAsia="en-GB"/>
              </w:rPr>
            </w:pPr>
            <w:r w:rsidRPr="00A52AEE">
              <w:rPr>
                <w:lang w:eastAsia="en-GB"/>
              </w:rPr>
              <w:t>Mixed - White and Black Caribbean</w:t>
            </w:r>
          </w:p>
        </w:tc>
        <w:tc>
          <w:tcPr>
            <w:tcW w:w="782" w:type="pct"/>
            <w:tcBorders>
              <w:top w:val="nil"/>
              <w:left w:val="nil"/>
              <w:bottom w:val="single" w:sz="4" w:space="0" w:color="auto"/>
              <w:right w:val="single" w:sz="4" w:space="0" w:color="auto"/>
            </w:tcBorders>
            <w:shd w:val="clear" w:color="auto" w:fill="auto"/>
            <w:vAlign w:val="center"/>
            <w:hideMark/>
          </w:tcPr>
          <w:p w14:paraId="22D07CE4" w14:textId="77777777" w:rsidR="00766035" w:rsidRPr="00A52AEE" w:rsidRDefault="00766035" w:rsidP="009A2373">
            <w:pPr>
              <w:jc w:val="right"/>
              <w:rPr>
                <w:lang w:eastAsia="en-GB"/>
              </w:rPr>
            </w:pPr>
            <w:r w:rsidRPr="00A52AEE">
              <w:rPr>
                <w:lang w:eastAsia="en-GB"/>
              </w:rPr>
              <w:t>4685</w:t>
            </w:r>
          </w:p>
        </w:tc>
        <w:tc>
          <w:tcPr>
            <w:tcW w:w="588" w:type="pct"/>
            <w:tcBorders>
              <w:top w:val="nil"/>
              <w:left w:val="nil"/>
              <w:bottom w:val="single" w:sz="4" w:space="0" w:color="auto"/>
              <w:right w:val="single" w:sz="4" w:space="0" w:color="auto"/>
            </w:tcBorders>
            <w:shd w:val="clear" w:color="auto" w:fill="auto"/>
            <w:noWrap/>
            <w:vAlign w:val="center"/>
            <w:hideMark/>
          </w:tcPr>
          <w:p w14:paraId="33540761" w14:textId="77777777" w:rsidR="00766035" w:rsidRPr="00A52AEE" w:rsidRDefault="00766035" w:rsidP="009A2373">
            <w:pPr>
              <w:jc w:val="right"/>
              <w:rPr>
                <w:lang w:eastAsia="en-GB"/>
              </w:rPr>
            </w:pPr>
            <w:r w:rsidRPr="00A52AEE">
              <w:rPr>
                <w:lang w:eastAsia="en-GB"/>
              </w:rPr>
              <w:t>65%</w:t>
            </w:r>
          </w:p>
        </w:tc>
        <w:tc>
          <w:tcPr>
            <w:tcW w:w="424" w:type="pct"/>
            <w:tcBorders>
              <w:top w:val="nil"/>
              <w:left w:val="nil"/>
              <w:bottom w:val="single" w:sz="4" w:space="0" w:color="auto"/>
              <w:right w:val="single" w:sz="4" w:space="0" w:color="auto"/>
            </w:tcBorders>
            <w:shd w:val="clear" w:color="auto" w:fill="auto"/>
            <w:noWrap/>
            <w:vAlign w:val="center"/>
            <w:hideMark/>
          </w:tcPr>
          <w:p w14:paraId="39ABD1D4" w14:textId="77777777" w:rsidR="00766035" w:rsidRPr="00A52AEE" w:rsidRDefault="00766035" w:rsidP="009A2373">
            <w:pPr>
              <w:jc w:val="right"/>
              <w:rPr>
                <w:lang w:eastAsia="en-GB"/>
              </w:rPr>
            </w:pPr>
            <w:r w:rsidRPr="00A52AEE">
              <w:rPr>
                <w:lang w:eastAsia="en-GB"/>
              </w:rPr>
              <w:t>14%</w:t>
            </w:r>
          </w:p>
        </w:tc>
        <w:tc>
          <w:tcPr>
            <w:tcW w:w="532" w:type="pct"/>
            <w:tcBorders>
              <w:top w:val="nil"/>
              <w:left w:val="nil"/>
              <w:bottom w:val="single" w:sz="4" w:space="0" w:color="auto"/>
              <w:right w:val="single" w:sz="4" w:space="0" w:color="auto"/>
            </w:tcBorders>
            <w:shd w:val="clear" w:color="auto" w:fill="auto"/>
            <w:noWrap/>
            <w:vAlign w:val="center"/>
            <w:hideMark/>
          </w:tcPr>
          <w:p w14:paraId="0F9D97B2" w14:textId="77777777" w:rsidR="00766035" w:rsidRPr="00A52AEE" w:rsidRDefault="00766035" w:rsidP="009A2373">
            <w:pPr>
              <w:jc w:val="right"/>
              <w:rPr>
                <w:lang w:eastAsia="en-GB"/>
              </w:rPr>
            </w:pPr>
            <w:r w:rsidRPr="00A52AEE">
              <w:rPr>
                <w:lang w:eastAsia="en-GB"/>
              </w:rPr>
              <w:t>20%</w:t>
            </w:r>
          </w:p>
        </w:tc>
      </w:tr>
      <w:tr w:rsidR="00766035" w:rsidRPr="00A52AEE" w14:paraId="1431F539"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17A2658D" w14:textId="77777777" w:rsidR="00766035" w:rsidRPr="00A52AEE" w:rsidRDefault="00766035" w:rsidP="00A52AEE">
            <w:pPr>
              <w:rPr>
                <w:lang w:eastAsia="en-GB"/>
              </w:rPr>
            </w:pPr>
            <w:r w:rsidRPr="00A52AEE">
              <w:rPr>
                <w:lang w:eastAsia="en-GB"/>
              </w:rPr>
              <w:t>not known/not provided</w:t>
            </w:r>
          </w:p>
        </w:tc>
        <w:tc>
          <w:tcPr>
            <w:tcW w:w="782" w:type="pct"/>
            <w:tcBorders>
              <w:top w:val="nil"/>
              <w:left w:val="nil"/>
              <w:bottom w:val="single" w:sz="4" w:space="0" w:color="auto"/>
              <w:right w:val="single" w:sz="4" w:space="0" w:color="auto"/>
            </w:tcBorders>
            <w:shd w:val="clear" w:color="auto" w:fill="auto"/>
            <w:vAlign w:val="center"/>
            <w:hideMark/>
          </w:tcPr>
          <w:p w14:paraId="4C1E8EEA" w14:textId="77777777" w:rsidR="00766035" w:rsidRPr="00A52AEE" w:rsidRDefault="00766035" w:rsidP="009A2373">
            <w:pPr>
              <w:jc w:val="right"/>
              <w:rPr>
                <w:lang w:eastAsia="en-GB"/>
              </w:rPr>
            </w:pPr>
            <w:r w:rsidRPr="00A52AEE">
              <w:rPr>
                <w:lang w:eastAsia="en-GB"/>
              </w:rPr>
              <w:t>4550</w:t>
            </w:r>
          </w:p>
        </w:tc>
        <w:tc>
          <w:tcPr>
            <w:tcW w:w="588" w:type="pct"/>
            <w:tcBorders>
              <w:top w:val="nil"/>
              <w:left w:val="nil"/>
              <w:bottom w:val="single" w:sz="4" w:space="0" w:color="auto"/>
              <w:right w:val="single" w:sz="4" w:space="0" w:color="auto"/>
            </w:tcBorders>
            <w:shd w:val="clear" w:color="auto" w:fill="auto"/>
            <w:noWrap/>
            <w:vAlign w:val="center"/>
            <w:hideMark/>
          </w:tcPr>
          <w:p w14:paraId="4B5D85CB" w14:textId="77777777" w:rsidR="00766035" w:rsidRPr="00A52AEE" w:rsidRDefault="00766035" w:rsidP="009A2373">
            <w:pPr>
              <w:jc w:val="right"/>
              <w:rPr>
                <w:lang w:eastAsia="en-GB"/>
              </w:rPr>
            </w:pPr>
            <w:r w:rsidRPr="00A52AEE">
              <w:rPr>
                <w:lang w:eastAsia="en-GB"/>
              </w:rPr>
              <w:t>33%</w:t>
            </w:r>
          </w:p>
        </w:tc>
        <w:tc>
          <w:tcPr>
            <w:tcW w:w="424" w:type="pct"/>
            <w:tcBorders>
              <w:top w:val="nil"/>
              <w:left w:val="nil"/>
              <w:bottom w:val="single" w:sz="4" w:space="0" w:color="auto"/>
              <w:right w:val="single" w:sz="4" w:space="0" w:color="auto"/>
            </w:tcBorders>
            <w:shd w:val="clear" w:color="auto" w:fill="auto"/>
            <w:noWrap/>
            <w:vAlign w:val="center"/>
            <w:hideMark/>
          </w:tcPr>
          <w:p w14:paraId="5DE28DF8" w14:textId="77777777" w:rsidR="00766035" w:rsidRPr="00A52AEE" w:rsidRDefault="00766035" w:rsidP="009A2373">
            <w:pPr>
              <w:jc w:val="right"/>
              <w:rPr>
                <w:lang w:eastAsia="en-GB"/>
              </w:rPr>
            </w:pPr>
            <w:r w:rsidRPr="00A52AEE">
              <w:rPr>
                <w:lang w:eastAsia="en-GB"/>
              </w:rPr>
              <w:t>10%</w:t>
            </w:r>
          </w:p>
        </w:tc>
        <w:tc>
          <w:tcPr>
            <w:tcW w:w="532" w:type="pct"/>
            <w:tcBorders>
              <w:top w:val="nil"/>
              <w:left w:val="nil"/>
              <w:bottom w:val="single" w:sz="4" w:space="0" w:color="auto"/>
              <w:right w:val="single" w:sz="4" w:space="0" w:color="auto"/>
            </w:tcBorders>
            <w:shd w:val="clear" w:color="auto" w:fill="auto"/>
            <w:noWrap/>
            <w:vAlign w:val="center"/>
            <w:hideMark/>
          </w:tcPr>
          <w:p w14:paraId="576D3909" w14:textId="77777777" w:rsidR="00766035" w:rsidRPr="00A52AEE" w:rsidRDefault="00766035" w:rsidP="009A2373">
            <w:pPr>
              <w:jc w:val="right"/>
              <w:rPr>
                <w:lang w:eastAsia="en-GB"/>
              </w:rPr>
            </w:pPr>
            <w:r w:rsidRPr="00A52AEE">
              <w:rPr>
                <w:lang w:eastAsia="en-GB"/>
              </w:rPr>
              <w:t>57%</w:t>
            </w:r>
          </w:p>
        </w:tc>
      </w:tr>
      <w:tr w:rsidR="00766035" w:rsidRPr="00A52AEE" w14:paraId="3B04CE16"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5B995536" w14:textId="77777777" w:rsidR="00766035" w:rsidRPr="00A52AEE" w:rsidRDefault="00766035" w:rsidP="00A52AEE">
            <w:pPr>
              <w:rPr>
                <w:lang w:eastAsia="en-GB"/>
              </w:rPr>
            </w:pPr>
            <w:r w:rsidRPr="00A52AEE">
              <w:rPr>
                <w:lang w:eastAsia="en-GB"/>
              </w:rPr>
              <w:t>White - any other White background</w:t>
            </w:r>
          </w:p>
        </w:tc>
        <w:tc>
          <w:tcPr>
            <w:tcW w:w="782" w:type="pct"/>
            <w:tcBorders>
              <w:top w:val="nil"/>
              <w:left w:val="nil"/>
              <w:bottom w:val="single" w:sz="4" w:space="0" w:color="auto"/>
              <w:right w:val="single" w:sz="4" w:space="0" w:color="auto"/>
            </w:tcBorders>
            <w:shd w:val="clear" w:color="auto" w:fill="auto"/>
            <w:vAlign w:val="center"/>
            <w:hideMark/>
          </w:tcPr>
          <w:p w14:paraId="2466D9BA" w14:textId="77777777" w:rsidR="00766035" w:rsidRPr="00A52AEE" w:rsidRDefault="00766035" w:rsidP="009A2373">
            <w:pPr>
              <w:jc w:val="right"/>
              <w:rPr>
                <w:lang w:eastAsia="en-GB"/>
              </w:rPr>
            </w:pPr>
            <w:r w:rsidRPr="00A52AEE">
              <w:rPr>
                <w:lang w:eastAsia="en-GB"/>
              </w:rPr>
              <w:t>20475</w:t>
            </w:r>
          </w:p>
        </w:tc>
        <w:tc>
          <w:tcPr>
            <w:tcW w:w="588" w:type="pct"/>
            <w:tcBorders>
              <w:top w:val="nil"/>
              <w:left w:val="nil"/>
              <w:bottom w:val="single" w:sz="4" w:space="0" w:color="auto"/>
              <w:right w:val="single" w:sz="4" w:space="0" w:color="auto"/>
            </w:tcBorders>
            <w:shd w:val="clear" w:color="auto" w:fill="auto"/>
            <w:noWrap/>
            <w:vAlign w:val="center"/>
            <w:hideMark/>
          </w:tcPr>
          <w:p w14:paraId="18BB77A2" w14:textId="77777777" w:rsidR="00766035" w:rsidRPr="00A52AEE" w:rsidRDefault="00766035" w:rsidP="009A2373">
            <w:pPr>
              <w:jc w:val="right"/>
              <w:rPr>
                <w:lang w:eastAsia="en-GB"/>
              </w:rPr>
            </w:pPr>
            <w:r w:rsidRPr="00A52AEE">
              <w:rPr>
                <w:lang w:eastAsia="en-GB"/>
              </w:rPr>
              <w:t>39%</w:t>
            </w:r>
          </w:p>
        </w:tc>
        <w:tc>
          <w:tcPr>
            <w:tcW w:w="424" w:type="pct"/>
            <w:tcBorders>
              <w:top w:val="nil"/>
              <w:left w:val="nil"/>
              <w:bottom w:val="single" w:sz="4" w:space="0" w:color="auto"/>
              <w:right w:val="single" w:sz="4" w:space="0" w:color="auto"/>
            </w:tcBorders>
            <w:shd w:val="clear" w:color="auto" w:fill="auto"/>
            <w:noWrap/>
            <w:vAlign w:val="center"/>
            <w:hideMark/>
          </w:tcPr>
          <w:p w14:paraId="6AE94B21" w14:textId="77777777" w:rsidR="00766035" w:rsidRPr="00A52AEE" w:rsidRDefault="00766035" w:rsidP="009A2373">
            <w:pPr>
              <w:jc w:val="right"/>
              <w:rPr>
                <w:lang w:eastAsia="en-GB"/>
              </w:rPr>
            </w:pPr>
            <w:r w:rsidRPr="00A52AEE">
              <w:rPr>
                <w:lang w:eastAsia="en-GB"/>
              </w:rPr>
              <w:t>13%</w:t>
            </w:r>
          </w:p>
        </w:tc>
        <w:tc>
          <w:tcPr>
            <w:tcW w:w="532" w:type="pct"/>
            <w:tcBorders>
              <w:top w:val="nil"/>
              <w:left w:val="nil"/>
              <w:bottom w:val="single" w:sz="4" w:space="0" w:color="auto"/>
              <w:right w:val="single" w:sz="4" w:space="0" w:color="auto"/>
            </w:tcBorders>
            <w:shd w:val="clear" w:color="auto" w:fill="auto"/>
            <w:noWrap/>
            <w:vAlign w:val="center"/>
            <w:hideMark/>
          </w:tcPr>
          <w:p w14:paraId="12F4238F" w14:textId="77777777" w:rsidR="00766035" w:rsidRPr="00A52AEE" w:rsidRDefault="00766035" w:rsidP="009A2373">
            <w:pPr>
              <w:jc w:val="right"/>
              <w:rPr>
                <w:lang w:eastAsia="en-GB"/>
              </w:rPr>
            </w:pPr>
            <w:r w:rsidRPr="00A52AEE">
              <w:rPr>
                <w:lang w:eastAsia="en-GB"/>
              </w:rPr>
              <w:t>48%</w:t>
            </w:r>
          </w:p>
        </w:tc>
      </w:tr>
      <w:tr w:rsidR="00766035" w:rsidRPr="00A52AEE" w14:paraId="52990572"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262F11E" w14:textId="77777777" w:rsidR="00766035" w:rsidRPr="00A52AEE" w:rsidRDefault="00766035" w:rsidP="00A52AEE">
            <w:pPr>
              <w:rPr>
                <w:lang w:eastAsia="en-GB"/>
              </w:rPr>
            </w:pPr>
            <w:r w:rsidRPr="00A52AEE">
              <w:rPr>
                <w:lang w:eastAsia="en-GB"/>
              </w:rPr>
              <w:t>White –British</w:t>
            </w:r>
          </w:p>
        </w:tc>
        <w:tc>
          <w:tcPr>
            <w:tcW w:w="782" w:type="pct"/>
            <w:tcBorders>
              <w:top w:val="nil"/>
              <w:left w:val="nil"/>
              <w:bottom w:val="single" w:sz="4" w:space="0" w:color="auto"/>
              <w:right w:val="single" w:sz="4" w:space="0" w:color="auto"/>
            </w:tcBorders>
            <w:shd w:val="clear" w:color="auto" w:fill="auto"/>
            <w:vAlign w:val="center"/>
            <w:hideMark/>
          </w:tcPr>
          <w:p w14:paraId="68C8DE8B" w14:textId="77777777" w:rsidR="00766035" w:rsidRPr="00A52AEE" w:rsidRDefault="00766035" w:rsidP="009A2373">
            <w:pPr>
              <w:jc w:val="right"/>
              <w:rPr>
                <w:lang w:eastAsia="en-GB"/>
              </w:rPr>
            </w:pPr>
            <w:r w:rsidRPr="00A52AEE">
              <w:rPr>
                <w:lang w:eastAsia="en-GB"/>
              </w:rPr>
              <w:t>71405</w:t>
            </w:r>
          </w:p>
        </w:tc>
        <w:tc>
          <w:tcPr>
            <w:tcW w:w="588" w:type="pct"/>
            <w:tcBorders>
              <w:top w:val="nil"/>
              <w:left w:val="nil"/>
              <w:bottom w:val="single" w:sz="4" w:space="0" w:color="auto"/>
              <w:right w:val="single" w:sz="4" w:space="0" w:color="auto"/>
            </w:tcBorders>
            <w:shd w:val="clear" w:color="auto" w:fill="auto"/>
            <w:noWrap/>
            <w:vAlign w:val="center"/>
            <w:hideMark/>
          </w:tcPr>
          <w:p w14:paraId="7D0E61BE" w14:textId="77777777" w:rsidR="00766035" w:rsidRPr="00A52AEE" w:rsidRDefault="00766035" w:rsidP="009A2373">
            <w:pPr>
              <w:jc w:val="right"/>
              <w:rPr>
                <w:lang w:eastAsia="en-GB"/>
              </w:rPr>
            </w:pPr>
            <w:r w:rsidRPr="00A52AEE">
              <w:rPr>
                <w:lang w:eastAsia="en-GB"/>
              </w:rPr>
              <w:t>43%</w:t>
            </w:r>
          </w:p>
        </w:tc>
        <w:tc>
          <w:tcPr>
            <w:tcW w:w="424" w:type="pct"/>
            <w:tcBorders>
              <w:top w:val="nil"/>
              <w:left w:val="nil"/>
              <w:bottom w:val="single" w:sz="4" w:space="0" w:color="auto"/>
              <w:right w:val="single" w:sz="4" w:space="0" w:color="auto"/>
            </w:tcBorders>
            <w:shd w:val="clear" w:color="auto" w:fill="auto"/>
            <w:noWrap/>
            <w:vAlign w:val="center"/>
            <w:hideMark/>
          </w:tcPr>
          <w:p w14:paraId="2BC8C1C4" w14:textId="77777777" w:rsidR="00766035" w:rsidRPr="00A52AEE" w:rsidRDefault="00766035" w:rsidP="009A2373">
            <w:pPr>
              <w:jc w:val="right"/>
              <w:rPr>
                <w:lang w:eastAsia="en-GB"/>
              </w:rPr>
            </w:pPr>
            <w:r w:rsidRPr="00A52AEE">
              <w:rPr>
                <w:lang w:eastAsia="en-GB"/>
              </w:rPr>
              <w:t>11%</w:t>
            </w:r>
          </w:p>
        </w:tc>
        <w:tc>
          <w:tcPr>
            <w:tcW w:w="532" w:type="pct"/>
            <w:tcBorders>
              <w:top w:val="nil"/>
              <w:left w:val="nil"/>
              <w:bottom w:val="single" w:sz="4" w:space="0" w:color="auto"/>
              <w:right w:val="single" w:sz="4" w:space="0" w:color="auto"/>
            </w:tcBorders>
            <w:shd w:val="clear" w:color="auto" w:fill="auto"/>
            <w:noWrap/>
            <w:vAlign w:val="center"/>
            <w:hideMark/>
          </w:tcPr>
          <w:p w14:paraId="4FBE4CE6" w14:textId="77777777" w:rsidR="00766035" w:rsidRPr="00A52AEE" w:rsidRDefault="00766035" w:rsidP="009A2373">
            <w:pPr>
              <w:jc w:val="right"/>
              <w:rPr>
                <w:lang w:eastAsia="en-GB"/>
              </w:rPr>
            </w:pPr>
            <w:r w:rsidRPr="00A52AEE">
              <w:rPr>
                <w:lang w:eastAsia="en-GB"/>
              </w:rPr>
              <w:t>45%</w:t>
            </w:r>
          </w:p>
        </w:tc>
      </w:tr>
      <w:tr w:rsidR="00766035" w:rsidRPr="00A52AEE" w14:paraId="126B8274"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5372C3D9" w14:textId="77777777" w:rsidR="00766035" w:rsidRPr="00A52AEE" w:rsidRDefault="00766035" w:rsidP="00A52AEE">
            <w:pPr>
              <w:rPr>
                <w:lang w:eastAsia="en-GB"/>
              </w:rPr>
            </w:pPr>
            <w:r w:rsidRPr="00A52AEE">
              <w:rPr>
                <w:lang w:eastAsia="en-GB"/>
              </w:rPr>
              <w:t>Other ethnic group</w:t>
            </w:r>
          </w:p>
        </w:tc>
        <w:tc>
          <w:tcPr>
            <w:tcW w:w="782" w:type="pct"/>
            <w:tcBorders>
              <w:top w:val="nil"/>
              <w:left w:val="nil"/>
              <w:bottom w:val="single" w:sz="4" w:space="0" w:color="auto"/>
              <w:right w:val="single" w:sz="4" w:space="0" w:color="auto"/>
            </w:tcBorders>
            <w:shd w:val="clear" w:color="auto" w:fill="auto"/>
            <w:vAlign w:val="center"/>
            <w:hideMark/>
          </w:tcPr>
          <w:p w14:paraId="74D04913" w14:textId="77777777" w:rsidR="00766035" w:rsidRPr="00A52AEE" w:rsidRDefault="00766035" w:rsidP="009A2373">
            <w:pPr>
              <w:jc w:val="right"/>
              <w:rPr>
                <w:lang w:eastAsia="en-GB"/>
              </w:rPr>
            </w:pPr>
            <w:r w:rsidRPr="00A52AEE">
              <w:rPr>
                <w:lang w:eastAsia="en-GB"/>
              </w:rPr>
              <w:t>10510</w:t>
            </w:r>
          </w:p>
        </w:tc>
        <w:tc>
          <w:tcPr>
            <w:tcW w:w="588" w:type="pct"/>
            <w:tcBorders>
              <w:top w:val="nil"/>
              <w:left w:val="nil"/>
              <w:bottom w:val="single" w:sz="4" w:space="0" w:color="auto"/>
              <w:right w:val="single" w:sz="4" w:space="0" w:color="auto"/>
            </w:tcBorders>
            <w:shd w:val="clear" w:color="auto" w:fill="auto"/>
            <w:noWrap/>
            <w:vAlign w:val="center"/>
            <w:hideMark/>
          </w:tcPr>
          <w:p w14:paraId="759057A8" w14:textId="77777777" w:rsidR="00766035" w:rsidRPr="00A52AEE" w:rsidRDefault="00766035" w:rsidP="009A2373">
            <w:pPr>
              <w:jc w:val="right"/>
              <w:rPr>
                <w:lang w:eastAsia="en-GB"/>
              </w:rPr>
            </w:pPr>
            <w:r w:rsidRPr="00A52AEE">
              <w:rPr>
                <w:lang w:eastAsia="en-GB"/>
              </w:rPr>
              <w:t>53%</w:t>
            </w:r>
          </w:p>
        </w:tc>
        <w:tc>
          <w:tcPr>
            <w:tcW w:w="424" w:type="pct"/>
            <w:tcBorders>
              <w:top w:val="nil"/>
              <w:left w:val="nil"/>
              <w:bottom w:val="single" w:sz="4" w:space="0" w:color="auto"/>
              <w:right w:val="single" w:sz="4" w:space="0" w:color="auto"/>
            </w:tcBorders>
            <w:shd w:val="clear" w:color="auto" w:fill="auto"/>
            <w:noWrap/>
            <w:vAlign w:val="center"/>
            <w:hideMark/>
          </w:tcPr>
          <w:p w14:paraId="3D7FCEAE" w14:textId="77777777" w:rsidR="00766035" w:rsidRPr="00A52AEE" w:rsidRDefault="00766035" w:rsidP="009A2373">
            <w:pPr>
              <w:jc w:val="right"/>
              <w:rPr>
                <w:lang w:eastAsia="en-GB"/>
              </w:rPr>
            </w:pPr>
            <w:r w:rsidRPr="00A52AEE">
              <w:rPr>
                <w:lang w:eastAsia="en-GB"/>
              </w:rPr>
              <w:t>13%</w:t>
            </w:r>
          </w:p>
        </w:tc>
        <w:tc>
          <w:tcPr>
            <w:tcW w:w="532" w:type="pct"/>
            <w:tcBorders>
              <w:top w:val="nil"/>
              <w:left w:val="nil"/>
              <w:bottom w:val="single" w:sz="4" w:space="0" w:color="auto"/>
              <w:right w:val="single" w:sz="4" w:space="0" w:color="auto"/>
            </w:tcBorders>
            <w:shd w:val="clear" w:color="auto" w:fill="auto"/>
            <w:noWrap/>
            <w:vAlign w:val="center"/>
            <w:hideMark/>
          </w:tcPr>
          <w:p w14:paraId="6B28AC6B" w14:textId="77777777" w:rsidR="00766035" w:rsidRPr="00A52AEE" w:rsidRDefault="00766035" w:rsidP="009A2373">
            <w:pPr>
              <w:jc w:val="right"/>
              <w:rPr>
                <w:lang w:eastAsia="en-GB"/>
              </w:rPr>
            </w:pPr>
            <w:r w:rsidRPr="00A52AEE">
              <w:rPr>
                <w:lang w:eastAsia="en-GB"/>
              </w:rPr>
              <w:t>34%</w:t>
            </w:r>
          </w:p>
        </w:tc>
      </w:tr>
      <w:tr w:rsidR="00766035" w:rsidRPr="00A52AEE" w14:paraId="477B31C5" w14:textId="77777777" w:rsidTr="00D2146B">
        <w:trPr>
          <w:trHeight w:val="300"/>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4178601A" w14:textId="77777777" w:rsidR="00766035" w:rsidRPr="00A52AEE" w:rsidRDefault="00766035" w:rsidP="00A52AEE">
            <w:pPr>
              <w:rPr>
                <w:lang w:eastAsia="en-GB"/>
              </w:rPr>
            </w:pPr>
            <w:r w:rsidRPr="00A52AEE">
              <w:rPr>
                <w:lang w:eastAsia="en-GB"/>
              </w:rPr>
              <w:t>Other Mixed / multiple ethnic background</w:t>
            </w:r>
          </w:p>
        </w:tc>
        <w:tc>
          <w:tcPr>
            <w:tcW w:w="782" w:type="pct"/>
            <w:tcBorders>
              <w:top w:val="nil"/>
              <w:left w:val="nil"/>
              <w:bottom w:val="single" w:sz="4" w:space="0" w:color="auto"/>
              <w:right w:val="single" w:sz="4" w:space="0" w:color="auto"/>
            </w:tcBorders>
            <w:shd w:val="clear" w:color="auto" w:fill="auto"/>
            <w:vAlign w:val="center"/>
            <w:hideMark/>
          </w:tcPr>
          <w:p w14:paraId="420B959E" w14:textId="77777777" w:rsidR="00766035" w:rsidRPr="00A52AEE" w:rsidRDefault="00766035" w:rsidP="009A2373">
            <w:pPr>
              <w:jc w:val="right"/>
              <w:rPr>
                <w:lang w:eastAsia="en-GB"/>
              </w:rPr>
            </w:pPr>
            <w:r w:rsidRPr="00A52AEE">
              <w:rPr>
                <w:lang w:eastAsia="en-GB"/>
              </w:rPr>
              <w:t>4190</w:t>
            </w:r>
          </w:p>
        </w:tc>
        <w:tc>
          <w:tcPr>
            <w:tcW w:w="588" w:type="pct"/>
            <w:tcBorders>
              <w:top w:val="nil"/>
              <w:left w:val="nil"/>
              <w:bottom w:val="single" w:sz="4" w:space="0" w:color="auto"/>
              <w:right w:val="single" w:sz="4" w:space="0" w:color="auto"/>
            </w:tcBorders>
            <w:shd w:val="clear" w:color="auto" w:fill="auto"/>
            <w:noWrap/>
            <w:vAlign w:val="center"/>
            <w:hideMark/>
          </w:tcPr>
          <w:p w14:paraId="5177B5E0" w14:textId="77777777" w:rsidR="00766035" w:rsidRPr="00A52AEE" w:rsidRDefault="00766035" w:rsidP="009A2373">
            <w:pPr>
              <w:jc w:val="right"/>
              <w:rPr>
                <w:lang w:eastAsia="en-GB"/>
              </w:rPr>
            </w:pPr>
            <w:r w:rsidRPr="00A52AEE">
              <w:rPr>
                <w:lang w:eastAsia="en-GB"/>
              </w:rPr>
              <w:t>66%</w:t>
            </w:r>
          </w:p>
        </w:tc>
        <w:tc>
          <w:tcPr>
            <w:tcW w:w="424" w:type="pct"/>
            <w:tcBorders>
              <w:top w:val="nil"/>
              <w:left w:val="nil"/>
              <w:bottom w:val="single" w:sz="4" w:space="0" w:color="auto"/>
              <w:right w:val="single" w:sz="4" w:space="0" w:color="auto"/>
            </w:tcBorders>
            <w:shd w:val="clear" w:color="auto" w:fill="auto"/>
            <w:noWrap/>
            <w:vAlign w:val="center"/>
            <w:hideMark/>
          </w:tcPr>
          <w:p w14:paraId="7889264B" w14:textId="77777777" w:rsidR="00766035" w:rsidRPr="00A52AEE" w:rsidRDefault="00766035" w:rsidP="009A2373">
            <w:pPr>
              <w:jc w:val="right"/>
              <w:rPr>
                <w:lang w:eastAsia="en-GB"/>
              </w:rPr>
            </w:pPr>
            <w:r w:rsidRPr="00A52AEE">
              <w:rPr>
                <w:lang w:eastAsia="en-GB"/>
              </w:rPr>
              <w:t>12%</w:t>
            </w:r>
          </w:p>
        </w:tc>
        <w:tc>
          <w:tcPr>
            <w:tcW w:w="532" w:type="pct"/>
            <w:tcBorders>
              <w:top w:val="nil"/>
              <w:left w:val="nil"/>
              <w:bottom w:val="single" w:sz="4" w:space="0" w:color="auto"/>
              <w:right w:val="single" w:sz="4" w:space="0" w:color="auto"/>
            </w:tcBorders>
            <w:shd w:val="clear" w:color="auto" w:fill="auto"/>
            <w:noWrap/>
            <w:vAlign w:val="center"/>
            <w:hideMark/>
          </w:tcPr>
          <w:p w14:paraId="408EF5DF" w14:textId="77777777" w:rsidR="00766035" w:rsidRPr="00A52AEE" w:rsidRDefault="00766035" w:rsidP="009A2373">
            <w:pPr>
              <w:jc w:val="right"/>
              <w:rPr>
                <w:lang w:eastAsia="en-GB"/>
              </w:rPr>
            </w:pPr>
            <w:r w:rsidRPr="00A52AEE">
              <w:rPr>
                <w:lang w:eastAsia="en-GB"/>
              </w:rPr>
              <w:t>21%</w:t>
            </w:r>
          </w:p>
        </w:tc>
      </w:tr>
      <w:tr w:rsidR="00766035" w:rsidRPr="00A52AEE" w14:paraId="7826D123" w14:textId="77777777" w:rsidTr="00D2146B">
        <w:trPr>
          <w:trHeight w:val="315"/>
        </w:trPr>
        <w:tc>
          <w:tcPr>
            <w:tcW w:w="2674" w:type="pct"/>
            <w:tcBorders>
              <w:top w:val="nil"/>
              <w:left w:val="single" w:sz="4" w:space="0" w:color="auto"/>
              <w:bottom w:val="single" w:sz="4" w:space="0" w:color="auto"/>
              <w:right w:val="single" w:sz="4" w:space="0" w:color="auto"/>
            </w:tcBorders>
            <w:shd w:val="clear" w:color="auto" w:fill="auto"/>
            <w:noWrap/>
            <w:vAlign w:val="bottom"/>
            <w:hideMark/>
          </w:tcPr>
          <w:p w14:paraId="5C313086" w14:textId="77777777" w:rsidR="00766035" w:rsidRPr="00A52AEE" w:rsidRDefault="00766035" w:rsidP="00A52AEE">
            <w:pPr>
              <w:rPr>
                <w:lang w:eastAsia="en-GB"/>
              </w:rPr>
            </w:pPr>
            <w:r w:rsidRPr="00A52AEE">
              <w:rPr>
                <w:lang w:eastAsia="en-GB"/>
              </w:rPr>
              <w:t>Total</w:t>
            </w:r>
          </w:p>
        </w:tc>
        <w:tc>
          <w:tcPr>
            <w:tcW w:w="782" w:type="pct"/>
            <w:tcBorders>
              <w:top w:val="nil"/>
              <w:left w:val="nil"/>
              <w:bottom w:val="single" w:sz="4" w:space="0" w:color="auto"/>
              <w:right w:val="single" w:sz="4" w:space="0" w:color="auto"/>
            </w:tcBorders>
            <w:shd w:val="clear" w:color="auto" w:fill="auto"/>
            <w:vAlign w:val="center"/>
            <w:hideMark/>
          </w:tcPr>
          <w:p w14:paraId="661F7C57" w14:textId="77777777" w:rsidR="00766035" w:rsidRPr="00A52AEE" w:rsidRDefault="00766035" w:rsidP="009A2373">
            <w:pPr>
              <w:jc w:val="right"/>
              <w:rPr>
                <w:lang w:eastAsia="en-GB"/>
              </w:rPr>
            </w:pPr>
            <w:r w:rsidRPr="00A52AEE">
              <w:rPr>
                <w:lang w:eastAsia="en-GB"/>
              </w:rPr>
              <w:t>221500</w:t>
            </w:r>
          </w:p>
        </w:tc>
        <w:tc>
          <w:tcPr>
            <w:tcW w:w="588" w:type="pct"/>
            <w:tcBorders>
              <w:top w:val="nil"/>
              <w:left w:val="nil"/>
              <w:bottom w:val="single" w:sz="4" w:space="0" w:color="auto"/>
              <w:right w:val="single" w:sz="4" w:space="0" w:color="auto"/>
            </w:tcBorders>
            <w:shd w:val="clear" w:color="auto" w:fill="auto"/>
            <w:noWrap/>
            <w:vAlign w:val="center"/>
            <w:hideMark/>
          </w:tcPr>
          <w:p w14:paraId="60F1F284" w14:textId="77777777" w:rsidR="00766035" w:rsidRPr="00A52AEE" w:rsidRDefault="00766035" w:rsidP="009A2373">
            <w:pPr>
              <w:jc w:val="right"/>
              <w:rPr>
                <w:lang w:eastAsia="en-GB"/>
              </w:rPr>
            </w:pPr>
            <w:r w:rsidRPr="00A52AEE">
              <w:rPr>
                <w:lang w:eastAsia="en-GB"/>
              </w:rPr>
              <w:t>53%</w:t>
            </w:r>
          </w:p>
        </w:tc>
        <w:tc>
          <w:tcPr>
            <w:tcW w:w="424" w:type="pct"/>
            <w:tcBorders>
              <w:top w:val="nil"/>
              <w:left w:val="nil"/>
              <w:bottom w:val="single" w:sz="4" w:space="0" w:color="auto"/>
              <w:right w:val="single" w:sz="4" w:space="0" w:color="auto"/>
            </w:tcBorders>
            <w:shd w:val="clear" w:color="auto" w:fill="auto"/>
            <w:noWrap/>
            <w:vAlign w:val="center"/>
            <w:hideMark/>
          </w:tcPr>
          <w:p w14:paraId="3CF194C9" w14:textId="77777777" w:rsidR="00766035" w:rsidRPr="00A52AEE" w:rsidRDefault="00766035" w:rsidP="009A2373">
            <w:pPr>
              <w:jc w:val="right"/>
              <w:rPr>
                <w:lang w:eastAsia="en-GB"/>
              </w:rPr>
            </w:pPr>
            <w:r w:rsidRPr="00A52AEE">
              <w:rPr>
                <w:lang w:eastAsia="en-GB"/>
              </w:rPr>
              <w:t>12%</w:t>
            </w:r>
          </w:p>
        </w:tc>
        <w:tc>
          <w:tcPr>
            <w:tcW w:w="532" w:type="pct"/>
            <w:tcBorders>
              <w:top w:val="nil"/>
              <w:left w:val="nil"/>
              <w:bottom w:val="single" w:sz="4" w:space="0" w:color="auto"/>
              <w:right w:val="single" w:sz="4" w:space="0" w:color="auto"/>
            </w:tcBorders>
            <w:shd w:val="clear" w:color="auto" w:fill="auto"/>
            <w:noWrap/>
            <w:vAlign w:val="center"/>
            <w:hideMark/>
          </w:tcPr>
          <w:p w14:paraId="1AE5ACE7" w14:textId="77777777" w:rsidR="00766035" w:rsidRPr="00A52AEE" w:rsidRDefault="00766035" w:rsidP="009A2373">
            <w:pPr>
              <w:jc w:val="right"/>
              <w:rPr>
                <w:lang w:eastAsia="en-GB"/>
              </w:rPr>
            </w:pPr>
            <w:r w:rsidRPr="00A52AEE">
              <w:rPr>
                <w:lang w:eastAsia="en-GB"/>
              </w:rPr>
              <w:t>35%</w:t>
            </w:r>
          </w:p>
        </w:tc>
      </w:tr>
    </w:tbl>
    <w:p w14:paraId="0F8E2ADC" w14:textId="77777777" w:rsidR="00E56BBB" w:rsidRPr="00A52AEE" w:rsidRDefault="00E56BBB" w:rsidP="00A52AEE"/>
    <w:p w14:paraId="69031872" w14:textId="2CC27D8D" w:rsidR="00766035" w:rsidRPr="00A52AEE" w:rsidRDefault="004D3FD1" w:rsidP="008D527A">
      <w:pPr>
        <w:pStyle w:val="Heading2"/>
      </w:pPr>
      <w:bookmarkStart w:id="98" w:name="_Toc429151321"/>
      <w:r>
        <w:t>4.17</w:t>
      </w:r>
      <w:r w:rsidR="000D7228">
        <w:tab/>
      </w:r>
      <w:r w:rsidR="001F1D4D" w:rsidRPr="00A52AEE">
        <w:tab/>
      </w:r>
      <w:r w:rsidR="00766035" w:rsidRPr="00A52AEE">
        <w:t xml:space="preserve">Ethnic group and </w:t>
      </w:r>
      <w:r w:rsidR="001F1D4D" w:rsidRPr="00A52AEE">
        <w:t xml:space="preserve">London </w:t>
      </w:r>
      <w:r w:rsidR="00766035" w:rsidRPr="00A52AEE">
        <w:t>borough</w:t>
      </w:r>
      <w:r w:rsidR="001F1D4D" w:rsidRPr="00A52AEE">
        <w:t xml:space="preserve"> breakdown</w:t>
      </w:r>
      <w:bookmarkEnd w:id="98"/>
    </w:p>
    <w:p w14:paraId="6FBC35E4" w14:textId="2500D0E2" w:rsidR="00766035" w:rsidRPr="00A52AEE" w:rsidRDefault="00766035" w:rsidP="00A52AEE">
      <w:r w:rsidRPr="00A52AEE">
        <w:t xml:space="preserve">Figure </w:t>
      </w:r>
      <w:r w:rsidR="00F60ABC" w:rsidRPr="00A52AEE">
        <w:t>2</w:t>
      </w:r>
      <w:r w:rsidRPr="00A52AEE">
        <w:t xml:space="preserve"> looks at </w:t>
      </w:r>
      <w:r w:rsidR="00561FE7" w:rsidRPr="00A52AEE">
        <w:t xml:space="preserve">borough level </w:t>
      </w:r>
      <w:r w:rsidRPr="00A52AEE">
        <w:t xml:space="preserve">differences in </w:t>
      </w:r>
      <w:r w:rsidR="00561FE7" w:rsidRPr="00A52AEE">
        <w:t xml:space="preserve">the </w:t>
      </w:r>
      <w:r w:rsidRPr="00A52AEE">
        <w:t xml:space="preserve">BME </w:t>
      </w:r>
      <w:r w:rsidR="00561FE7" w:rsidRPr="00A52AEE">
        <w:t>make-up of the cohort 2007-11</w:t>
      </w:r>
      <w:r w:rsidRPr="00A52AEE">
        <w:t xml:space="preserve">. Whilst 81% of </w:t>
      </w:r>
      <w:r w:rsidR="0076166E" w:rsidRPr="00A52AEE">
        <w:t>London</w:t>
      </w:r>
      <w:r w:rsidRPr="00A52AEE">
        <w:t xml:space="preserve"> college </w:t>
      </w:r>
      <w:r w:rsidR="00842186" w:rsidRPr="00A52AEE">
        <w:t>student</w:t>
      </w:r>
      <w:r w:rsidRPr="00A52AEE">
        <w:t>s domiciled in Newham are classified as BME there are only 18% of students domiciled in Havering</w:t>
      </w:r>
      <w:r w:rsidR="000D7228">
        <w:t xml:space="preserve"> are</w:t>
      </w:r>
      <w:r w:rsidRPr="00A52AEE">
        <w:t xml:space="preserve"> classified as BME. We would expect the progression rates in boroughs to reflect the behaviour of dominant ethnic groups in that area and borough </w:t>
      </w:r>
      <w:r w:rsidR="00561FE7" w:rsidRPr="00A52AEE">
        <w:t xml:space="preserve">level </w:t>
      </w:r>
      <w:r w:rsidRPr="00A52AEE">
        <w:t xml:space="preserve">progression </w:t>
      </w:r>
      <w:r w:rsidR="00561FE7" w:rsidRPr="00A52AEE">
        <w:t xml:space="preserve">data </w:t>
      </w:r>
      <w:r w:rsidRPr="00A52AEE">
        <w:t xml:space="preserve">is presented </w:t>
      </w:r>
      <w:r w:rsidR="00F60ABC" w:rsidRPr="00A52AEE">
        <w:t>Section 5.</w:t>
      </w:r>
    </w:p>
    <w:p w14:paraId="36951B39" w14:textId="77777777" w:rsidR="00766035" w:rsidRPr="00A52AEE" w:rsidRDefault="00766035" w:rsidP="00A52AEE"/>
    <w:p w14:paraId="797DDFF8" w14:textId="77777777" w:rsidR="00D92B68" w:rsidRDefault="00766035" w:rsidP="00A52AEE">
      <w:pPr>
        <w:rPr>
          <w:b/>
        </w:rPr>
      </w:pPr>
      <w:r w:rsidRPr="000D7228">
        <w:rPr>
          <w:b/>
        </w:rPr>
        <w:t xml:space="preserve">Figure </w:t>
      </w:r>
      <w:r w:rsidR="00F60ABC" w:rsidRPr="000D7228">
        <w:rPr>
          <w:b/>
        </w:rPr>
        <w:t>2</w:t>
      </w:r>
      <w:r w:rsidR="00561FE7" w:rsidRPr="000D7228">
        <w:rPr>
          <w:b/>
        </w:rPr>
        <w:t>:</w:t>
      </w:r>
      <w:r w:rsidRPr="000D7228">
        <w:rPr>
          <w:b/>
        </w:rPr>
        <w:t xml:space="preserve"> BME </w:t>
      </w:r>
      <w:r w:rsidR="001F1D4D" w:rsidRPr="000D7228">
        <w:rPr>
          <w:b/>
        </w:rPr>
        <w:t>breakdown of the Level 3 cohort</w:t>
      </w:r>
      <w:r w:rsidRPr="000D7228">
        <w:rPr>
          <w:b/>
        </w:rPr>
        <w:t xml:space="preserve"> by </w:t>
      </w:r>
      <w:r w:rsidR="001F1D4D" w:rsidRPr="000D7228">
        <w:rPr>
          <w:b/>
        </w:rPr>
        <w:t xml:space="preserve">London </w:t>
      </w:r>
      <w:r w:rsidRPr="000D7228">
        <w:rPr>
          <w:b/>
        </w:rPr>
        <w:t>borough</w:t>
      </w:r>
    </w:p>
    <w:p w14:paraId="219167F2" w14:textId="77777777" w:rsidR="00D92B68" w:rsidRDefault="00D92B68" w:rsidP="00A52AEE">
      <w:pPr>
        <w:rPr>
          <w:b/>
        </w:rPr>
      </w:pPr>
    </w:p>
    <w:p w14:paraId="721E78BE" w14:textId="6D0630F7" w:rsidR="00766035" w:rsidRPr="00A52AEE" w:rsidRDefault="00766035" w:rsidP="00A52AEE">
      <w:pPr>
        <w:rPr>
          <w:rFonts w:cs="Arial"/>
        </w:rPr>
      </w:pPr>
      <w:r w:rsidRPr="00A52AEE">
        <w:rPr>
          <w:noProof/>
          <w:lang w:eastAsia="en-GB"/>
        </w:rPr>
        <w:drawing>
          <wp:inline distT="0" distB="0" distL="0" distR="0" wp14:anchorId="574A5AEA" wp14:editId="19A564D7">
            <wp:extent cx="6171537" cy="59912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27706" cy="6045752"/>
                    </a:xfrm>
                    <a:prstGeom prst="rect">
                      <a:avLst/>
                    </a:prstGeom>
                  </pic:spPr>
                </pic:pic>
              </a:graphicData>
            </a:graphic>
          </wp:inline>
        </w:drawing>
      </w:r>
    </w:p>
    <w:p w14:paraId="2AC21856" w14:textId="2B927786" w:rsidR="00766035" w:rsidRPr="00A52AEE" w:rsidRDefault="004D3FD1" w:rsidP="008D527A">
      <w:pPr>
        <w:pStyle w:val="Heading2"/>
      </w:pPr>
      <w:bookmarkStart w:id="99" w:name="_Toc429151322"/>
      <w:r>
        <w:t>4.18</w:t>
      </w:r>
      <w:r w:rsidR="001F1D4D" w:rsidRPr="00A52AEE">
        <w:tab/>
      </w:r>
      <w:r w:rsidR="000D7228">
        <w:tab/>
      </w:r>
      <w:r w:rsidR="00325251" w:rsidRPr="00A52AEE">
        <w:t>E</w:t>
      </w:r>
      <w:r w:rsidR="00766035" w:rsidRPr="00A52AEE">
        <w:t xml:space="preserve">thnic group and </w:t>
      </w:r>
      <w:r w:rsidR="0021637B" w:rsidRPr="00A52AEE">
        <w:t>Level</w:t>
      </w:r>
      <w:r w:rsidR="00766035" w:rsidRPr="00A52AEE">
        <w:t xml:space="preserve"> 3 qualification type</w:t>
      </w:r>
      <w:bookmarkEnd w:id="99"/>
    </w:p>
    <w:p w14:paraId="0E15B7A1" w14:textId="7E7813B0" w:rsidR="009A2373" w:rsidRDefault="00EA0E77" w:rsidP="00A52AEE">
      <w:r w:rsidRPr="00A52AEE">
        <w:t>Time series data in Table 1</w:t>
      </w:r>
      <w:r w:rsidR="00B03413">
        <w:t>8</w:t>
      </w:r>
      <w:r w:rsidRPr="00A52AEE">
        <w:t xml:space="preserve"> also shows a change</w:t>
      </w:r>
      <w:r w:rsidR="00766035" w:rsidRPr="00A52AEE">
        <w:t xml:space="preserve"> in the </w:t>
      </w:r>
      <w:r w:rsidRPr="00A52AEE">
        <w:t xml:space="preserve">composition </w:t>
      </w:r>
      <w:r w:rsidR="00766035" w:rsidRPr="00A52AEE">
        <w:t xml:space="preserve">of FE </w:t>
      </w:r>
      <w:r w:rsidR="0021637B" w:rsidRPr="00A52AEE">
        <w:t>Level</w:t>
      </w:r>
      <w:r w:rsidR="00766035" w:rsidRPr="00A52AEE">
        <w:t xml:space="preserve"> 3 qualifications studied by different ethnic </w:t>
      </w:r>
      <w:r w:rsidRPr="00A52AEE">
        <w:t xml:space="preserve">group across the five cohorts, particularly in relation to BTEC and A </w:t>
      </w:r>
      <w:r w:rsidR="0021637B" w:rsidRPr="00A52AEE">
        <w:t>Level</w:t>
      </w:r>
      <w:r w:rsidRPr="00A52AEE">
        <w:t xml:space="preserve">. </w:t>
      </w:r>
      <w:r w:rsidR="000D7228">
        <w:t xml:space="preserve"> </w:t>
      </w:r>
      <w:r w:rsidRPr="00A52AEE">
        <w:t xml:space="preserve">Where BTEC </w:t>
      </w:r>
      <w:r w:rsidR="000D7228">
        <w:t>numbers have</w:t>
      </w:r>
      <w:r w:rsidRPr="00A52AEE">
        <w:t xml:space="preserve"> increased for most ethnic groups, there has been a decrease in the proportion of A </w:t>
      </w:r>
      <w:r w:rsidR="0021637B" w:rsidRPr="00A52AEE">
        <w:t>Level</w:t>
      </w:r>
      <w:r w:rsidRPr="00A52AEE">
        <w:t xml:space="preserve"> students. Access to HE is most popular with the students from Black groups.  In general, NVQ and Other Vocational programmes have seen a decline in </w:t>
      </w:r>
      <w:r w:rsidR="000D7228">
        <w:t>numbers</w:t>
      </w:r>
      <w:r w:rsidRPr="00A52AEE">
        <w:t xml:space="preserve"> in most groups but especially White students who are more likely to study these programmes than BME students.</w:t>
      </w:r>
    </w:p>
    <w:p w14:paraId="0E76B221" w14:textId="77777777" w:rsidR="009A2373" w:rsidRDefault="009A2373" w:rsidP="00A52AEE"/>
    <w:p w14:paraId="0A164504" w14:textId="3F3DB067" w:rsidR="00EA0E77" w:rsidRPr="009A2373" w:rsidRDefault="00EA0E77" w:rsidP="00A52AEE">
      <w:r w:rsidRPr="000D7228">
        <w:rPr>
          <w:b/>
        </w:rPr>
        <w:t>Table 1</w:t>
      </w:r>
      <w:r w:rsidR="004D2866">
        <w:rPr>
          <w:b/>
        </w:rPr>
        <w:t>8</w:t>
      </w:r>
      <w:r w:rsidR="00561FE7" w:rsidRPr="000D7228">
        <w:rPr>
          <w:b/>
        </w:rPr>
        <w:t>:</w:t>
      </w:r>
      <w:r w:rsidR="000D7228">
        <w:rPr>
          <w:b/>
        </w:rPr>
        <w:t xml:space="preserve"> Breakdown of the London college cohorts by e</w:t>
      </w:r>
      <w:r w:rsidRPr="000D7228">
        <w:rPr>
          <w:b/>
        </w:rPr>
        <w:t xml:space="preserve">thnic group and </w:t>
      </w:r>
      <w:r w:rsidR="00777675" w:rsidRPr="000D7228">
        <w:rPr>
          <w:b/>
        </w:rPr>
        <w:t xml:space="preserve">qualification type </w:t>
      </w:r>
    </w:p>
    <w:p w14:paraId="732C76CD" w14:textId="2752A692" w:rsidR="00766035" w:rsidRPr="00A52AEE" w:rsidRDefault="00766035" w:rsidP="00A52AEE">
      <w:r w:rsidRPr="00A52AEE">
        <w:t xml:space="preserve">  </w:t>
      </w:r>
    </w:p>
    <w:tbl>
      <w:tblPr>
        <w:tblW w:w="5000" w:type="pct"/>
        <w:tblLook w:val="04A0" w:firstRow="1" w:lastRow="0" w:firstColumn="1" w:lastColumn="0" w:noHBand="0" w:noVBand="1"/>
      </w:tblPr>
      <w:tblGrid>
        <w:gridCol w:w="2470"/>
        <w:gridCol w:w="2001"/>
        <w:gridCol w:w="1020"/>
        <w:gridCol w:w="1020"/>
        <w:gridCol w:w="1020"/>
        <w:gridCol w:w="1020"/>
        <w:gridCol w:w="1020"/>
      </w:tblGrid>
      <w:tr w:rsidR="000D7228" w:rsidRPr="000D7228" w14:paraId="7A8DABFE" w14:textId="77777777" w:rsidTr="00A63CC4">
        <w:trPr>
          <w:trHeight w:val="1527"/>
          <w:tblHeader/>
        </w:trPr>
        <w:tc>
          <w:tcPr>
            <w:tcW w:w="148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BCBEB8F" w14:textId="34B396F5" w:rsidR="004D3FD1" w:rsidRDefault="004D3FD1" w:rsidP="004D3FD1">
            <w:pPr>
              <w:rPr>
                <w:b/>
                <w:color w:val="FFFFFF" w:themeColor="background1"/>
                <w:lang w:eastAsia="en-GB"/>
              </w:rPr>
            </w:pPr>
          </w:p>
          <w:p w14:paraId="56C12135" w14:textId="3918A30B" w:rsidR="00EA0E77" w:rsidRDefault="00EA0E77" w:rsidP="004D3FD1">
            <w:pPr>
              <w:rPr>
                <w:b/>
                <w:color w:val="FFFFFF" w:themeColor="background1"/>
                <w:lang w:eastAsia="en-GB"/>
              </w:rPr>
            </w:pPr>
            <w:r w:rsidRPr="000D7228">
              <w:rPr>
                <w:b/>
                <w:color w:val="FFFFFF" w:themeColor="background1"/>
                <w:lang w:eastAsia="en-GB"/>
              </w:rPr>
              <w:t>Ethnic Group</w:t>
            </w:r>
          </w:p>
          <w:p w14:paraId="201EA464" w14:textId="77777777" w:rsidR="004D3FD1" w:rsidRDefault="004D3FD1" w:rsidP="004D3FD1">
            <w:pPr>
              <w:rPr>
                <w:b/>
                <w:color w:val="FFFFFF" w:themeColor="background1"/>
                <w:lang w:eastAsia="en-GB"/>
              </w:rPr>
            </w:pPr>
          </w:p>
          <w:p w14:paraId="7DF3F426" w14:textId="529545E7" w:rsidR="004D3FD1" w:rsidRPr="000D7228" w:rsidRDefault="004D3FD1" w:rsidP="004D3FD1">
            <w:pPr>
              <w:rPr>
                <w:b/>
                <w:color w:val="FFFFFF" w:themeColor="background1"/>
                <w:lang w:eastAsia="en-GB"/>
              </w:rPr>
            </w:pPr>
          </w:p>
        </w:tc>
        <w:tc>
          <w:tcPr>
            <w:tcW w:w="940"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2EA454D" w14:textId="19E5FD6C" w:rsidR="00EA0E77" w:rsidRPr="000D7228" w:rsidRDefault="000D7228" w:rsidP="00A52AEE">
            <w:pPr>
              <w:rPr>
                <w:b/>
                <w:color w:val="FFFFFF" w:themeColor="background1"/>
                <w:lang w:eastAsia="en-GB"/>
              </w:rPr>
            </w:pPr>
            <w:r>
              <w:rPr>
                <w:b/>
                <w:color w:val="FFFFFF" w:themeColor="background1"/>
                <w:lang w:eastAsia="en-GB"/>
              </w:rPr>
              <w:t>Qualification type</w:t>
            </w:r>
          </w:p>
        </w:tc>
        <w:tc>
          <w:tcPr>
            <w:tcW w:w="51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4071593D" w14:textId="77777777" w:rsidR="00EA0E77" w:rsidRPr="000D7228" w:rsidRDefault="00EA0E77" w:rsidP="00A52AEE">
            <w:pPr>
              <w:rPr>
                <w:b/>
                <w:color w:val="FFFFFF" w:themeColor="background1"/>
                <w:lang w:eastAsia="en-GB"/>
              </w:rPr>
            </w:pPr>
            <w:r w:rsidRPr="000D7228">
              <w:rPr>
                <w:b/>
                <w:color w:val="FFFFFF" w:themeColor="background1"/>
                <w:lang w:eastAsia="en-GB"/>
              </w:rPr>
              <w:t>2007-08</w:t>
            </w:r>
          </w:p>
        </w:tc>
        <w:tc>
          <w:tcPr>
            <w:tcW w:w="51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77950D3" w14:textId="77777777" w:rsidR="00EA0E77" w:rsidRPr="000D7228" w:rsidRDefault="00EA0E77" w:rsidP="00A52AEE">
            <w:pPr>
              <w:rPr>
                <w:b/>
                <w:color w:val="FFFFFF" w:themeColor="background1"/>
                <w:lang w:eastAsia="en-GB"/>
              </w:rPr>
            </w:pPr>
            <w:r w:rsidRPr="000D7228">
              <w:rPr>
                <w:b/>
                <w:color w:val="FFFFFF" w:themeColor="background1"/>
                <w:lang w:eastAsia="en-GB"/>
              </w:rPr>
              <w:t>2008-09</w:t>
            </w:r>
          </w:p>
        </w:tc>
        <w:tc>
          <w:tcPr>
            <w:tcW w:w="51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41E9C6C" w14:textId="77777777" w:rsidR="00EA0E77" w:rsidRPr="000D7228" w:rsidRDefault="00EA0E77" w:rsidP="00A52AEE">
            <w:pPr>
              <w:rPr>
                <w:b/>
                <w:color w:val="FFFFFF" w:themeColor="background1"/>
                <w:lang w:eastAsia="en-GB"/>
              </w:rPr>
            </w:pPr>
            <w:r w:rsidRPr="000D7228">
              <w:rPr>
                <w:b/>
                <w:color w:val="FFFFFF" w:themeColor="background1"/>
                <w:lang w:eastAsia="en-GB"/>
              </w:rPr>
              <w:t>2009-10</w:t>
            </w:r>
          </w:p>
        </w:tc>
        <w:tc>
          <w:tcPr>
            <w:tcW w:w="51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0563B90C" w14:textId="77777777" w:rsidR="00EA0E77" w:rsidRPr="000D7228" w:rsidRDefault="00EA0E77" w:rsidP="00A52AEE">
            <w:pPr>
              <w:rPr>
                <w:b/>
                <w:color w:val="FFFFFF" w:themeColor="background1"/>
                <w:lang w:eastAsia="en-GB"/>
              </w:rPr>
            </w:pPr>
            <w:r w:rsidRPr="000D7228">
              <w:rPr>
                <w:b/>
                <w:color w:val="FFFFFF" w:themeColor="background1"/>
                <w:lang w:eastAsia="en-GB"/>
              </w:rPr>
              <w:t>2010-11</w:t>
            </w:r>
          </w:p>
        </w:tc>
        <w:tc>
          <w:tcPr>
            <w:tcW w:w="516"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DBEC4B8" w14:textId="77777777" w:rsidR="00EA0E77" w:rsidRPr="000D7228" w:rsidRDefault="00EA0E77" w:rsidP="00A52AEE">
            <w:pPr>
              <w:rPr>
                <w:b/>
                <w:color w:val="FFFFFF" w:themeColor="background1"/>
                <w:lang w:eastAsia="en-GB"/>
              </w:rPr>
            </w:pPr>
            <w:r w:rsidRPr="000D7228">
              <w:rPr>
                <w:b/>
                <w:color w:val="FFFFFF" w:themeColor="background1"/>
                <w:lang w:eastAsia="en-GB"/>
              </w:rPr>
              <w:t>2011-12</w:t>
            </w:r>
          </w:p>
        </w:tc>
      </w:tr>
      <w:tr w:rsidR="00EA0E77" w:rsidRPr="00A52AEE" w14:paraId="6BB4164F" w14:textId="77777777" w:rsidTr="00EA0E77">
        <w:trPr>
          <w:trHeight w:val="240"/>
        </w:trPr>
        <w:tc>
          <w:tcPr>
            <w:tcW w:w="1857" w:type="pct"/>
            <w:vMerge w:val="restart"/>
            <w:tcBorders>
              <w:top w:val="nil"/>
              <w:left w:val="single" w:sz="4" w:space="0" w:color="auto"/>
              <w:bottom w:val="single" w:sz="4" w:space="0" w:color="000000"/>
              <w:right w:val="single" w:sz="4" w:space="0" w:color="auto"/>
            </w:tcBorders>
            <w:shd w:val="clear" w:color="auto" w:fill="auto"/>
            <w:vAlign w:val="center"/>
            <w:hideMark/>
          </w:tcPr>
          <w:p w14:paraId="280C37B8" w14:textId="77777777" w:rsidR="00EA0E77" w:rsidRPr="00A52AEE" w:rsidRDefault="00EA0E77" w:rsidP="00A52AEE">
            <w:pPr>
              <w:rPr>
                <w:lang w:eastAsia="en-GB"/>
              </w:rPr>
            </w:pPr>
            <w:r w:rsidRPr="00A52AEE">
              <w:rPr>
                <w:lang w:eastAsia="en-GB"/>
              </w:rPr>
              <w:t>Asian or Asian British - any other Asian background</w:t>
            </w:r>
          </w:p>
        </w:tc>
        <w:tc>
          <w:tcPr>
            <w:tcW w:w="1099" w:type="pct"/>
            <w:tcBorders>
              <w:top w:val="nil"/>
              <w:left w:val="nil"/>
              <w:bottom w:val="single" w:sz="4" w:space="0" w:color="auto"/>
              <w:right w:val="single" w:sz="4" w:space="0" w:color="auto"/>
            </w:tcBorders>
            <w:shd w:val="clear" w:color="auto" w:fill="auto"/>
            <w:noWrap/>
            <w:vAlign w:val="bottom"/>
            <w:hideMark/>
          </w:tcPr>
          <w:p w14:paraId="77C25ED7" w14:textId="77777777" w:rsidR="00EA0E77" w:rsidRPr="00A52AEE" w:rsidRDefault="00EA0E77" w:rsidP="00A52AEE">
            <w:pPr>
              <w:rPr>
                <w:lang w:eastAsia="en-GB"/>
              </w:rPr>
            </w:pPr>
            <w:r w:rsidRPr="00A52AEE">
              <w:rPr>
                <w:lang w:eastAsia="en-GB"/>
              </w:rPr>
              <w:t>Access</w:t>
            </w:r>
          </w:p>
        </w:tc>
        <w:tc>
          <w:tcPr>
            <w:tcW w:w="409" w:type="pct"/>
            <w:tcBorders>
              <w:top w:val="nil"/>
              <w:left w:val="nil"/>
              <w:bottom w:val="single" w:sz="4" w:space="0" w:color="auto"/>
              <w:right w:val="single" w:sz="4" w:space="0" w:color="auto"/>
            </w:tcBorders>
            <w:shd w:val="clear" w:color="auto" w:fill="auto"/>
            <w:noWrap/>
            <w:vAlign w:val="bottom"/>
            <w:hideMark/>
          </w:tcPr>
          <w:p w14:paraId="76BD4581" w14:textId="77777777" w:rsidR="00EA0E77" w:rsidRPr="00A52AEE" w:rsidRDefault="00EA0E77" w:rsidP="009A2373">
            <w:pPr>
              <w:jc w:val="right"/>
              <w:rPr>
                <w:lang w:eastAsia="en-GB"/>
              </w:rPr>
            </w:pPr>
            <w:r w:rsidRPr="00A52AEE">
              <w:rPr>
                <w:lang w:eastAsia="en-GB"/>
              </w:rPr>
              <w:t>9%</w:t>
            </w:r>
          </w:p>
        </w:tc>
        <w:tc>
          <w:tcPr>
            <w:tcW w:w="409" w:type="pct"/>
            <w:tcBorders>
              <w:top w:val="nil"/>
              <w:left w:val="nil"/>
              <w:bottom w:val="single" w:sz="4" w:space="0" w:color="auto"/>
              <w:right w:val="single" w:sz="4" w:space="0" w:color="auto"/>
            </w:tcBorders>
            <w:shd w:val="clear" w:color="auto" w:fill="auto"/>
            <w:noWrap/>
            <w:vAlign w:val="bottom"/>
            <w:hideMark/>
          </w:tcPr>
          <w:p w14:paraId="5620592D" w14:textId="77777777" w:rsidR="00EA0E77" w:rsidRPr="00A52AEE" w:rsidRDefault="00EA0E77" w:rsidP="009A2373">
            <w:pPr>
              <w:jc w:val="right"/>
              <w:rPr>
                <w:lang w:eastAsia="en-GB"/>
              </w:rPr>
            </w:pPr>
            <w:r w:rsidRPr="00A52AEE">
              <w:rPr>
                <w:lang w:eastAsia="en-GB"/>
              </w:rPr>
              <w:t>9%</w:t>
            </w:r>
          </w:p>
        </w:tc>
        <w:tc>
          <w:tcPr>
            <w:tcW w:w="409" w:type="pct"/>
            <w:tcBorders>
              <w:top w:val="nil"/>
              <w:left w:val="nil"/>
              <w:bottom w:val="single" w:sz="4" w:space="0" w:color="auto"/>
              <w:right w:val="single" w:sz="4" w:space="0" w:color="auto"/>
            </w:tcBorders>
            <w:shd w:val="clear" w:color="auto" w:fill="auto"/>
            <w:noWrap/>
            <w:vAlign w:val="bottom"/>
            <w:hideMark/>
          </w:tcPr>
          <w:p w14:paraId="320A022B" w14:textId="77777777" w:rsidR="00EA0E77" w:rsidRPr="00A52AEE" w:rsidRDefault="00EA0E77" w:rsidP="009A2373">
            <w:pPr>
              <w:jc w:val="right"/>
              <w:rPr>
                <w:lang w:eastAsia="en-GB"/>
              </w:rPr>
            </w:pPr>
            <w:r w:rsidRPr="00A52AEE">
              <w:rPr>
                <w:lang w:eastAsia="en-GB"/>
              </w:rPr>
              <w:t>10%</w:t>
            </w:r>
          </w:p>
        </w:tc>
        <w:tc>
          <w:tcPr>
            <w:tcW w:w="409" w:type="pct"/>
            <w:tcBorders>
              <w:top w:val="nil"/>
              <w:left w:val="nil"/>
              <w:bottom w:val="single" w:sz="4" w:space="0" w:color="auto"/>
              <w:right w:val="single" w:sz="4" w:space="0" w:color="auto"/>
            </w:tcBorders>
            <w:shd w:val="clear" w:color="auto" w:fill="auto"/>
            <w:noWrap/>
            <w:vAlign w:val="bottom"/>
            <w:hideMark/>
          </w:tcPr>
          <w:p w14:paraId="4501F7E6" w14:textId="77777777" w:rsidR="00EA0E77" w:rsidRPr="00A52AEE" w:rsidRDefault="00EA0E77" w:rsidP="009A2373">
            <w:pPr>
              <w:jc w:val="right"/>
              <w:rPr>
                <w:lang w:eastAsia="en-GB"/>
              </w:rPr>
            </w:pPr>
            <w:r w:rsidRPr="00A52AEE">
              <w:rPr>
                <w:lang w:eastAsia="en-GB"/>
              </w:rPr>
              <w:t>12%</w:t>
            </w:r>
          </w:p>
        </w:tc>
        <w:tc>
          <w:tcPr>
            <w:tcW w:w="409" w:type="pct"/>
            <w:tcBorders>
              <w:top w:val="nil"/>
              <w:left w:val="nil"/>
              <w:bottom w:val="single" w:sz="4" w:space="0" w:color="auto"/>
              <w:right w:val="single" w:sz="4" w:space="0" w:color="auto"/>
            </w:tcBorders>
            <w:shd w:val="clear" w:color="auto" w:fill="auto"/>
            <w:noWrap/>
            <w:vAlign w:val="bottom"/>
            <w:hideMark/>
          </w:tcPr>
          <w:p w14:paraId="779008F2" w14:textId="77777777" w:rsidR="00EA0E77" w:rsidRPr="00A52AEE" w:rsidRDefault="00EA0E77" w:rsidP="009A2373">
            <w:pPr>
              <w:jc w:val="right"/>
              <w:rPr>
                <w:lang w:eastAsia="en-GB"/>
              </w:rPr>
            </w:pPr>
            <w:r w:rsidRPr="00A52AEE">
              <w:rPr>
                <w:lang w:eastAsia="en-GB"/>
              </w:rPr>
              <w:t>10%</w:t>
            </w:r>
          </w:p>
        </w:tc>
      </w:tr>
      <w:tr w:rsidR="00EA0E77" w:rsidRPr="00A52AEE" w14:paraId="39E39F2F" w14:textId="77777777" w:rsidTr="00EA0E77">
        <w:trPr>
          <w:trHeight w:val="240"/>
        </w:trPr>
        <w:tc>
          <w:tcPr>
            <w:tcW w:w="1857" w:type="pct"/>
            <w:vMerge/>
            <w:tcBorders>
              <w:top w:val="nil"/>
              <w:left w:val="single" w:sz="4" w:space="0" w:color="auto"/>
              <w:bottom w:val="single" w:sz="4" w:space="0" w:color="000000"/>
              <w:right w:val="single" w:sz="4" w:space="0" w:color="auto"/>
            </w:tcBorders>
            <w:vAlign w:val="center"/>
            <w:hideMark/>
          </w:tcPr>
          <w:p w14:paraId="76C8D233" w14:textId="77777777" w:rsidR="00EA0E77" w:rsidRPr="00A52AEE" w:rsidRDefault="00EA0E77" w:rsidP="00A52AEE">
            <w:pPr>
              <w:rPr>
                <w:lang w:eastAsia="en-GB"/>
              </w:rPr>
            </w:pPr>
          </w:p>
        </w:tc>
        <w:tc>
          <w:tcPr>
            <w:tcW w:w="1099" w:type="pct"/>
            <w:tcBorders>
              <w:top w:val="nil"/>
              <w:left w:val="nil"/>
              <w:bottom w:val="single" w:sz="4" w:space="0" w:color="auto"/>
              <w:right w:val="single" w:sz="4" w:space="0" w:color="auto"/>
            </w:tcBorders>
            <w:shd w:val="clear" w:color="auto" w:fill="auto"/>
            <w:noWrap/>
            <w:vAlign w:val="bottom"/>
            <w:hideMark/>
          </w:tcPr>
          <w:p w14:paraId="1134F853" w14:textId="77777777" w:rsidR="00EA0E77" w:rsidRPr="00A52AEE" w:rsidRDefault="00EA0E77" w:rsidP="00A52AEE">
            <w:pPr>
              <w:rPr>
                <w:lang w:eastAsia="en-GB"/>
              </w:rPr>
            </w:pPr>
            <w:r w:rsidRPr="00A52AEE">
              <w:rPr>
                <w:lang w:eastAsia="en-GB"/>
              </w:rPr>
              <w:t xml:space="preserve">BTEC   </w:t>
            </w:r>
          </w:p>
        </w:tc>
        <w:tc>
          <w:tcPr>
            <w:tcW w:w="409" w:type="pct"/>
            <w:tcBorders>
              <w:top w:val="nil"/>
              <w:left w:val="nil"/>
              <w:bottom w:val="single" w:sz="4" w:space="0" w:color="auto"/>
              <w:right w:val="single" w:sz="4" w:space="0" w:color="auto"/>
            </w:tcBorders>
            <w:shd w:val="clear" w:color="auto" w:fill="auto"/>
            <w:noWrap/>
            <w:vAlign w:val="bottom"/>
            <w:hideMark/>
          </w:tcPr>
          <w:p w14:paraId="38273D21" w14:textId="77777777" w:rsidR="00EA0E77" w:rsidRPr="00A52AEE" w:rsidRDefault="00EA0E77" w:rsidP="009A2373">
            <w:pPr>
              <w:jc w:val="right"/>
              <w:rPr>
                <w:lang w:eastAsia="en-GB"/>
              </w:rPr>
            </w:pPr>
            <w:r w:rsidRPr="00A52AEE">
              <w:rPr>
                <w:lang w:eastAsia="en-GB"/>
              </w:rPr>
              <w:t>26%</w:t>
            </w:r>
          </w:p>
        </w:tc>
        <w:tc>
          <w:tcPr>
            <w:tcW w:w="409" w:type="pct"/>
            <w:tcBorders>
              <w:top w:val="nil"/>
              <w:left w:val="nil"/>
              <w:bottom w:val="single" w:sz="4" w:space="0" w:color="auto"/>
              <w:right w:val="single" w:sz="4" w:space="0" w:color="auto"/>
            </w:tcBorders>
            <w:shd w:val="clear" w:color="auto" w:fill="auto"/>
            <w:noWrap/>
            <w:vAlign w:val="bottom"/>
            <w:hideMark/>
          </w:tcPr>
          <w:p w14:paraId="5460DE93" w14:textId="77777777" w:rsidR="00EA0E77" w:rsidRPr="00A52AEE" w:rsidRDefault="00EA0E77" w:rsidP="009A2373">
            <w:pPr>
              <w:jc w:val="right"/>
              <w:rPr>
                <w:lang w:eastAsia="en-GB"/>
              </w:rPr>
            </w:pPr>
            <w:r w:rsidRPr="00A52AEE">
              <w:rPr>
                <w:lang w:eastAsia="en-GB"/>
              </w:rPr>
              <w:t>26%</w:t>
            </w:r>
          </w:p>
        </w:tc>
        <w:tc>
          <w:tcPr>
            <w:tcW w:w="409" w:type="pct"/>
            <w:tcBorders>
              <w:top w:val="nil"/>
              <w:left w:val="nil"/>
              <w:bottom w:val="single" w:sz="4" w:space="0" w:color="auto"/>
              <w:right w:val="single" w:sz="4" w:space="0" w:color="auto"/>
            </w:tcBorders>
            <w:shd w:val="clear" w:color="auto" w:fill="auto"/>
            <w:noWrap/>
            <w:vAlign w:val="bottom"/>
            <w:hideMark/>
          </w:tcPr>
          <w:p w14:paraId="23478119" w14:textId="77777777" w:rsidR="00EA0E77" w:rsidRPr="00A52AEE" w:rsidRDefault="00EA0E77" w:rsidP="009A2373">
            <w:pPr>
              <w:jc w:val="right"/>
              <w:rPr>
                <w:lang w:eastAsia="en-GB"/>
              </w:rPr>
            </w:pPr>
            <w:r w:rsidRPr="00A52AEE">
              <w:rPr>
                <w:lang w:eastAsia="en-GB"/>
              </w:rPr>
              <w:t>31%</w:t>
            </w:r>
          </w:p>
        </w:tc>
        <w:tc>
          <w:tcPr>
            <w:tcW w:w="409" w:type="pct"/>
            <w:tcBorders>
              <w:top w:val="nil"/>
              <w:left w:val="nil"/>
              <w:bottom w:val="single" w:sz="4" w:space="0" w:color="auto"/>
              <w:right w:val="single" w:sz="4" w:space="0" w:color="auto"/>
            </w:tcBorders>
            <w:shd w:val="clear" w:color="auto" w:fill="auto"/>
            <w:noWrap/>
            <w:vAlign w:val="bottom"/>
            <w:hideMark/>
          </w:tcPr>
          <w:p w14:paraId="093071CE" w14:textId="77777777" w:rsidR="00EA0E77" w:rsidRPr="00A52AEE" w:rsidRDefault="00EA0E77" w:rsidP="009A2373">
            <w:pPr>
              <w:jc w:val="right"/>
              <w:rPr>
                <w:lang w:eastAsia="en-GB"/>
              </w:rPr>
            </w:pPr>
            <w:r w:rsidRPr="00A52AEE">
              <w:rPr>
                <w:lang w:eastAsia="en-GB"/>
              </w:rPr>
              <w:t>39%</w:t>
            </w:r>
          </w:p>
        </w:tc>
        <w:tc>
          <w:tcPr>
            <w:tcW w:w="409" w:type="pct"/>
            <w:tcBorders>
              <w:top w:val="nil"/>
              <w:left w:val="nil"/>
              <w:bottom w:val="single" w:sz="4" w:space="0" w:color="auto"/>
              <w:right w:val="single" w:sz="4" w:space="0" w:color="auto"/>
            </w:tcBorders>
            <w:shd w:val="clear" w:color="auto" w:fill="auto"/>
            <w:noWrap/>
            <w:vAlign w:val="bottom"/>
            <w:hideMark/>
          </w:tcPr>
          <w:p w14:paraId="228A9785" w14:textId="77777777" w:rsidR="00EA0E77" w:rsidRPr="00A52AEE" w:rsidRDefault="00EA0E77" w:rsidP="009A2373">
            <w:pPr>
              <w:jc w:val="right"/>
              <w:rPr>
                <w:lang w:eastAsia="en-GB"/>
              </w:rPr>
            </w:pPr>
            <w:r w:rsidRPr="00A52AEE">
              <w:rPr>
                <w:lang w:eastAsia="en-GB"/>
              </w:rPr>
              <w:t>44%</w:t>
            </w:r>
          </w:p>
        </w:tc>
      </w:tr>
      <w:tr w:rsidR="00EA0E77" w:rsidRPr="00A52AEE" w14:paraId="74232DC6" w14:textId="77777777" w:rsidTr="00EA0E77">
        <w:trPr>
          <w:trHeight w:val="240"/>
        </w:trPr>
        <w:tc>
          <w:tcPr>
            <w:tcW w:w="1857" w:type="pct"/>
            <w:vMerge/>
            <w:tcBorders>
              <w:top w:val="nil"/>
              <w:left w:val="single" w:sz="4" w:space="0" w:color="auto"/>
              <w:bottom w:val="single" w:sz="4" w:space="0" w:color="000000"/>
              <w:right w:val="single" w:sz="4" w:space="0" w:color="auto"/>
            </w:tcBorders>
            <w:vAlign w:val="center"/>
            <w:hideMark/>
          </w:tcPr>
          <w:p w14:paraId="6C5EAE0E" w14:textId="77777777" w:rsidR="00EA0E77" w:rsidRPr="00A52AEE" w:rsidRDefault="00EA0E77" w:rsidP="00A52AEE">
            <w:pPr>
              <w:rPr>
                <w:lang w:eastAsia="en-GB"/>
              </w:rPr>
            </w:pPr>
          </w:p>
        </w:tc>
        <w:tc>
          <w:tcPr>
            <w:tcW w:w="1099" w:type="pct"/>
            <w:tcBorders>
              <w:top w:val="nil"/>
              <w:left w:val="nil"/>
              <w:bottom w:val="single" w:sz="4" w:space="0" w:color="auto"/>
              <w:right w:val="single" w:sz="4" w:space="0" w:color="auto"/>
            </w:tcBorders>
            <w:shd w:val="clear" w:color="auto" w:fill="auto"/>
            <w:noWrap/>
            <w:vAlign w:val="bottom"/>
            <w:hideMark/>
          </w:tcPr>
          <w:p w14:paraId="07484314" w14:textId="77777777" w:rsidR="00EA0E77" w:rsidRPr="00A52AEE" w:rsidRDefault="00EA0E77" w:rsidP="00A52AEE">
            <w:pPr>
              <w:rPr>
                <w:lang w:eastAsia="en-GB"/>
              </w:rPr>
            </w:pPr>
            <w:r w:rsidRPr="00A52AEE">
              <w:rPr>
                <w:lang w:eastAsia="en-GB"/>
              </w:rPr>
              <w:t>GCE A2 Level/IB</w:t>
            </w:r>
          </w:p>
        </w:tc>
        <w:tc>
          <w:tcPr>
            <w:tcW w:w="409" w:type="pct"/>
            <w:tcBorders>
              <w:top w:val="nil"/>
              <w:left w:val="nil"/>
              <w:bottom w:val="single" w:sz="4" w:space="0" w:color="auto"/>
              <w:right w:val="single" w:sz="4" w:space="0" w:color="auto"/>
            </w:tcBorders>
            <w:shd w:val="clear" w:color="auto" w:fill="auto"/>
            <w:noWrap/>
            <w:vAlign w:val="bottom"/>
            <w:hideMark/>
          </w:tcPr>
          <w:p w14:paraId="7A4210A2" w14:textId="77777777" w:rsidR="00EA0E77" w:rsidRPr="00A52AEE" w:rsidRDefault="00EA0E77" w:rsidP="009A2373">
            <w:pPr>
              <w:jc w:val="right"/>
              <w:rPr>
                <w:lang w:eastAsia="en-GB"/>
              </w:rPr>
            </w:pPr>
            <w:r w:rsidRPr="00A52AEE">
              <w:rPr>
                <w:lang w:eastAsia="en-GB"/>
              </w:rPr>
              <w:t>35%</w:t>
            </w:r>
          </w:p>
        </w:tc>
        <w:tc>
          <w:tcPr>
            <w:tcW w:w="409" w:type="pct"/>
            <w:tcBorders>
              <w:top w:val="nil"/>
              <w:left w:val="nil"/>
              <w:bottom w:val="single" w:sz="4" w:space="0" w:color="auto"/>
              <w:right w:val="single" w:sz="4" w:space="0" w:color="auto"/>
            </w:tcBorders>
            <w:shd w:val="clear" w:color="auto" w:fill="auto"/>
            <w:noWrap/>
            <w:vAlign w:val="bottom"/>
            <w:hideMark/>
          </w:tcPr>
          <w:p w14:paraId="538503CC" w14:textId="77777777" w:rsidR="00EA0E77" w:rsidRPr="00A52AEE" w:rsidRDefault="00EA0E77" w:rsidP="009A2373">
            <w:pPr>
              <w:jc w:val="right"/>
              <w:rPr>
                <w:lang w:eastAsia="en-GB"/>
              </w:rPr>
            </w:pPr>
            <w:r w:rsidRPr="00A52AEE">
              <w:rPr>
                <w:lang w:eastAsia="en-GB"/>
              </w:rPr>
              <w:t>30%</w:t>
            </w:r>
          </w:p>
        </w:tc>
        <w:tc>
          <w:tcPr>
            <w:tcW w:w="409" w:type="pct"/>
            <w:tcBorders>
              <w:top w:val="nil"/>
              <w:left w:val="nil"/>
              <w:bottom w:val="single" w:sz="4" w:space="0" w:color="auto"/>
              <w:right w:val="single" w:sz="4" w:space="0" w:color="auto"/>
            </w:tcBorders>
            <w:shd w:val="clear" w:color="auto" w:fill="auto"/>
            <w:noWrap/>
            <w:vAlign w:val="bottom"/>
            <w:hideMark/>
          </w:tcPr>
          <w:p w14:paraId="30EF8725" w14:textId="77777777" w:rsidR="00EA0E77" w:rsidRPr="00A52AEE" w:rsidRDefault="00EA0E77" w:rsidP="009A2373">
            <w:pPr>
              <w:jc w:val="right"/>
              <w:rPr>
                <w:lang w:eastAsia="en-GB"/>
              </w:rPr>
            </w:pPr>
            <w:r w:rsidRPr="00A52AEE">
              <w:rPr>
                <w:lang w:eastAsia="en-GB"/>
              </w:rPr>
              <w:t>28%</w:t>
            </w:r>
          </w:p>
        </w:tc>
        <w:tc>
          <w:tcPr>
            <w:tcW w:w="409" w:type="pct"/>
            <w:tcBorders>
              <w:top w:val="nil"/>
              <w:left w:val="nil"/>
              <w:bottom w:val="single" w:sz="4" w:space="0" w:color="auto"/>
              <w:right w:val="single" w:sz="4" w:space="0" w:color="auto"/>
            </w:tcBorders>
            <w:shd w:val="clear" w:color="auto" w:fill="auto"/>
            <w:noWrap/>
            <w:vAlign w:val="bottom"/>
            <w:hideMark/>
          </w:tcPr>
          <w:p w14:paraId="70206EB4" w14:textId="77777777" w:rsidR="00EA0E77" w:rsidRPr="00A52AEE" w:rsidRDefault="00EA0E77" w:rsidP="009A2373">
            <w:pPr>
              <w:jc w:val="right"/>
              <w:rPr>
                <w:lang w:eastAsia="en-GB"/>
              </w:rPr>
            </w:pPr>
            <w:r w:rsidRPr="00A52AEE">
              <w:rPr>
                <w:lang w:eastAsia="en-GB"/>
              </w:rPr>
              <w:t>26%</w:t>
            </w:r>
          </w:p>
        </w:tc>
        <w:tc>
          <w:tcPr>
            <w:tcW w:w="409" w:type="pct"/>
            <w:tcBorders>
              <w:top w:val="nil"/>
              <w:left w:val="nil"/>
              <w:bottom w:val="single" w:sz="4" w:space="0" w:color="auto"/>
              <w:right w:val="single" w:sz="4" w:space="0" w:color="auto"/>
            </w:tcBorders>
            <w:shd w:val="clear" w:color="auto" w:fill="auto"/>
            <w:noWrap/>
            <w:vAlign w:val="bottom"/>
            <w:hideMark/>
          </w:tcPr>
          <w:p w14:paraId="2743EE8C" w14:textId="77777777" w:rsidR="00EA0E77" w:rsidRPr="00A52AEE" w:rsidRDefault="00EA0E77" w:rsidP="009A2373">
            <w:pPr>
              <w:jc w:val="right"/>
              <w:rPr>
                <w:lang w:eastAsia="en-GB"/>
              </w:rPr>
            </w:pPr>
            <w:r w:rsidRPr="00A52AEE">
              <w:rPr>
                <w:lang w:eastAsia="en-GB"/>
              </w:rPr>
              <w:t>21%</w:t>
            </w:r>
          </w:p>
        </w:tc>
      </w:tr>
      <w:tr w:rsidR="00EA0E77" w:rsidRPr="00A52AEE" w14:paraId="286C490A" w14:textId="77777777" w:rsidTr="00EA0E77">
        <w:trPr>
          <w:trHeight w:val="240"/>
        </w:trPr>
        <w:tc>
          <w:tcPr>
            <w:tcW w:w="1857" w:type="pct"/>
            <w:vMerge/>
            <w:tcBorders>
              <w:top w:val="nil"/>
              <w:left w:val="single" w:sz="4" w:space="0" w:color="auto"/>
              <w:bottom w:val="single" w:sz="4" w:space="0" w:color="000000"/>
              <w:right w:val="single" w:sz="4" w:space="0" w:color="auto"/>
            </w:tcBorders>
            <w:vAlign w:val="center"/>
            <w:hideMark/>
          </w:tcPr>
          <w:p w14:paraId="049FF89F" w14:textId="77777777" w:rsidR="00EA0E77" w:rsidRPr="00A52AEE" w:rsidRDefault="00EA0E77" w:rsidP="00A52AEE">
            <w:pPr>
              <w:rPr>
                <w:lang w:eastAsia="en-GB"/>
              </w:rPr>
            </w:pPr>
          </w:p>
        </w:tc>
        <w:tc>
          <w:tcPr>
            <w:tcW w:w="1099" w:type="pct"/>
            <w:tcBorders>
              <w:top w:val="nil"/>
              <w:left w:val="nil"/>
              <w:bottom w:val="single" w:sz="4" w:space="0" w:color="auto"/>
              <w:right w:val="single" w:sz="4" w:space="0" w:color="auto"/>
            </w:tcBorders>
            <w:shd w:val="clear" w:color="auto" w:fill="auto"/>
            <w:noWrap/>
            <w:vAlign w:val="bottom"/>
            <w:hideMark/>
          </w:tcPr>
          <w:p w14:paraId="0811B0A0" w14:textId="23ACE644"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409" w:type="pct"/>
            <w:tcBorders>
              <w:top w:val="nil"/>
              <w:left w:val="nil"/>
              <w:bottom w:val="single" w:sz="4" w:space="0" w:color="auto"/>
              <w:right w:val="single" w:sz="4" w:space="0" w:color="auto"/>
            </w:tcBorders>
            <w:shd w:val="clear" w:color="auto" w:fill="auto"/>
            <w:noWrap/>
            <w:vAlign w:val="bottom"/>
            <w:hideMark/>
          </w:tcPr>
          <w:p w14:paraId="29B19AD5" w14:textId="77777777" w:rsidR="00EA0E77" w:rsidRPr="00A52AEE" w:rsidRDefault="00EA0E77" w:rsidP="009A2373">
            <w:pPr>
              <w:jc w:val="right"/>
              <w:rPr>
                <w:lang w:eastAsia="en-GB"/>
              </w:rPr>
            </w:pPr>
            <w:r w:rsidRPr="00A52AEE">
              <w:rPr>
                <w:lang w:eastAsia="en-GB"/>
              </w:rPr>
              <w:t>4%</w:t>
            </w:r>
          </w:p>
        </w:tc>
        <w:tc>
          <w:tcPr>
            <w:tcW w:w="409" w:type="pct"/>
            <w:tcBorders>
              <w:top w:val="nil"/>
              <w:left w:val="nil"/>
              <w:bottom w:val="single" w:sz="4" w:space="0" w:color="auto"/>
              <w:right w:val="single" w:sz="4" w:space="0" w:color="auto"/>
            </w:tcBorders>
            <w:shd w:val="clear" w:color="auto" w:fill="auto"/>
            <w:noWrap/>
            <w:vAlign w:val="bottom"/>
            <w:hideMark/>
          </w:tcPr>
          <w:p w14:paraId="1D8D9368" w14:textId="77777777" w:rsidR="00EA0E77" w:rsidRPr="00A52AEE" w:rsidRDefault="00EA0E77" w:rsidP="009A2373">
            <w:pPr>
              <w:jc w:val="right"/>
              <w:rPr>
                <w:lang w:eastAsia="en-GB"/>
              </w:rPr>
            </w:pPr>
            <w:r w:rsidRPr="00A52AEE">
              <w:rPr>
                <w:lang w:eastAsia="en-GB"/>
              </w:rPr>
              <w:t>4%</w:t>
            </w:r>
          </w:p>
        </w:tc>
        <w:tc>
          <w:tcPr>
            <w:tcW w:w="409" w:type="pct"/>
            <w:tcBorders>
              <w:top w:val="nil"/>
              <w:left w:val="nil"/>
              <w:bottom w:val="single" w:sz="4" w:space="0" w:color="auto"/>
              <w:right w:val="single" w:sz="4" w:space="0" w:color="auto"/>
            </w:tcBorders>
            <w:shd w:val="clear" w:color="auto" w:fill="auto"/>
            <w:noWrap/>
            <w:vAlign w:val="bottom"/>
            <w:hideMark/>
          </w:tcPr>
          <w:p w14:paraId="5B5CAED5" w14:textId="77777777" w:rsidR="00EA0E77" w:rsidRPr="00A52AEE" w:rsidRDefault="00EA0E77" w:rsidP="009A2373">
            <w:pPr>
              <w:jc w:val="right"/>
              <w:rPr>
                <w:lang w:eastAsia="en-GB"/>
              </w:rPr>
            </w:pPr>
            <w:r w:rsidRPr="00A52AEE">
              <w:rPr>
                <w:lang w:eastAsia="en-GB"/>
              </w:rPr>
              <w:t>2%</w:t>
            </w:r>
          </w:p>
        </w:tc>
        <w:tc>
          <w:tcPr>
            <w:tcW w:w="409" w:type="pct"/>
            <w:tcBorders>
              <w:top w:val="nil"/>
              <w:left w:val="nil"/>
              <w:bottom w:val="single" w:sz="4" w:space="0" w:color="auto"/>
              <w:right w:val="single" w:sz="4" w:space="0" w:color="auto"/>
            </w:tcBorders>
            <w:shd w:val="clear" w:color="auto" w:fill="auto"/>
            <w:noWrap/>
            <w:vAlign w:val="bottom"/>
            <w:hideMark/>
          </w:tcPr>
          <w:p w14:paraId="0DAC081C" w14:textId="77777777" w:rsidR="00EA0E77" w:rsidRPr="00A52AEE" w:rsidRDefault="00EA0E77" w:rsidP="009A2373">
            <w:pPr>
              <w:jc w:val="right"/>
              <w:rPr>
                <w:lang w:eastAsia="en-GB"/>
              </w:rPr>
            </w:pPr>
            <w:r w:rsidRPr="00A52AEE">
              <w:rPr>
                <w:lang w:eastAsia="en-GB"/>
              </w:rPr>
              <w:t>3%</w:t>
            </w:r>
          </w:p>
        </w:tc>
        <w:tc>
          <w:tcPr>
            <w:tcW w:w="409" w:type="pct"/>
            <w:tcBorders>
              <w:top w:val="nil"/>
              <w:left w:val="nil"/>
              <w:bottom w:val="single" w:sz="4" w:space="0" w:color="auto"/>
              <w:right w:val="single" w:sz="4" w:space="0" w:color="auto"/>
            </w:tcBorders>
            <w:shd w:val="clear" w:color="auto" w:fill="auto"/>
            <w:noWrap/>
            <w:vAlign w:val="bottom"/>
            <w:hideMark/>
          </w:tcPr>
          <w:p w14:paraId="1BBFCEC6" w14:textId="77777777" w:rsidR="00EA0E77" w:rsidRPr="00A52AEE" w:rsidRDefault="00EA0E77" w:rsidP="009A2373">
            <w:pPr>
              <w:jc w:val="right"/>
              <w:rPr>
                <w:lang w:eastAsia="en-GB"/>
              </w:rPr>
            </w:pPr>
            <w:r w:rsidRPr="00A52AEE">
              <w:rPr>
                <w:lang w:eastAsia="en-GB"/>
              </w:rPr>
              <w:t>2%</w:t>
            </w:r>
          </w:p>
        </w:tc>
      </w:tr>
      <w:tr w:rsidR="00EA0E77" w:rsidRPr="00A52AEE" w14:paraId="42AF9A11" w14:textId="77777777" w:rsidTr="00EA0E77">
        <w:trPr>
          <w:trHeight w:val="240"/>
        </w:trPr>
        <w:tc>
          <w:tcPr>
            <w:tcW w:w="1857" w:type="pct"/>
            <w:vMerge/>
            <w:tcBorders>
              <w:top w:val="nil"/>
              <w:left w:val="single" w:sz="4" w:space="0" w:color="auto"/>
              <w:bottom w:val="single" w:sz="4" w:space="0" w:color="000000"/>
              <w:right w:val="single" w:sz="4" w:space="0" w:color="auto"/>
            </w:tcBorders>
            <w:vAlign w:val="center"/>
            <w:hideMark/>
          </w:tcPr>
          <w:p w14:paraId="5D3AC691" w14:textId="77777777" w:rsidR="00EA0E77" w:rsidRPr="00A52AEE" w:rsidRDefault="00EA0E77" w:rsidP="00A52AEE">
            <w:pPr>
              <w:rPr>
                <w:lang w:eastAsia="en-GB"/>
              </w:rPr>
            </w:pPr>
          </w:p>
        </w:tc>
        <w:tc>
          <w:tcPr>
            <w:tcW w:w="1099" w:type="pct"/>
            <w:tcBorders>
              <w:top w:val="nil"/>
              <w:left w:val="nil"/>
              <w:bottom w:val="single" w:sz="4" w:space="0" w:color="auto"/>
              <w:right w:val="single" w:sz="4" w:space="0" w:color="auto"/>
            </w:tcBorders>
            <w:shd w:val="clear" w:color="auto" w:fill="auto"/>
            <w:noWrap/>
            <w:vAlign w:val="bottom"/>
            <w:hideMark/>
          </w:tcPr>
          <w:p w14:paraId="32E0A2E3" w14:textId="77777777" w:rsidR="00EA0E77" w:rsidRPr="00A52AEE" w:rsidRDefault="00EA0E77" w:rsidP="00A52AEE">
            <w:pPr>
              <w:rPr>
                <w:lang w:eastAsia="en-GB"/>
              </w:rPr>
            </w:pPr>
            <w:r w:rsidRPr="00A52AEE">
              <w:rPr>
                <w:lang w:eastAsia="en-GB"/>
              </w:rPr>
              <w:t>NVQ</w:t>
            </w:r>
          </w:p>
        </w:tc>
        <w:tc>
          <w:tcPr>
            <w:tcW w:w="409" w:type="pct"/>
            <w:tcBorders>
              <w:top w:val="nil"/>
              <w:left w:val="nil"/>
              <w:bottom w:val="single" w:sz="4" w:space="0" w:color="auto"/>
              <w:right w:val="single" w:sz="4" w:space="0" w:color="auto"/>
            </w:tcBorders>
            <w:shd w:val="clear" w:color="auto" w:fill="auto"/>
            <w:noWrap/>
            <w:vAlign w:val="bottom"/>
            <w:hideMark/>
          </w:tcPr>
          <w:p w14:paraId="6ED59BC1" w14:textId="77777777" w:rsidR="00EA0E77" w:rsidRPr="00A52AEE" w:rsidRDefault="00EA0E77" w:rsidP="009A2373">
            <w:pPr>
              <w:jc w:val="right"/>
              <w:rPr>
                <w:lang w:eastAsia="en-GB"/>
              </w:rPr>
            </w:pPr>
            <w:r w:rsidRPr="00A52AEE">
              <w:rPr>
                <w:lang w:eastAsia="en-GB"/>
              </w:rPr>
              <w:t>8%</w:t>
            </w:r>
          </w:p>
        </w:tc>
        <w:tc>
          <w:tcPr>
            <w:tcW w:w="409" w:type="pct"/>
            <w:tcBorders>
              <w:top w:val="nil"/>
              <w:left w:val="nil"/>
              <w:bottom w:val="single" w:sz="4" w:space="0" w:color="auto"/>
              <w:right w:val="single" w:sz="4" w:space="0" w:color="auto"/>
            </w:tcBorders>
            <w:shd w:val="clear" w:color="auto" w:fill="auto"/>
            <w:noWrap/>
            <w:vAlign w:val="bottom"/>
            <w:hideMark/>
          </w:tcPr>
          <w:p w14:paraId="13C52B49" w14:textId="77777777" w:rsidR="00EA0E77" w:rsidRPr="00A52AEE" w:rsidRDefault="00EA0E77" w:rsidP="009A2373">
            <w:pPr>
              <w:jc w:val="right"/>
              <w:rPr>
                <w:lang w:eastAsia="en-GB"/>
              </w:rPr>
            </w:pPr>
            <w:r w:rsidRPr="00A52AEE">
              <w:rPr>
                <w:lang w:eastAsia="en-GB"/>
              </w:rPr>
              <w:t>17%</w:t>
            </w:r>
          </w:p>
        </w:tc>
        <w:tc>
          <w:tcPr>
            <w:tcW w:w="409" w:type="pct"/>
            <w:tcBorders>
              <w:top w:val="nil"/>
              <w:left w:val="nil"/>
              <w:bottom w:val="single" w:sz="4" w:space="0" w:color="auto"/>
              <w:right w:val="single" w:sz="4" w:space="0" w:color="auto"/>
            </w:tcBorders>
            <w:shd w:val="clear" w:color="auto" w:fill="auto"/>
            <w:noWrap/>
            <w:vAlign w:val="bottom"/>
            <w:hideMark/>
          </w:tcPr>
          <w:p w14:paraId="0E1A3FDA" w14:textId="77777777" w:rsidR="00EA0E77" w:rsidRPr="00A52AEE" w:rsidRDefault="00EA0E77" w:rsidP="009A2373">
            <w:pPr>
              <w:jc w:val="right"/>
              <w:rPr>
                <w:lang w:eastAsia="en-GB"/>
              </w:rPr>
            </w:pPr>
            <w:r w:rsidRPr="00A52AEE">
              <w:rPr>
                <w:lang w:eastAsia="en-GB"/>
              </w:rPr>
              <w:t>15%</w:t>
            </w:r>
          </w:p>
        </w:tc>
        <w:tc>
          <w:tcPr>
            <w:tcW w:w="409" w:type="pct"/>
            <w:tcBorders>
              <w:top w:val="nil"/>
              <w:left w:val="nil"/>
              <w:bottom w:val="single" w:sz="4" w:space="0" w:color="auto"/>
              <w:right w:val="single" w:sz="4" w:space="0" w:color="auto"/>
            </w:tcBorders>
            <w:shd w:val="clear" w:color="auto" w:fill="auto"/>
            <w:noWrap/>
            <w:vAlign w:val="bottom"/>
            <w:hideMark/>
          </w:tcPr>
          <w:p w14:paraId="201047BE" w14:textId="77777777" w:rsidR="00EA0E77" w:rsidRPr="00A52AEE" w:rsidRDefault="00EA0E77" w:rsidP="009A2373">
            <w:pPr>
              <w:jc w:val="right"/>
              <w:rPr>
                <w:lang w:eastAsia="en-GB"/>
              </w:rPr>
            </w:pPr>
            <w:r w:rsidRPr="00A52AEE">
              <w:rPr>
                <w:lang w:eastAsia="en-GB"/>
              </w:rPr>
              <w:t>10%</w:t>
            </w:r>
          </w:p>
        </w:tc>
        <w:tc>
          <w:tcPr>
            <w:tcW w:w="409" w:type="pct"/>
            <w:tcBorders>
              <w:top w:val="nil"/>
              <w:left w:val="nil"/>
              <w:bottom w:val="single" w:sz="4" w:space="0" w:color="auto"/>
              <w:right w:val="single" w:sz="4" w:space="0" w:color="auto"/>
            </w:tcBorders>
            <w:shd w:val="clear" w:color="auto" w:fill="auto"/>
            <w:noWrap/>
            <w:vAlign w:val="bottom"/>
            <w:hideMark/>
          </w:tcPr>
          <w:p w14:paraId="2B9D0AAF" w14:textId="77777777" w:rsidR="00EA0E77" w:rsidRPr="00A52AEE" w:rsidRDefault="00EA0E77" w:rsidP="009A2373">
            <w:pPr>
              <w:jc w:val="right"/>
              <w:rPr>
                <w:lang w:eastAsia="en-GB"/>
              </w:rPr>
            </w:pPr>
            <w:r w:rsidRPr="00A52AEE">
              <w:rPr>
                <w:lang w:eastAsia="en-GB"/>
              </w:rPr>
              <w:t>4%</w:t>
            </w:r>
          </w:p>
        </w:tc>
      </w:tr>
      <w:tr w:rsidR="00EA0E77" w:rsidRPr="00A52AEE" w14:paraId="4B03A7E1" w14:textId="77777777" w:rsidTr="00EA0E77">
        <w:trPr>
          <w:trHeight w:val="240"/>
        </w:trPr>
        <w:tc>
          <w:tcPr>
            <w:tcW w:w="1857" w:type="pct"/>
            <w:vMerge/>
            <w:tcBorders>
              <w:top w:val="nil"/>
              <w:left w:val="single" w:sz="4" w:space="0" w:color="auto"/>
              <w:bottom w:val="single" w:sz="4" w:space="0" w:color="000000"/>
              <w:right w:val="single" w:sz="4" w:space="0" w:color="auto"/>
            </w:tcBorders>
            <w:vAlign w:val="center"/>
            <w:hideMark/>
          </w:tcPr>
          <w:p w14:paraId="65B64462" w14:textId="77777777" w:rsidR="00EA0E77" w:rsidRPr="00A52AEE" w:rsidRDefault="00EA0E77" w:rsidP="00A52AEE">
            <w:pPr>
              <w:rPr>
                <w:lang w:eastAsia="en-GB"/>
              </w:rPr>
            </w:pPr>
          </w:p>
        </w:tc>
        <w:tc>
          <w:tcPr>
            <w:tcW w:w="1099" w:type="pct"/>
            <w:tcBorders>
              <w:top w:val="nil"/>
              <w:left w:val="nil"/>
              <w:bottom w:val="single" w:sz="4" w:space="0" w:color="auto"/>
              <w:right w:val="single" w:sz="4" w:space="0" w:color="auto"/>
            </w:tcBorders>
            <w:shd w:val="clear" w:color="auto" w:fill="auto"/>
            <w:noWrap/>
            <w:vAlign w:val="bottom"/>
            <w:hideMark/>
          </w:tcPr>
          <w:p w14:paraId="1C6A4503" w14:textId="3812D432" w:rsidR="00EA0E77" w:rsidRPr="00A52AEE" w:rsidRDefault="00EA0E77" w:rsidP="00A52AEE">
            <w:pPr>
              <w:rPr>
                <w:lang w:eastAsia="en-GB"/>
              </w:rPr>
            </w:pPr>
            <w:r w:rsidRPr="00A52AEE">
              <w:rPr>
                <w:lang w:eastAsia="en-GB"/>
              </w:rPr>
              <w:t xml:space="preserve">Other Vocational </w:t>
            </w:r>
          </w:p>
        </w:tc>
        <w:tc>
          <w:tcPr>
            <w:tcW w:w="409" w:type="pct"/>
            <w:tcBorders>
              <w:top w:val="nil"/>
              <w:left w:val="nil"/>
              <w:bottom w:val="single" w:sz="4" w:space="0" w:color="auto"/>
              <w:right w:val="single" w:sz="4" w:space="0" w:color="auto"/>
            </w:tcBorders>
            <w:shd w:val="clear" w:color="auto" w:fill="auto"/>
            <w:noWrap/>
            <w:vAlign w:val="bottom"/>
            <w:hideMark/>
          </w:tcPr>
          <w:p w14:paraId="33E63CA9" w14:textId="77777777" w:rsidR="00EA0E77" w:rsidRPr="00A52AEE" w:rsidRDefault="00EA0E77" w:rsidP="009A2373">
            <w:pPr>
              <w:jc w:val="right"/>
              <w:rPr>
                <w:lang w:eastAsia="en-GB"/>
              </w:rPr>
            </w:pPr>
            <w:r w:rsidRPr="00A52AEE">
              <w:rPr>
                <w:lang w:eastAsia="en-GB"/>
              </w:rPr>
              <w:t>18%</w:t>
            </w:r>
          </w:p>
        </w:tc>
        <w:tc>
          <w:tcPr>
            <w:tcW w:w="409" w:type="pct"/>
            <w:tcBorders>
              <w:top w:val="nil"/>
              <w:left w:val="nil"/>
              <w:bottom w:val="single" w:sz="4" w:space="0" w:color="auto"/>
              <w:right w:val="single" w:sz="4" w:space="0" w:color="auto"/>
            </w:tcBorders>
            <w:shd w:val="clear" w:color="auto" w:fill="auto"/>
            <w:noWrap/>
            <w:vAlign w:val="bottom"/>
            <w:hideMark/>
          </w:tcPr>
          <w:p w14:paraId="22B1FE8E" w14:textId="77777777" w:rsidR="00EA0E77" w:rsidRPr="00A52AEE" w:rsidRDefault="00EA0E77" w:rsidP="009A2373">
            <w:pPr>
              <w:jc w:val="right"/>
              <w:rPr>
                <w:lang w:eastAsia="en-GB"/>
              </w:rPr>
            </w:pPr>
            <w:r w:rsidRPr="00A52AEE">
              <w:rPr>
                <w:lang w:eastAsia="en-GB"/>
              </w:rPr>
              <w:t>14%</w:t>
            </w:r>
          </w:p>
        </w:tc>
        <w:tc>
          <w:tcPr>
            <w:tcW w:w="409" w:type="pct"/>
            <w:tcBorders>
              <w:top w:val="nil"/>
              <w:left w:val="nil"/>
              <w:bottom w:val="single" w:sz="4" w:space="0" w:color="auto"/>
              <w:right w:val="single" w:sz="4" w:space="0" w:color="auto"/>
            </w:tcBorders>
            <w:shd w:val="clear" w:color="auto" w:fill="auto"/>
            <w:noWrap/>
            <w:vAlign w:val="bottom"/>
            <w:hideMark/>
          </w:tcPr>
          <w:p w14:paraId="217F5B4A" w14:textId="77777777" w:rsidR="00EA0E77" w:rsidRPr="00A52AEE" w:rsidRDefault="00EA0E77" w:rsidP="009A2373">
            <w:pPr>
              <w:jc w:val="right"/>
              <w:rPr>
                <w:lang w:eastAsia="en-GB"/>
              </w:rPr>
            </w:pPr>
            <w:r w:rsidRPr="00A52AEE">
              <w:rPr>
                <w:lang w:eastAsia="en-GB"/>
              </w:rPr>
              <w:t>14%</w:t>
            </w:r>
          </w:p>
        </w:tc>
        <w:tc>
          <w:tcPr>
            <w:tcW w:w="409" w:type="pct"/>
            <w:tcBorders>
              <w:top w:val="nil"/>
              <w:left w:val="nil"/>
              <w:bottom w:val="single" w:sz="4" w:space="0" w:color="auto"/>
              <w:right w:val="single" w:sz="4" w:space="0" w:color="auto"/>
            </w:tcBorders>
            <w:shd w:val="clear" w:color="auto" w:fill="auto"/>
            <w:noWrap/>
            <w:vAlign w:val="bottom"/>
            <w:hideMark/>
          </w:tcPr>
          <w:p w14:paraId="2DDDE739" w14:textId="77777777" w:rsidR="00EA0E77" w:rsidRPr="00A52AEE" w:rsidRDefault="00EA0E77" w:rsidP="009A2373">
            <w:pPr>
              <w:jc w:val="right"/>
              <w:rPr>
                <w:lang w:eastAsia="en-GB"/>
              </w:rPr>
            </w:pPr>
            <w:r w:rsidRPr="00A52AEE">
              <w:rPr>
                <w:lang w:eastAsia="en-GB"/>
              </w:rPr>
              <w:t>11%</w:t>
            </w:r>
          </w:p>
        </w:tc>
        <w:tc>
          <w:tcPr>
            <w:tcW w:w="409" w:type="pct"/>
            <w:tcBorders>
              <w:top w:val="nil"/>
              <w:left w:val="nil"/>
              <w:bottom w:val="single" w:sz="4" w:space="0" w:color="auto"/>
              <w:right w:val="single" w:sz="4" w:space="0" w:color="auto"/>
            </w:tcBorders>
            <w:shd w:val="clear" w:color="auto" w:fill="auto"/>
            <w:noWrap/>
            <w:vAlign w:val="bottom"/>
            <w:hideMark/>
          </w:tcPr>
          <w:p w14:paraId="34FC382B" w14:textId="77777777" w:rsidR="00EA0E77" w:rsidRPr="00A52AEE" w:rsidRDefault="00EA0E77" w:rsidP="009A2373">
            <w:pPr>
              <w:jc w:val="right"/>
              <w:rPr>
                <w:lang w:eastAsia="en-GB"/>
              </w:rPr>
            </w:pPr>
            <w:r w:rsidRPr="00A52AEE">
              <w:rPr>
                <w:lang w:eastAsia="en-GB"/>
              </w:rPr>
              <w:t>18%</w:t>
            </w:r>
          </w:p>
        </w:tc>
      </w:tr>
      <w:tr w:rsidR="00EA0E77" w:rsidRPr="00A52AEE" w14:paraId="68AF17B4" w14:textId="77777777" w:rsidTr="00EA0E77">
        <w:trPr>
          <w:trHeight w:val="240"/>
        </w:trPr>
        <w:tc>
          <w:tcPr>
            <w:tcW w:w="1857" w:type="pct"/>
            <w:vMerge w:val="restart"/>
            <w:tcBorders>
              <w:top w:val="nil"/>
              <w:left w:val="single" w:sz="4" w:space="0" w:color="auto"/>
              <w:bottom w:val="single" w:sz="4" w:space="0" w:color="000000"/>
              <w:right w:val="single" w:sz="4" w:space="0" w:color="auto"/>
            </w:tcBorders>
            <w:shd w:val="clear" w:color="auto" w:fill="auto"/>
            <w:vAlign w:val="center"/>
            <w:hideMark/>
          </w:tcPr>
          <w:p w14:paraId="664C4FE8" w14:textId="77777777" w:rsidR="00EA0E77" w:rsidRPr="00A52AEE" w:rsidRDefault="00EA0E77" w:rsidP="00A52AEE">
            <w:pPr>
              <w:rPr>
                <w:lang w:eastAsia="en-GB"/>
              </w:rPr>
            </w:pPr>
            <w:r w:rsidRPr="00A52AEE">
              <w:rPr>
                <w:lang w:eastAsia="en-GB"/>
              </w:rPr>
              <w:t>Asian or Asian British –Bangladeshi</w:t>
            </w:r>
          </w:p>
        </w:tc>
        <w:tc>
          <w:tcPr>
            <w:tcW w:w="1099" w:type="pct"/>
            <w:tcBorders>
              <w:top w:val="nil"/>
              <w:left w:val="nil"/>
              <w:bottom w:val="single" w:sz="4" w:space="0" w:color="auto"/>
              <w:right w:val="single" w:sz="4" w:space="0" w:color="auto"/>
            </w:tcBorders>
            <w:shd w:val="clear" w:color="auto" w:fill="auto"/>
            <w:noWrap/>
            <w:vAlign w:val="bottom"/>
            <w:hideMark/>
          </w:tcPr>
          <w:p w14:paraId="18A26A13" w14:textId="551700DD" w:rsidR="00EA0E77" w:rsidRPr="00A52AEE" w:rsidRDefault="00EA0E77" w:rsidP="00A52AEE">
            <w:pPr>
              <w:rPr>
                <w:lang w:eastAsia="en-GB"/>
              </w:rPr>
            </w:pPr>
            <w:r w:rsidRPr="00A52AEE">
              <w:rPr>
                <w:lang w:eastAsia="en-GB"/>
              </w:rPr>
              <w:t>Access</w:t>
            </w:r>
          </w:p>
        </w:tc>
        <w:tc>
          <w:tcPr>
            <w:tcW w:w="409" w:type="pct"/>
            <w:tcBorders>
              <w:top w:val="nil"/>
              <w:left w:val="nil"/>
              <w:bottom w:val="single" w:sz="4" w:space="0" w:color="auto"/>
              <w:right w:val="single" w:sz="4" w:space="0" w:color="auto"/>
            </w:tcBorders>
            <w:shd w:val="clear" w:color="auto" w:fill="auto"/>
            <w:noWrap/>
            <w:vAlign w:val="bottom"/>
            <w:hideMark/>
          </w:tcPr>
          <w:p w14:paraId="29CC18DF" w14:textId="77777777" w:rsidR="00EA0E77" w:rsidRPr="00A52AEE" w:rsidRDefault="00EA0E77" w:rsidP="009A2373">
            <w:pPr>
              <w:jc w:val="right"/>
              <w:rPr>
                <w:lang w:eastAsia="en-GB"/>
              </w:rPr>
            </w:pPr>
            <w:r w:rsidRPr="00A52AEE">
              <w:rPr>
                <w:lang w:eastAsia="en-GB"/>
              </w:rPr>
              <w:t>5%</w:t>
            </w:r>
          </w:p>
        </w:tc>
        <w:tc>
          <w:tcPr>
            <w:tcW w:w="409" w:type="pct"/>
            <w:tcBorders>
              <w:top w:val="nil"/>
              <w:left w:val="nil"/>
              <w:bottom w:val="single" w:sz="4" w:space="0" w:color="auto"/>
              <w:right w:val="single" w:sz="4" w:space="0" w:color="auto"/>
            </w:tcBorders>
            <w:shd w:val="clear" w:color="auto" w:fill="auto"/>
            <w:noWrap/>
            <w:vAlign w:val="bottom"/>
            <w:hideMark/>
          </w:tcPr>
          <w:p w14:paraId="15E2DECF" w14:textId="77777777" w:rsidR="00EA0E77" w:rsidRPr="00A52AEE" w:rsidRDefault="00EA0E77" w:rsidP="009A2373">
            <w:pPr>
              <w:jc w:val="right"/>
              <w:rPr>
                <w:lang w:eastAsia="en-GB"/>
              </w:rPr>
            </w:pPr>
            <w:r w:rsidRPr="00A52AEE">
              <w:rPr>
                <w:lang w:eastAsia="en-GB"/>
              </w:rPr>
              <w:t>6%</w:t>
            </w:r>
          </w:p>
        </w:tc>
        <w:tc>
          <w:tcPr>
            <w:tcW w:w="409" w:type="pct"/>
            <w:tcBorders>
              <w:top w:val="nil"/>
              <w:left w:val="nil"/>
              <w:bottom w:val="single" w:sz="4" w:space="0" w:color="auto"/>
              <w:right w:val="single" w:sz="4" w:space="0" w:color="auto"/>
            </w:tcBorders>
            <w:shd w:val="clear" w:color="auto" w:fill="auto"/>
            <w:noWrap/>
            <w:vAlign w:val="bottom"/>
            <w:hideMark/>
          </w:tcPr>
          <w:p w14:paraId="3B8A5CBA" w14:textId="77777777" w:rsidR="00EA0E77" w:rsidRPr="00A52AEE" w:rsidRDefault="00EA0E77" w:rsidP="009A2373">
            <w:pPr>
              <w:jc w:val="right"/>
              <w:rPr>
                <w:lang w:eastAsia="en-GB"/>
              </w:rPr>
            </w:pPr>
            <w:r w:rsidRPr="00A52AEE">
              <w:rPr>
                <w:lang w:eastAsia="en-GB"/>
              </w:rPr>
              <w:t>8%</w:t>
            </w:r>
          </w:p>
        </w:tc>
        <w:tc>
          <w:tcPr>
            <w:tcW w:w="409" w:type="pct"/>
            <w:tcBorders>
              <w:top w:val="nil"/>
              <w:left w:val="nil"/>
              <w:bottom w:val="single" w:sz="4" w:space="0" w:color="auto"/>
              <w:right w:val="single" w:sz="4" w:space="0" w:color="auto"/>
            </w:tcBorders>
            <w:shd w:val="clear" w:color="auto" w:fill="auto"/>
            <w:noWrap/>
            <w:vAlign w:val="bottom"/>
            <w:hideMark/>
          </w:tcPr>
          <w:p w14:paraId="461427E2" w14:textId="77777777" w:rsidR="00EA0E77" w:rsidRPr="00A52AEE" w:rsidRDefault="00EA0E77" w:rsidP="009A2373">
            <w:pPr>
              <w:jc w:val="right"/>
              <w:rPr>
                <w:lang w:eastAsia="en-GB"/>
              </w:rPr>
            </w:pPr>
            <w:r w:rsidRPr="00A52AEE">
              <w:rPr>
                <w:lang w:eastAsia="en-GB"/>
              </w:rPr>
              <w:t>7%</w:t>
            </w:r>
          </w:p>
        </w:tc>
        <w:tc>
          <w:tcPr>
            <w:tcW w:w="409" w:type="pct"/>
            <w:tcBorders>
              <w:top w:val="nil"/>
              <w:left w:val="nil"/>
              <w:bottom w:val="single" w:sz="4" w:space="0" w:color="auto"/>
              <w:right w:val="single" w:sz="4" w:space="0" w:color="auto"/>
            </w:tcBorders>
            <w:shd w:val="clear" w:color="auto" w:fill="auto"/>
            <w:noWrap/>
            <w:vAlign w:val="bottom"/>
            <w:hideMark/>
          </w:tcPr>
          <w:p w14:paraId="0E4ADA8D" w14:textId="77777777" w:rsidR="00EA0E77" w:rsidRPr="00A52AEE" w:rsidRDefault="00EA0E77" w:rsidP="009A2373">
            <w:pPr>
              <w:jc w:val="right"/>
              <w:rPr>
                <w:lang w:eastAsia="en-GB"/>
              </w:rPr>
            </w:pPr>
            <w:r w:rsidRPr="00A52AEE">
              <w:rPr>
                <w:lang w:eastAsia="en-GB"/>
              </w:rPr>
              <w:t>7%</w:t>
            </w:r>
          </w:p>
        </w:tc>
      </w:tr>
      <w:tr w:rsidR="00EA0E77" w:rsidRPr="00A52AEE" w14:paraId="13F86784"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02D555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62FDB9A" w14:textId="1994FEED"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7508531F"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5B69C498"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03A7F0A3"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5CC74287"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6350206A" w14:textId="77777777" w:rsidR="00EA0E77" w:rsidRPr="00A52AEE" w:rsidRDefault="00EA0E77" w:rsidP="009A2373">
            <w:pPr>
              <w:jc w:val="right"/>
              <w:rPr>
                <w:lang w:eastAsia="en-GB"/>
              </w:rPr>
            </w:pPr>
            <w:r w:rsidRPr="00A52AEE">
              <w:rPr>
                <w:lang w:eastAsia="en-GB"/>
              </w:rPr>
              <w:t>41%</w:t>
            </w:r>
          </w:p>
        </w:tc>
      </w:tr>
      <w:tr w:rsidR="00EA0E77" w:rsidRPr="00A52AEE" w14:paraId="1B2AB05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BA7E0B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2656576" w14:textId="3DA8272D"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76F23F8C" w14:textId="77777777" w:rsidR="00EA0E77" w:rsidRPr="00A52AEE" w:rsidRDefault="00EA0E77" w:rsidP="009A2373">
            <w:pPr>
              <w:jc w:val="right"/>
              <w:rPr>
                <w:lang w:eastAsia="en-GB"/>
              </w:rPr>
            </w:pPr>
            <w:r w:rsidRPr="00A52AEE">
              <w:rPr>
                <w:lang w:eastAsia="en-GB"/>
              </w:rPr>
              <w:t>46%</w:t>
            </w:r>
          </w:p>
        </w:tc>
        <w:tc>
          <w:tcPr>
            <w:tcW w:w="516" w:type="pct"/>
            <w:tcBorders>
              <w:top w:val="nil"/>
              <w:left w:val="nil"/>
              <w:bottom w:val="single" w:sz="4" w:space="0" w:color="auto"/>
              <w:right w:val="single" w:sz="4" w:space="0" w:color="auto"/>
            </w:tcBorders>
            <w:shd w:val="clear" w:color="auto" w:fill="auto"/>
            <w:noWrap/>
            <w:vAlign w:val="bottom"/>
            <w:hideMark/>
          </w:tcPr>
          <w:p w14:paraId="467CDC57" w14:textId="77777777" w:rsidR="00EA0E77" w:rsidRPr="00A52AEE" w:rsidRDefault="00EA0E77" w:rsidP="009A2373">
            <w:pPr>
              <w:jc w:val="right"/>
              <w:rPr>
                <w:lang w:eastAsia="en-GB"/>
              </w:rPr>
            </w:pPr>
            <w:r w:rsidRPr="00A52AEE">
              <w:rPr>
                <w:lang w:eastAsia="en-GB"/>
              </w:rPr>
              <w:t>46%</w:t>
            </w:r>
          </w:p>
        </w:tc>
        <w:tc>
          <w:tcPr>
            <w:tcW w:w="516" w:type="pct"/>
            <w:tcBorders>
              <w:top w:val="nil"/>
              <w:left w:val="nil"/>
              <w:bottom w:val="single" w:sz="4" w:space="0" w:color="auto"/>
              <w:right w:val="single" w:sz="4" w:space="0" w:color="auto"/>
            </w:tcBorders>
            <w:shd w:val="clear" w:color="auto" w:fill="auto"/>
            <w:noWrap/>
            <w:vAlign w:val="bottom"/>
            <w:hideMark/>
          </w:tcPr>
          <w:p w14:paraId="3F1DC076" w14:textId="77777777" w:rsidR="00EA0E77" w:rsidRPr="00A52AEE" w:rsidRDefault="00EA0E77" w:rsidP="009A2373">
            <w:pPr>
              <w:jc w:val="right"/>
              <w:rPr>
                <w:lang w:eastAsia="en-GB"/>
              </w:rPr>
            </w:pPr>
            <w:r w:rsidRPr="00A52AEE">
              <w:rPr>
                <w:lang w:eastAsia="en-GB"/>
              </w:rPr>
              <w:t>39%</w:t>
            </w:r>
          </w:p>
        </w:tc>
        <w:tc>
          <w:tcPr>
            <w:tcW w:w="516" w:type="pct"/>
            <w:tcBorders>
              <w:top w:val="nil"/>
              <w:left w:val="nil"/>
              <w:bottom w:val="single" w:sz="4" w:space="0" w:color="auto"/>
              <w:right w:val="single" w:sz="4" w:space="0" w:color="auto"/>
            </w:tcBorders>
            <w:shd w:val="clear" w:color="auto" w:fill="auto"/>
            <w:noWrap/>
            <w:vAlign w:val="bottom"/>
            <w:hideMark/>
          </w:tcPr>
          <w:p w14:paraId="736D33F3" w14:textId="77777777" w:rsidR="00EA0E77" w:rsidRPr="00A52AEE" w:rsidRDefault="00EA0E77" w:rsidP="009A2373">
            <w:pPr>
              <w:jc w:val="right"/>
              <w:rPr>
                <w:lang w:eastAsia="en-GB"/>
              </w:rPr>
            </w:pPr>
            <w:r w:rsidRPr="00A52AEE">
              <w:rPr>
                <w:lang w:eastAsia="en-GB"/>
              </w:rPr>
              <w:t>39%</w:t>
            </w:r>
          </w:p>
        </w:tc>
        <w:tc>
          <w:tcPr>
            <w:tcW w:w="516" w:type="pct"/>
            <w:tcBorders>
              <w:top w:val="nil"/>
              <w:left w:val="nil"/>
              <w:bottom w:val="single" w:sz="4" w:space="0" w:color="auto"/>
              <w:right w:val="single" w:sz="4" w:space="0" w:color="auto"/>
            </w:tcBorders>
            <w:shd w:val="clear" w:color="auto" w:fill="auto"/>
            <w:noWrap/>
            <w:vAlign w:val="bottom"/>
            <w:hideMark/>
          </w:tcPr>
          <w:p w14:paraId="3F6EDD40" w14:textId="77777777" w:rsidR="00EA0E77" w:rsidRPr="00A52AEE" w:rsidRDefault="00EA0E77" w:rsidP="009A2373">
            <w:pPr>
              <w:jc w:val="right"/>
              <w:rPr>
                <w:lang w:eastAsia="en-GB"/>
              </w:rPr>
            </w:pPr>
            <w:r w:rsidRPr="00A52AEE">
              <w:rPr>
                <w:lang w:eastAsia="en-GB"/>
              </w:rPr>
              <w:t>34%</w:t>
            </w:r>
          </w:p>
        </w:tc>
      </w:tr>
      <w:tr w:rsidR="00EA0E77" w:rsidRPr="00A52AEE" w14:paraId="635C5D3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FBC26D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02ADE27" w14:textId="1E74363A"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07991BB2"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17C81E83"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734734D6"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0DC2DB9C"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076FB416" w14:textId="77777777" w:rsidR="00EA0E77" w:rsidRPr="00A52AEE" w:rsidRDefault="00EA0E77" w:rsidP="009A2373">
            <w:pPr>
              <w:jc w:val="right"/>
              <w:rPr>
                <w:lang w:eastAsia="en-GB"/>
              </w:rPr>
            </w:pPr>
            <w:r w:rsidRPr="00A52AEE">
              <w:rPr>
                <w:lang w:eastAsia="en-GB"/>
              </w:rPr>
              <w:t>3%</w:t>
            </w:r>
          </w:p>
        </w:tc>
      </w:tr>
      <w:tr w:rsidR="00EA0E77" w:rsidRPr="00A52AEE" w14:paraId="15AC11AD"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9722EF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C81E92B" w14:textId="61BC86B5"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7EDAEC1C"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2FA0F80B"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4D5879DD"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5647F225" w14:textId="77777777" w:rsidR="00EA0E77" w:rsidRPr="00A52AEE" w:rsidRDefault="00EA0E77" w:rsidP="009A2373">
            <w:pPr>
              <w:jc w:val="right"/>
              <w:rPr>
                <w:lang w:eastAsia="en-GB"/>
              </w:rPr>
            </w:pPr>
            <w:r w:rsidRPr="00A52AEE">
              <w:rPr>
                <w:lang w:eastAsia="en-GB"/>
              </w:rPr>
              <w:t>6%</w:t>
            </w:r>
          </w:p>
        </w:tc>
        <w:tc>
          <w:tcPr>
            <w:tcW w:w="516" w:type="pct"/>
            <w:tcBorders>
              <w:top w:val="nil"/>
              <w:left w:val="nil"/>
              <w:bottom w:val="single" w:sz="4" w:space="0" w:color="auto"/>
              <w:right w:val="single" w:sz="4" w:space="0" w:color="auto"/>
            </w:tcBorders>
            <w:shd w:val="clear" w:color="auto" w:fill="auto"/>
            <w:noWrap/>
            <w:vAlign w:val="bottom"/>
            <w:hideMark/>
          </w:tcPr>
          <w:p w14:paraId="21214DA2" w14:textId="77777777" w:rsidR="00EA0E77" w:rsidRPr="00A52AEE" w:rsidRDefault="00EA0E77" w:rsidP="009A2373">
            <w:pPr>
              <w:jc w:val="right"/>
              <w:rPr>
                <w:lang w:eastAsia="en-GB"/>
              </w:rPr>
            </w:pPr>
            <w:r w:rsidRPr="00A52AEE">
              <w:rPr>
                <w:lang w:eastAsia="en-GB"/>
              </w:rPr>
              <w:t>2%</w:t>
            </w:r>
          </w:p>
        </w:tc>
      </w:tr>
      <w:tr w:rsidR="00EA0E77" w:rsidRPr="00A52AEE" w14:paraId="7A4CEF9C"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52EDAD0"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18D238B" w14:textId="5091C15C"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4E997E5C"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71917ACB"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7520A2BF"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001073E6"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123AF16F" w14:textId="77777777" w:rsidR="00EA0E77" w:rsidRPr="00A52AEE" w:rsidRDefault="00EA0E77" w:rsidP="009A2373">
            <w:pPr>
              <w:jc w:val="right"/>
              <w:rPr>
                <w:lang w:eastAsia="en-GB"/>
              </w:rPr>
            </w:pPr>
            <w:r w:rsidRPr="00A52AEE">
              <w:rPr>
                <w:lang w:eastAsia="en-GB"/>
              </w:rPr>
              <w:t>14%</w:t>
            </w:r>
          </w:p>
        </w:tc>
      </w:tr>
      <w:tr w:rsidR="00EA0E77" w:rsidRPr="00A52AEE" w14:paraId="3DE34D66"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74913BAF" w14:textId="77777777" w:rsidR="00EA0E77" w:rsidRPr="00A52AEE" w:rsidRDefault="00EA0E77" w:rsidP="00A52AEE">
            <w:pPr>
              <w:rPr>
                <w:lang w:eastAsia="en-GB"/>
              </w:rPr>
            </w:pPr>
            <w:r w:rsidRPr="00A52AEE">
              <w:rPr>
                <w:lang w:eastAsia="en-GB"/>
              </w:rPr>
              <w:t>Asian or Asian British –Indian</w:t>
            </w:r>
          </w:p>
        </w:tc>
        <w:tc>
          <w:tcPr>
            <w:tcW w:w="940" w:type="pct"/>
            <w:tcBorders>
              <w:top w:val="nil"/>
              <w:left w:val="nil"/>
              <w:bottom w:val="single" w:sz="4" w:space="0" w:color="auto"/>
              <w:right w:val="single" w:sz="4" w:space="0" w:color="auto"/>
            </w:tcBorders>
            <w:shd w:val="clear" w:color="auto" w:fill="auto"/>
            <w:noWrap/>
            <w:vAlign w:val="bottom"/>
            <w:hideMark/>
          </w:tcPr>
          <w:p w14:paraId="02AB94B3" w14:textId="46A6E7B5"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0B744EB4"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07FC014D"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69CA8A07"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1A1E1FCA"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10B654E3" w14:textId="77777777" w:rsidR="00EA0E77" w:rsidRPr="00A52AEE" w:rsidRDefault="00EA0E77" w:rsidP="009A2373">
            <w:pPr>
              <w:jc w:val="right"/>
              <w:rPr>
                <w:lang w:eastAsia="en-GB"/>
              </w:rPr>
            </w:pPr>
            <w:r w:rsidRPr="00A52AEE">
              <w:rPr>
                <w:lang w:eastAsia="en-GB"/>
              </w:rPr>
              <w:t>5%</w:t>
            </w:r>
          </w:p>
        </w:tc>
      </w:tr>
      <w:tr w:rsidR="00EA0E77" w:rsidRPr="00A52AEE" w14:paraId="4D7DCD67"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41D201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C64EA9E" w14:textId="72EA9BBE"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4689AE8D"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2AFA3A81"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5CA33430"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7C1600A8" w14:textId="77777777" w:rsidR="00EA0E77" w:rsidRPr="00A52AEE" w:rsidRDefault="00EA0E77" w:rsidP="009A2373">
            <w:pPr>
              <w:jc w:val="right"/>
              <w:rPr>
                <w:lang w:eastAsia="en-GB"/>
              </w:rPr>
            </w:pPr>
            <w:r w:rsidRPr="00A52AEE">
              <w:rPr>
                <w:lang w:eastAsia="en-GB"/>
              </w:rPr>
              <w:t>37%</w:t>
            </w:r>
          </w:p>
        </w:tc>
        <w:tc>
          <w:tcPr>
            <w:tcW w:w="516" w:type="pct"/>
            <w:tcBorders>
              <w:top w:val="nil"/>
              <w:left w:val="nil"/>
              <w:bottom w:val="single" w:sz="4" w:space="0" w:color="auto"/>
              <w:right w:val="single" w:sz="4" w:space="0" w:color="auto"/>
            </w:tcBorders>
            <w:shd w:val="clear" w:color="auto" w:fill="auto"/>
            <w:noWrap/>
            <w:vAlign w:val="bottom"/>
            <w:hideMark/>
          </w:tcPr>
          <w:p w14:paraId="73242A75" w14:textId="77777777" w:rsidR="00EA0E77" w:rsidRPr="00A52AEE" w:rsidRDefault="00EA0E77" w:rsidP="009A2373">
            <w:pPr>
              <w:jc w:val="right"/>
              <w:rPr>
                <w:lang w:eastAsia="en-GB"/>
              </w:rPr>
            </w:pPr>
            <w:r w:rsidRPr="00A52AEE">
              <w:rPr>
                <w:lang w:eastAsia="en-GB"/>
              </w:rPr>
              <w:t>43%</w:t>
            </w:r>
          </w:p>
        </w:tc>
      </w:tr>
      <w:tr w:rsidR="00EA0E77" w:rsidRPr="00A52AEE" w14:paraId="7A097BB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E3DCED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43519EC" w14:textId="34A82BDA"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14304A7A" w14:textId="77777777" w:rsidR="00EA0E77" w:rsidRPr="00A52AEE" w:rsidRDefault="00EA0E77" w:rsidP="009A2373">
            <w:pPr>
              <w:jc w:val="right"/>
              <w:rPr>
                <w:lang w:eastAsia="en-GB"/>
              </w:rPr>
            </w:pPr>
            <w:r w:rsidRPr="00A52AEE">
              <w:rPr>
                <w:lang w:eastAsia="en-GB"/>
              </w:rPr>
              <w:t>42%</w:t>
            </w:r>
          </w:p>
        </w:tc>
        <w:tc>
          <w:tcPr>
            <w:tcW w:w="516" w:type="pct"/>
            <w:tcBorders>
              <w:top w:val="nil"/>
              <w:left w:val="nil"/>
              <w:bottom w:val="single" w:sz="4" w:space="0" w:color="auto"/>
              <w:right w:val="single" w:sz="4" w:space="0" w:color="auto"/>
            </w:tcBorders>
            <w:shd w:val="clear" w:color="auto" w:fill="auto"/>
            <w:noWrap/>
            <w:vAlign w:val="bottom"/>
            <w:hideMark/>
          </w:tcPr>
          <w:p w14:paraId="1BA5F8B3" w14:textId="77777777" w:rsidR="00EA0E77" w:rsidRPr="00A52AEE" w:rsidRDefault="00EA0E77" w:rsidP="009A2373">
            <w:pPr>
              <w:jc w:val="right"/>
              <w:rPr>
                <w:lang w:eastAsia="en-GB"/>
              </w:rPr>
            </w:pPr>
            <w:r w:rsidRPr="00A52AEE">
              <w:rPr>
                <w:lang w:eastAsia="en-GB"/>
              </w:rPr>
              <w:t>34%</w:t>
            </w:r>
          </w:p>
        </w:tc>
        <w:tc>
          <w:tcPr>
            <w:tcW w:w="516" w:type="pct"/>
            <w:tcBorders>
              <w:top w:val="nil"/>
              <w:left w:val="nil"/>
              <w:bottom w:val="single" w:sz="4" w:space="0" w:color="auto"/>
              <w:right w:val="single" w:sz="4" w:space="0" w:color="auto"/>
            </w:tcBorders>
            <w:shd w:val="clear" w:color="auto" w:fill="auto"/>
            <w:noWrap/>
            <w:vAlign w:val="bottom"/>
            <w:hideMark/>
          </w:tcPr>
          <w:p w14:paraId="49429E5A" w14:textId="77777777" w:rsidR="00EA0E77" w:rsidRPr="00A52AEE" w:rsidRDefault="00EA0E77" w:rsidP="009A2373">
            <w:pPr>
              <w:jc w:val="right"/>
              <w:rPr>
                <w:lang w:eastAsia="en-GB"/>
              </w:rPr>
            </w:pPr>
            <w:r w:rsidRPr="00A52AEE">
              <w:rPr>
                <w:lang w:eastAsia="en-GB"/>
              </w:rPr>
              <w:t>32%</w:t>
            </w:r>
          </w:p>
        </w:tc>
        <w:tc>
          <w:tcPr>
            <w:tcW w:w="516" w:type="pct"/>
            <w:tcBorders>
              <w:top w:val="nil"/>
              <w:left w:val="nil"/>
              <w:bottom w:val="single" w:sz="4" w:space="0" w:color="auto"/>
              <w:right w:val="single" w:sz="4" w:space="0" w:color="auto"/>
            </w:tcBorders>
            <w:shd w:val="clear" w:color="auto" w:fill="auto"/>
            <w:noWrap/>
            <w:vAlign w:val="bottom"/>
            <w:hideMark/>
          </w:tcPr>
          <w:p w14:paraId="1BC1CCCC"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74DA6960" w14:textId="77777777" w:rsidR="00EA0E77" w:rsidRPr="00A52AEE" w:rsidRDefault="00EA0E77" w:rsidP="009A2373">
            <w:pPr>
              <w:jc w:val="right"/>
              <w:rPr>
                <w:lang w:eastAsia="en-GB"/>
              </w:rPr>
            </w:pPr>
            <w:r w:rsidRPr="00A52AEE">
              <w:rPr>
                <w:lang w:eastAsia="en-GB"/>
              </w:rPr>
              <w:t>28%</w:t>
            </w:r>
          </w:p>
        </w:tc>
      </w:tr>
      <w:tr w:rsidR="00EA0E77" w:rsidRPr="00A52AEE" w14:paraId="546E8690"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8DBEE6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856A870" w14:textId="1DAD889A"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7F88862F"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390AD70"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505A7EF9"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AC5F5C4"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57723BD7" w14:textId="77777777" w:rsidR="00EA0E77" w:rsidRPr="00A52AEE" w:rsidRDefault="00EA0E77" w:rsidP="009A2373">
            <w:pPr>
              <w:jc w:val="right"/>
              <w:rPr>
                <w:lang w:eastAsia="en-GB"/>
              </w:rPr>
            </w:pPr>
            <w:r w:rsidRPr="00A52AEE">
              <w:rPr>
                <w:lang w:eastAsia="en-GB"/>
              </w:rPr>
              <w:t>2%</w:t>
            </w:r>
          </w:p>
        </w:tc>
      </w:tr>
      <w:tr w:rsidR="00EA0E77" w:rsidRPr="00A52AEE" w14:paraId="105316B3"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F2D2BE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2F97AAE" w14:textId="387BAAD1"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67E44F88"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3CCC0B05"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7ACF86E5"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0676F55B"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1CAF68C5" w14:textId="77777777" w:rsidR="00EA0E77" w:rsidRPr="00A52AEE" w:rsidRDefault="00EA0E77" w:rsidP="009A2373">
            <w:pPr>
              <w:jc w:val="right"/>
              <w:rPr>
                <w:lang w:eastAsia="en-GB"/>
              </w:rPr>
            </w:pPr>
            <w:r w:rsidRPr="00A52AEE">
              <w:rPr>
                <w:lang w:eastAsia="en-GB"/>
              </w:rPr>
              <w:t>4%</w:t>
            </w:r>
          </w:p>
        </w:tc>
      </w:tr>
      <w:tr w:rsidR="00EA0E77" w:rsidRPr="00A52AEE" w14:paraId="6DD21FFD"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E9A8F4B"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A7807E9" w14:textId="05AAD8F0"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19D4636B"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03F6B752"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2AE38827"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75EAFEF4"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5343DF16" w14:textId="77777777" w:rsidR="00EA0E77" w:rsidRPr="00A52AEE" w:rsidRDefault="00EA0E77" w:rsidP="009A2373">
            <w:pPr>
              <w:jc w:val="right"/>
              <w:rPr>
                <w:lang w:eastAsia="en-GB"/>
              </w:rPr>
            </w:pPr>
            <w:r w:rsidRPr="00A52AEE">
              <w:rPr>
                <w:lang w:eastAsia="en-GB"/>
              </w:rPr>
              <w:t>19%</w:t>
            </w:r>
          </w:p>
        </w:tc>
      </w:tr>
      <w:tr w:rsidR="00EA0E77" w:rsidRPr="00A52AEE" w14:paraId="13E53E3E"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31221450" w14:textId="77777777" w:rsidR="00EA0E77" w:rsidRPr="00A52AEE" w:rsidRDefault="00EA0E77" w:rsidP="00A52AEE">
            <w:pPr>
              <w:rPr>
                <w:lang w:eastAsia="en-GB"/>
              </w:rPr>
            </w:pPr>
            <w:r w:rsidRPr="00A52AEE">
              <w:rPr>
                <w:lang w:eastAsia="en-GB"/>
              </w:rPr>
              <w:t>Asian or Asian British –Pakistani</w:t>
            </w:r>
          </w:p>
        </w:tc>
        <w:tc>
          <w:tcPr>
            <w:tcW w:w="940" w:type="pct"/>
            <w:tcBorders>
              <w:top w:val="nil"/>
              <w:left w:val="nil"/>
              <w:bottom w:val="single" w:sz="4" w:space="0" w:color="auto"/>
              <w:right w:val="single" w:sz="4" w:space="0" w:color="auto"/>
            </w:tcBorders>
            <w:shd w:val="clear" w:color="auto" w:fill="auto"/>
            <w:noWrap/>
            <w:vAlign w:val="bottom"/>
            <w:hideMark/>
          </w:tcPr>
          <w:p w14:paraId="03720E05" w14:textId="7132EADC"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499077D5"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4652120D" w14:textId="77777777" w:rsidR="00EA0E77" w:rsidRPr="00A52AEE" w:rsidRDefault="00EA0E77" w:rsidP="009A2373">
            <w:pPr>
              <w:jc w:val="right"/>
              <w:rPr>
                <w:lang w:eastAsia="en-GB"/>
              </w:rPr>
            </w:pPr>
            <w:r w:rsidRPr="00A52AEE">
              <w:rPr>
                <w:lang w:eastAsia="en-GB"/>
              </w:rPr>
              <w:t>7%</w:t>
            </w:r>
          </w:p>
        </w:tc>
        <w:tc>
          <w:tcPr>
            <w:tcW w:w="516" w:type="pct"/>
            <w:tcBorders>
              <w:top w:val="nil"/>
              <w:left w:val="nil"/>
              <w:bottom w:val="single" w:sz="4" w:space="0" w:color="auto"/>
              <w:right w:val="single" w:sz="4" w:space="0" w:color="auto"/>
            </w:tcBorders>
            <w:shd w:val="clear" w:color="auto" w:fill="auto"/>
            <w:noWrap/>
            <w:vAlign w:val="bottom"/>
            <w:hideMark/>
          </w:tcPr>
          <w:p w14:paraId="558B573C" w14:textId="77777777" w:rsidR="00EA0E77" w:rsidRPr="00A52AEE" w:rsidRDefault="00EA0E77" w:rsidP="009A2373">
            <w:pPr>
              <w:jc w:val="right"/>
              <w:rPr>
                <w:lang w:eastAsia="en-GB"/>
              </w:rPr>
            </w:pPr>
            <w:r w:rsidRPr="00A52AEE">
              <w:rPr>
                <w:lang w:eastAsia="en-GB"/>
              </w:rPr>
              <w:t>7%</w:t>
            </w:r>
          </w:p>
        </w:tc>
        <w:tc>
          <w:tcPr>
            <w:tcW w:w="516" w:type="pct"/>
            <w:tcBorders>
              <w:top w:val="nil"/>
              <w:left w:val="nil"/>
              <w:bottom w:val="single" w:sz="4" w:space="0" w:color="auto"/>
              <w:right w:val="single" w:sz="4" w:space="0" w:color="auto"/>
            </w:tcBorders>
            <w:shd w:val="clear" w:color="auto" w:fill="auto"/>
            <w:noWrap/>
            <w:vAlign w:val="bottom"/>
            <w:hideMark/>
          </w:tcPr>
          <w:p w14:paraId="5D9E82D2" w14:textId="77777777" w:rsidR="00EA0E77" w:rsidRPr="00A52AEE" w:rsidRDefault="00EA0E77" w:rsidP="009A2373">
            <w:pPr>
              <w:jc w:val="right"/>
              <w:rPr>
                <w:lang w:eastAsia="en-GB"/>
              </w:rPr>
            </w:pPr>
            <w:r w:rsidRPr="00A52AEE">
              <w:rPr>
                <w:lang w:eastAsia="en-GB"/>
              </w:rPr>
              <w:t>7%</w:t>
            </w:r>
          </w:p>
        </w:tc>
        <w:tc>
          <w:tcPr>
            <w:tcW w:w="516" w:type="pct"/>
            <w:tcBorders>
              <w:top w:val="nil"/>
              <w:left w:val="nil"/>
              <w:bottom w:val="single" w:sz="4" w:space="0" w:color="auto"/>
              <w:right w:val="single" w:sz="4" w:space="0" w:color="auto"/>
            </w:tcBorders>
            <w:shd w:val="clear" w:color="auto" w:fill="auto"/>
            <w:noWrap/>
            <w:vAlign w:val="bottom"/>
            <w:hideMark/>
          </w:tcPr>
          <w:p w14:paraId="250D8CF4" w14:textId="77777777" w:rsidR="00EA0E77" w:rsidRPr="00A52AEE" w:rsidRDefault="00EA0E77" w:rsidP="009A2373">
            <w:pPr>
              <w:jc w:val="right"/>
              <w:rPr>
                <w:lang w:eastAsia="en-GB"/>
              </w:rPr>
            </w:pPr>
            <w:r w:rsidRPr="00A52AEE">
              <w:rPr>
                <w:lang w:eastAsia="en-GB"/>
              </w:rPr>
              <w:t>7%</w:t>
            </w:r>
          </w:p>
        </w:tc>
      </w:tr>
      <w:tr w:rsidR="00EA0E77" w:rsidRPr="00A52AEE" w14:paraId="528C220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C917C94"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4653279" w14:textId="5870907A"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494E3DB3"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59A1CB86"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2F09C92B"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25774945" w14:textId="77777777" w:rsidR="00EA0E77" w:rsidRPr="00A52AEE" w:rsidRDefault="00EA0E77" w:rsidP="009A2373">
            <w:pPr>
              <w:jc w:val="right"/>
              <w:rPr>
                <w:lang w:eastAsia="en-GB"/>
              </w:rPr>
            </w:pPr>
            <w:r w:rsidRPr="00A52AEE">
              <w:rPr>
                <w:lang w:eastAsia="en-GB"/>
              </w:rPr>
              <w:t>41%</w:t>
            </w:r>
          </w:p>
        </w:tc>
        <w:tc>
          <w:tcPr>
            <w:tcW w:w="516" w:type="pct"/>
            <w:tcBorders>
              <w:top w:val="nil"/>
              <w:left w:val="nil"/>
              <w:bottom w:val="single" w:sz="4" w:space="0" w:color="auto"/>
              <w:right w:val="single" w:sz="4" w:space="0" w:color="auto"/>
            </w:tcBorders>
            <w:shd w:val="clear" w:color="auto" w:fill="auto"/>
            <w:noWrap/>
            <w:vAlign w:val="bottom"/>
            <w:hideMark/>
          </w:tcPr>
          <w:p w14:paraId="6C429CF4" w14:textId="77777777" w:rsidR="00EA0E77" w:rsidRPr="00A52AEE" w:rsidRDefault="00EA0E77" w:rsidP="009A2373">
            <w:pPr>
              <w:jc w:val="right"/>
              <w:rPr>
                <w:lang w:eastAsia="en-GB"/>
              </w:rPr>
            </w:pPr>
            <w:r w:rsidRPr="00A52AEE">
              <w:rPr>
                <w:lang w:eastAsia="en-GB"/>
              </w:rPr>
              <w:t>48%</w:t>
            </w:r>
          </w:p>
        </w:tc>
      </w:tr>
      <w:tr w:rsidR="00EA0E77" w:rsidRPr="00A52AEE" w14:paraId="2218037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501EA8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58E957C" w14:textId="12F95436"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1A096D1F" w14:textId="77777777" w:rsidR="00EA0E77" w:rsidRPr="00A52AEE" w:rsidRDefault="00EA0E77" w:rsidP="009A2373">
            <w:pPr>
              <w:jc w:val="right"/>
              <w:rPr>
                <w:lang w:eastAsia="en-GB"/>
              </w:rPr>
            </w:pPr>
            <w:r w:rsidRPr="00A52AEE">
              <w:rPr>
                <w:lang w:eastAsia="en-GB"/>
              </w:rPr>
              <w:t>40%</w:t>
            </w:r>
          </w:p>
        </w:tc>
        <w:tc>
          <w:tcPr>
            <w:tcW w:w="516" w:type="pct"/>
            <w:tcBorders>
              <w:top w:val="nil"/>
              <w:left w:val="nil"/>
              <w:bottom w:val="single" w:sz="4" w:space="0" w:color="auto"/>
              <w:right w:val="single" w:sz="4" w:space="0" w:color="auto"/>
            </w:tcBorders>
            <w:shd w:val="clear" w:color="auto" w:fill="auto"/>
            <w:noWrap/>
            <w:vAlign w:val="bottom"/>
            <w:hideMark/>
          </w:tcPr>
          <w:p w14:paraId="76AC0524" w14:textId="77777777" w:rsidR="00EA0E77" w:rsidRPr="00A52AEE" w:rsidRDefault="00EA0E77" w:rsidP="009A2373">
            <w:pPr>
              <w:jc w:val="right"/>
              <w:rPr>
                <w:lang w:eastAsia="en-GB"/>
              </w:rPr>
            </w:pPr>
            <w:r w:rsidRPr="00A52AEE">
              <w:rPr>
                <w:lang w:eastAsia="en-GB"/>
              </w:rPr>
              <w:t>36%</w:t>
            </w:r>
          </w:p>
        </w:tc>
        <w:tc>
          <w:tcPr>
            <w:tcW w:w="516" w:type="pct"/>
            <w:tcBorders>
              <w:top w:val="nil"/>
              <w:left w:val="nil"/>
              <w:bottom w:val="single" w:sz="4" w:space="0" w:color="auto"/>
              <w:right w:val="single" w:sz="4" w:space="0" w:color="auto"/>
            </w:tcBorders>
            <w:shd w:val="clear" w:color="auto" w:fill="auto"/>
            <w:noWrap/>
            <w:vAlign w:val="bottom"/>
            <w:hideMark/>
          </w:tcPr>
          <w:p w14:paraId="404E2FD6"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128E0507" w14:textId="77777777" w:rsidR="00EA0E77" w:rsidRPr="00A52AEE" w:rsidRDefault="00EA0E77" w:rsidP="009A2373">
            <w:pPr>
              <w:jc w:val="right"/>
              <w:rPr>
                <w:lang w:eastAsia="en-GB"/>
              </w:rPr>
            </w:pPr>
            <w:r w:rsidRPr="00A52AEE">
              <w:rPr>
                <w:lang w:eastAsia="en-GB"/>
              </w:rPr>
              <w:t>34%</w:t>
            </w:r>
          </w:p>
        </w:tc>
        <w:tc>
          <w:tcPr>
            <w:tcW w:w="516" w:type="pct"/>
            <w:tcBorders>
              <w:top w:val="nil"/>
              <w:left w:val="nil"/>
              <w:bottom w:val="single" w:sz="4" w:space="0" w:color="auto"/>
              <w:right w:val="single" w:sz="4" w:space="0" w:color="auto"/>
            </w:tcBorders>
            <w:shd w:val="clear" w:color="auto" w:fill="auto"/>
            <w:noWrap/>
            <w:vAlign w:val="bottom"/>
            <w:hideMark/>
          </w:tcPr>
          <w:p w14:paraId="6D63A0AD" w14:textId="77777777" w:rsidR="00EA0E77" w:rsidRPr="00A52AEE" w:rsidRDefault="00EA0E77" w:rsidP="009A2373">
            <w:pPr>
              <w:jc w:val="right"/>
              <w:rPr>
                <w:lang w:eastAsia="en-GB"/>
              </w:rPr>
            </w:pPr>
            <w:r w:rsidRPr="00A52AEE">
              <w:rPr>
                <w:lang w:eastAsia="en-GB"/>
              </w:rPr>
              <w:t>27%</w:t>
            </w:r>
          </w:p>
        </w:tc>
      </w:tr>
      <w:tr w:rsidR="00EA0E77" w:rsidRPr="00A52AEE" w14:paraId="634FB879"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E498E0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6DA52F3" w14:textId="2D6464D5"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70ACF4CA"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3637D249"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168AF963"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6C8E0DA6"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20AE8C79" w14:textId="77777777" w:rsidR="00EA0E77" w:rsidRPr="00A52AEE" w:rsidRDefault="00EA0E77" w:rsidP="009A2373">
            <w:pPr>
              <w:jc w:val="right"/>
              <w:rPr>
                <w:lang w:eastAsia="en-GB"/>
              </w:rPr>
            </w:pPr>
            <w:r w:rsidRPr="00A52AEE">
              <w:rPr>
                <w:lang w:eastAsia="en-GB"/>
              </w:rPr>
              <w:t>2%</w:t>
            </w:r>
          </w:p>
        </w:tc>
      </w:tr>
      <w:tr w:rsidR="00EA0E77" w:rsidRPr="00A52AEE" w14:paraId="354BA06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464F4D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011B1C0" w14:textId="6370CD13"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31DCDDD4"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0136E802"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326F4DF9"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730F1A9A"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257C86C9" w14:textId="77777777" w:rsidR="00EA0E77" w:rsidRPr="00A52AEE" w:rsidRDefault="00EA0E77" w:rsidP="009A2373">
            <w:pPr>
              <w:jc w:val="right"/>
              <w:rPr>
                <w:lang w:eastAsia="en-GB"/>
              </w:rPr>
            </w:pPr>
            <w:r w:rsidRPr="00A52AEE">
              <w:rPr>
                <w:lang w:eastAsia="en-GB"/>
              </w:rPr>
              <w:t>2%</w:t>
            </w:r>
          </w:p>
        </w:tc>
      </w:tr>
      <w:tr w:rsidR="00EA0E77" w:rsidRPr="00A52AEE" w14:paraId="3EAF225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155E2B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6E76903" w14:textId="15AB21BD"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36B46C76"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42B1B293"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361C84B9"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7F1C8671"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045EAA12" w14:textId="77777777" w:rsidR="00EA0E77" w:rsidRPr="00A52AEE" w:rsidRDefault="00EA0E77" w:rsidP="009A2373">
            <w:pPr>
              <w:jc w:val="right"/>
              <w:rPr>
                <w:lang w:eastAsia="en-GB"/>
              </w:rPr>
            </w:pPr>
            <w:r w:rsidRPr="00A52AEE">
              <w:rPr>
                <w:lang w:eastAsia="en-GB"/>
              </w:rPr>
              <w:t>15%</w:t>
            </w:r>
          </w:p>
        </w:tc>
      </w:tr>
      <w:tr w:rsidR="00EA0E77" w:rsidRPr="00A52AEE" w14:paraId="4DC6164E"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31A5F76B" w14:textId="77777777" w:rsidR="004D3FD1" w:rsidRDefault="004D3FD1" w:rsidP="00A52AEE">
            <w:pPr>
              <w:rPr>
                <w:lang w:eastAsia="en-GB"/>
              </w:rPr>
            </w:pPr>
          </w:p>
          <w:p w14:paraId="5FC47CF4" w14:textId="63697158" w:rsidR="00A63CC4" w:rsidRPr="00A52AEE" w:rsidRDefault="00EA0E77" w:rsidP="00A52AEE">
            <w:pPr>
              <w:rPr>
                <w:lang w:eastAsia="en-GB"/>
              </w:rPr>
            </w:pPr>
            <w:r w:rsidRPr="00A52AEE">
              <w:rPr>
                <w:lang w:eastAsia="en-GB"/>
              </w:rPr>
              <w:t>Black or Black British - any other Black background</w:t>
            </w:r>
          </w:p>
        </w:tc>
        <w:tc>
          <w:tcPr>
            <w:tcW w:w="940" w:type="pct"/>
            <w:tcBorders>
              <w:top w:val="nil"/>
              <w:left w:val="nil"/>
              <w:bottom w:val="single" w:sz="4" w:space="0" w:color="auto"/>
              <w:right w:val="single" w:sz="4" w:space="0" w:color="auto"/>
            </w:tcBorders>
            <w:shd w:val="clear" w:color="auto" w:fill="auto"/>
            <w:noWrap/>
            <w:vAlign w:val="bottom"/>
            <w:hideMark/>
          </w:tcPr>
          <w:p w14:paraId="0FFA7C54" w14:textId="086C34D7"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17805445"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312DA5EC"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3F4313D2"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0B5C24E7"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69005B93" w14:textId="77777777" w:rsidR="00EA0E77" w:rsidRPr="00A52AEE" w:rsidRDefault="00EA0E77" w:rsidP="009A2373">
            <w:pPr>
              <w:jc w:val="right"/>
              <w:rPr>
                <w:lang w:eastAsia="en-GB"/>
              </w:rPr>
            </w:pPr>
            <w:r w:rsidRPr="00A52AEE">
              <w:rPr>
                <w:lang w:eastAsia="en-GB"/>
              </w:rPr>
              <w:t>17%</w:t>
            </w:r>
          </w:p>
        </w:tc>
      </w:tr>
      <w:tr w:rsidR="00EA0E77" w:rsidRPr="00A52AEE" w14:paraId="3D733CA8"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3528A7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0981402" w14:textId="719B0E31"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754483D0" w14:textId="77777777" w:rsidR="00EA0E77" w:rsidRPr="00A52AEE" w:rsidRDefault="00EA0E77" w:rsidP="009A2373">
            <w:pPr>
              <w:jc w:val="right"/>
              <w:rPr>
                <w:lang w:eastAsia="en-GB"/>
              </w:rPr>
            </w:pPr>
            <w:r w:rsidRPr="00A52AEE">
              <w:rPr>
                <w:lang w:eastAsia="en-GB"/>
              </w:rPr>
              <w:t>27%</w:t>
            </w:r>
          </w:p>
        </w:tc>
        <w:tc>
          <w:tcPr>
            <w:tcW w:w="516" w:type="pct"/>
            <w:tcBorders>
              <w:top w:val="nil"/>
              <w:left w:val="nil"/>
              <w:bottom w:val="single" w:sz="4" w:space="0" w:color="auto"/>
              <w:right w:val="single" w:sz="4" w:space="0" w:color="auto"/>
            </w:tcBorders>
            <w:shd w:val="clear" w:color="auto" w:fill="auto"/>
            <w:noWrap/>
            <w:vAlign w:val="bottom"/>
            <w:hideMark/>
          </w:tcPr>
          <w:p w14:paraId="6081C2C3"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6D19AAF3"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0CC00CA3" w14:textId="77777777" w:rsidR="00EA0E77" w:rsidRPr="00A52AEE" w:rsidRDefault="00EA0E77" w:rsidP="009A2373">
            <w:pPr>
              <w:jc w:val="right"/>
              <w:rPr>
                <w:lang w:eastAsia="en-GB"/>
              </w:rPr>
            </w:pPr>
            <w:r w:rsidRPr="00A52AEE">
              <w:rPr>
                <w:lang w:eastAsia="en-GB"/>
              </w:rPr>
              <w:t>38%</w:t>
            </w:r>
          </w:p>
        </w:tc>
        <w:tc>
          <w:tcPr>
            <w:tcW w:w="516" w:type="pct"/>
            <w:tcBorders>
              <w:top w:val="nil"/>
              <w:left w:val="nil"/>
              <w:bottom w:val="single" w:sz="4" w:space="0" w:color="auto"/>
              <w:right w:val="single" w:sz="4" w:space="0" w:color="auto"/>
            </w:tcBorders>
            <w:shd w:val="clear" w:color="auto" w:fill="auto"/>
            <w:noWrap/>
            <w:vAlign w:val="bottom"/>
            <w:hideMark/>
          </w:tcPr>
          <w:p w14:paraId="3EB19378" w14:textId="77777777" w:rsidR="00EA0E77" w:rsidRPr="00A52AEE" w:rsidRDefault="00EA0E77" w:rsidP="009A2373">
            <w:pPr>
              <w:jc w:val="right"/>
              <w:rPr>
                <w:lang w:eastAsia="en-GB"/>
              </w:rPr>
            </w:pPr>
            <w:r w:rsidRPr="00A52AEE">
              <w:rPr>
                <w:lang w:eastAsia="en-GB"/>
              </w:rPr>
              <w:t>41%</w:t>
            </w:r>
          </w:p>
        </w:tc>
      </w:tr>
      <w:tr w:rsidR="00EA0E77" w:rsidRPr="00A52AEE" w14:paraId="0B2F1FA1"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8EADF9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59130B3" w14:textId="159D6237"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1E061261"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69FBD46C"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7D11347B"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8175F8D"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53B96A48" w14:textId="77777777" w:rsidR="00EA0E77" w:rsidRPr="00A52AEE" w:rsidRDefault="00EA0E77" w:rsidP="009A2373">
            <w:pPr>
              <w:jc w:val="right"/>
              <w:rPr>
                <w:lang w:eastAsia="en-GB"/>
              </w:rPr>
            </w:pPr>
            <w:r w:rsidRPr="00A52AEE">
              <w:rPr>
                <w:lang w:eastAsia="en-GB"/>
              </w:rPr>
              <w:t>14%</w:t>
            </w:r>
          </w:p>
        </w:tc>
      </w:tr>
      <w:tr w:rsidR="00EA0E77" w:rsidRPr="00A52AEE" w14:paraId="3E8F84F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9DD244E"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3C67C62" w14:textId="7C969283"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109E9059"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2E146A85"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0472F08"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25E42105"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BD391DC" w14:textId="77777777" w:rsidR="00EA0E77" w:rsidRPr="00A52AEE" w:rsidRDefault="00EA0E77" w:rsidP="009A2373">
            <w:pPr>
              <w:jc w:val="right"/>
              <w:rPr>
                <w:lang w:eastAsia="en-GB"/>
              </w:rPr>
            </w:pPr>
            <w:r w:rsidRPr="00A52AEE">
              <w:rPr>
                <w:lang w:eastAsia="en-GB"/>
              </w:rPr>
              <w:t>2%</w:t>
            </w:r>
          </w:p>
        </w:tc>
      </w:tr>
      <w:tr w:rsidR="00EA0E77" w:rsidRPr="00A52AEE" w14:paraId="6E278647"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2ED65C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8665FE8" w14:textId="56656AB1"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5A7A0E3D"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17811487"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4DFD34C4"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05DE261D"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3668D105" w14:textId="77777777" w:rsidR="00EA0E77" w:rsidRPr="00A52AEE" w:rsidRDefault="00EA0E77" w:rsidP="009A2373">
            <w:pPr>
              <w:jc w:val="right"/>
              <w:rPr>
                <w:lang w:eastAsia="en-GB"/>
              </w:rPr>
            </w:pPr>
            <w:r w:rsidRPr="00A52AEE">
              <w:rPr>
                <w:lang w:eastAsia="en-GB"/>
              </w:rPr>
              <w:t>3%</w:t>
            </w:r>
          </w:p>
        </w:tc>
      </w:tr>
      <w:tr w:rsidR="00EA0E77" w:rsidRPr="00A52AEE" w14:paraId="0096BA29"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D574D59"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93F3D68" w14:textId="1C514771"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2A236BD1"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2BEBEAC6"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149A6A1A"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02E51575"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2974CAD9" w14:textId="77777777" w:rsidR="00EA0E77" w:rsidRPr="00A52AEE" w:rsidRDefault="00EA0E77" w:rsidP="009A2373">
            <w:pPr>
              <w:jc w:val="right"/>
              <w:rPr>
                <w:lang w:eastAsia="en-GB"/>
              </w:rPr>
            </w:pPr>
            <w:r w:rsidRPr="00A52AEE">
              <w:rPr>
                <w:lang w:eastAsia="en-GB"/>
              </w:rPr>
              <w:t>22%</w:t>
            </w:r>
          </w:p>
        </w:tc>
      </w:tr>
      <w:tr w:rsidR="00EA0E77" w:rsidRPr="00A52AEE" w14:paraId="71720A07"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31705A69" w14:textId="77777777" w:rsidR="00EA0E77" w:rsidRPr="00A52AEE" w:rsidRDefault="00EA0E77" w:rsidP="00A52AEE">
            <w:pPr>
              <w:rPr>
                <w:lang w:eastAsia="en-GB"/>
              </w:rPr>
            </w:pPr>
            <w:r w:rsidRPr="00A52AEE">
              <w:rPr>
                <w:lang w:eastAsia="en-GB"/>
              </w:rPr>
              <w:t>Black or Black British –African</w:t>
            </w:r>
          </w:p>
        </w:tc>
        <w:tc>
          <w:tcPr>
            <w:tcW w:w="940" w:type="pct"/>
            <w:tcBorders>
              <w:top w:val="nil"/>
              <w:left w:val="nil"/>
              <w:bottom w:val="single" w:sz="4" w:space="0" w:color="auto"/>
              <w:right w:val="single" w:sz="4" w:space="0" w:color="auto"/>
            </w:tcBorders>
            <w:shd w:val="clear" w:color="auto" w:fill="auto"/>
            <w:noWrap/>
            <w:vAlign w:val="bottom"/>
            <w:hideMark/>
          </w:tcPr>
          <w:p w14:paraId="3E494BBB" w14:textId="12A254E8"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1CEB2542"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04010862"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36AB3BF1"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62276A0F"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1D1CB5AA" w14:textId="77777777" w:rsidR="00EA0E77" w:rsidRPr="00A52AEE" w:rsidRDefault="00EA0E77" w:rsidP="009A2373">
            <w:pPr>
              <w:jc w:val="right"/>
              <w:rPr>
                <w:lang w:eastAsia="en-GB"/>
              </w:rPr>
            </w:pPr>
            <w:r w:rsidRPr="00A52AEE">
              <w:rPr>
                <w:lang w:eastAsia="en-GB"/>
              </w:rPr>
              <w:t>18%</w:t>
            </w:r>
          </w:p>
        </w:tc>
      </w:tr>
      <w:tr w:rsidR="00EA0E77" w:rsidRPr="00A52AEE" w14:paraId="06B6FBB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EF7B57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FFA5B7F" w14:textId="2CAC9199"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0294DDE0"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24107979"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2710D90C"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4C6373C8" w14:textId="77777777" w:rsidR="00EA0E77" w:rsidRPr="00A52AEE" w:rsidRDefault="00EA0E77" w:rsidP="009A2373">
            <w:pPr>
              <w:jc w:val="right"/>
              <w:rPr>
                <w:lang w:eastAsia="en-GB"/>
              </w:rPr>
            </w:pPr>
            <w:r w:rsidRPr="00A52AEE">
              <w:rPr>
                <w:lang w:eastAsia="en-GB"/>
              </w:rPr>
              <w:t>35%</w:t>
            </w:r>
          </w:p>
        </w:tc>
        <w:tc>
          <w:tcPr>
            <w:tcW w:w="516" w:type="pct"/>
            <w:tcBorders>
              <w:top w:val="nil"/>
              <w:left w:val="nil"/>
              <w:bottom w:val="single" w:sz="4" w:space="0" w:color="auto"/>
              <w:right w:val="single" w:sz="4" w:space="0" w:color="auto"/>
            </w:tcBorders>
            <w:shd w:val="clear" w:color="auto" w:fill="auto"/>
            <w:noWrap/>
            <w:vAlign w:val="bottom"/>
            <w:hideMark/>
          </w:tcPr>
          <w:p w14:paraId="1E5D9201" w14:textId="77777777" w:rsidR="00EA0E77" w:rsidRPr="00A52AEE" w:rsidRDefault="00EA0E77" w:rsidP="009A2373">
            <w:pPr>
              <w:jc w:val="right"/>
              <w:rPr>
                <w:lang w:eastAsia="en-GB"/>
              </w:rPr>
            </w:pPr>
            <w:r w:rsidRPr="00A52AEE">
              <w:rPr>
                <w:lang w:eastAsia="en-GB"/>
              </w:rPr>
              <w:t>41%</w:t>
            </w:r>
          </w:p>
        </w:tc>
      </w:tr>
      <w:tr w:rsidR="00EA0E77" w:rsidRPr="00A52AEE" w14:paraId="15414899"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4E47786"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BCA1ECE" w14:textId="6E7C3890"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540C977B"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021C30F0"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0E8E2635"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7E5C6983" w14:textId="77777777" w:rsidR="00EA0E77" w:rsidRPr="00A52AEE" w:rsidRDefault="00EA0E77" w:rsidP="009A2373">
            <w:pPr>
              <w:jc w:val="right"/>
              <w:rPr>
                <w:lang w:eastAsia="en-GB"/>
              </w:rPr>
            </w:pPr>
            <w:r w:rsidRPr="00A52AEE">
              <w:rPr>
                <w:lang w:eastAsia="en-GB"/>
              </w:rPr>
              <w:t>26%</w:t>
            </w:r>
          </w:p>
        </w:tc>
        <w:tc>
          <w:tcPr>
            <w:tcW w:w="516" w:type="pct"/>
            <w:tcBorders>
              <w:top w:val="nil"/>
              <w:left w:val="nil"/>
              <w:bottom w:val="single" w:sz="4" w:space="0" w:color="auto"/>
              <w:right w:val="single" w:sz="4" w:space="0" w:color="auto"/>
            </w:tcBorders>
            <w:shd w:val="clear" w:color="auto" w:fill="auto"/>
            <w:noWrap/>
            <w:vAlign w:val="bottom"/>
            <w:hideMark/>
          </w:tcPr>
          <w:p w14:paraId="3A48C884" w14:textId="77777777" w:rsidR="00EA0E77" w:rsidRPr="00A52AEE" w:rsidRDefault="00EA0E77" w:rsidP="009A2373">
            <w:pPr>
              <w:jc w:val="right"/>
              <w:rPr>
                <w:lang w:eastAsia="en-GB"/>
              </w:rPr>
            </w:pPr>
            <w:r w:rsidRPr="00A52AEE">
              <w:rPr>
                <w:lang w:eastAsia="en-GB"/>
              </w:rPr>
              <w:t>22%</w:t>
            </w:r>
          </w:p>
        </w:tc>
      </w:tr>
      <w:tr w:rsidR="00EA0E77" w:rsidRPr="00A52AEE" w14:paraId="75AEEC1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48AC47E"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AA0BE02" w14:textId="39304E02"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63A64152"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7C24C485"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29942B70"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34532AC0"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759BD107" w14:textId="77777777" w:rsidR="00EA0E77" w:rsidRPr="00A52AEE" w:rsidRDefault="00EA0E77" w:rsidP="009A2373">
            <w:pPr>
              <w:jc w:val="right"/>
              <w:rPr>
                <w:lang w:eastAsia="en-GB"/>
              </w:rPr>
            </w:pPr>
            <w:r w:rsidRPr="00A52AEE">
              <w:rPr>
                <w:lang w:eastAsia="en-GB"/>
              </w:rPr>
              <w:t>1%</w:t>
            </w:r>
          </w:p>
        </w:tc>
      </w:tr>
      <w:tr w:rsidR="00EA0E77" w:rsidRPr="00A52AEE" w14:paraId="7C4F0B6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2A4BDA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50D3EB0" w14:textId="1B285D82"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382A9930"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5543A991"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FCD056E"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7561A11"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5D32AE21" w14:textId="77777777" w:rsidR="00EA0E77" w:rsidRPr="00A52AEE" w:rsidRDefault="00EA0E77" w:rsidP="009A2373">
            <w:pPr>
              <w:jc w:val="right"/>
              <w:rPr>
                <w:lang w:eastAsia="en-GB"/>
              </w:rPr>
            </w:pPr>
            <w:r w:rsidRPr="00A52AEE">
              <w:rPr>
                <w:lang w:eastAsia="en-GB"/>
              </w:rPr>
              <w:t>2%</w:t>
            </w:r>
          </w:p>
        </w:tc>
      </w:tr>
      <w:tr w:rsidR="00EA0E77" w:rsidRPr="00A52AEE" w14:paraId="00FC742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F75E321"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897727B" w14:textId="4267D623"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150FBE84"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180C7BAA"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31F0D498"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7F1888A8"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6B3F9322" w14:textId="77777777" w:rsidR="00EA0E77" w:rsidRPr="00A52AEE" w:rsidRDefault="00EA0E77" w:rsidP="009A2373">
            <w:pPr>
              <w:jc w:val="right"/>
              <w:rPr>
                <w:lang w:eastAsia="en-GB"/>
              </w:rPr>
            </w:pPr>
            <w:r w:rsidRPr="00A52AEE">
              <w:rPr>
                <w:lang w:eastAsia="en-GB"/>
              </w:rPr>
              <w:t>15%</w:t>
            </w:r>
          </w:p>
        </w:tc>
      </w:tr>
      <w:tr w:rsidR="00EA0E77" w:rsidRPr="00A52AEE" w14:paraId="0AE11F59"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70014FFD" w14:textId="77777777" w:rsidR="00EA0E77" w:rsidRPr="00A52AEE" w:rsidRDefault="00EA0E77" w:rsidP="00A52AEE">
            <w:pPr>
              <w:rPr>
                <w:lang w:eastAsia="en-GB"/>
              </w:rPr>
            </w:pPr>
            <w:r w:rsidRPr="00A52AEE">
              <w:rPr>
                <w:lang w:eastAsia="en-GB"/>
              </w:rPr>
              <w:t>Black or Black British –Caribbean</w:t>
            </w:r>
          </w:p>
        </w:tc>
        <w:tc>
          <w:tcPr>
            <w:tcW w:w="940" w:type="pct"/>
            <w:tcBorders>
              <w:top w:val="nil"/>
              <w:left w:val="nil"/>
              <w:bottom w:val="single" w:sz="4" w:space="0" w:color="auto"/>
              <w:right w:val="single" w:sz="4" w:space="0" w:color="auto"/>
            </w:tcBorders>
            <w:shd w:val="clear" w:color="auto" w:fill="auto"/>
            <w:noWrap/>
            <w:vAlign w:val="bottom"/>
            <w:hideMark/>
          </w:tcPr>
          <w:p w14:paraId="7D6689DB" w14:textId="1936BB53"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61C37FFB"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2411AFE7"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55960416"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7727B1A8"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48D768ED" w14:textId="77777777" w:rsidR="00EA0E77" w:rsidRPr="00A52AEE" w:rsidRDefault="00EA0E77" w:rsidP="009A2373">
            <w:pPr>
              <w:jc w:val="right"/>
              <w:rPr>
                <w:lang w:eastAsia="en-GB"/>
              </w:rPr>
            </w:pPr>
            <w:r w:rsidRPr="00A52AEE">
              <w:rPr>
                <w:lang w:eastAsia="en-GB"/>
              </w:rPr>
              <w:t>13%</w:t>
            </w:r>
          </w:p>
        </w:tc>
      </w:tr>
      <w:tr w:rsidR="00EA0E77" w:rsidRPr="00A52AEE" w14:paraId="668D650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97C453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F791FEF" w14:textId="6C04082B"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54CAE785" w14:textId="77777777" w:rsidR="00EA0E77" w:rsidRPr="00A52AEE" w:rsidRDefault="00EA0E77" w:rsidP="009A2373">
            <w:pPr>
              <w:jc w:val="right"/>
              <w:rPr>
                <w:lang w:eastAsia="en-GB"/>
              </w:rPr>
            </w:pPr>
            <w:r w:rsidRPr="00A52AEE">
              <w:rPr>
                <w:lang w:eastAsia="en-GB"/>
              </w:rPr>
              <w:t>32%</w:t>
            </w:r>
          </w:p>
        </w:tc>
        <w:tc>
          <w:tcPr>
            <w:tcW w:w="516" w:type="pct"/>
            <w:tcBorders>
              <w:top w:val="nil"/>
              <w:left w:val="nil"/>
              <w:bottom w:val="single" w:sz="4" w:space="0" w:color="auto"/>
              <w:right w:val="single" w:sz="4" w:space="0" w:color="auto"/>
            </w:tcBorders>
            <w:shd w:val="clear" w:color="auto" w:fill="auto"/>
            <w:noWrap/>
            <w:vAlign w:val="bottom"/>
            <w:hideMark/>
          </w:tcPr>
          <w:p w14:paraId="0720AF0A"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0BE7BE52" w14:textId="77777777" w:rsidR="00EA0E77" w:rsidRPr="00A52AEE" w:rsidRDefault="00EA0E77" w:rsidP="009A2373">
            <w:pPr>
              <w:jc w:val="right"/>
              <w:rPr>
                <w:lang w:eastAsia="en-GB"/>
              </w:rPr>
            </w:pPr>
            <w:r w:rsidRPr="00A52AEE">
              <w:rPr>
                <w:lang w:eastAsia="en-GB"/>
              </w:rPr>
              <w:t>34%</w:t>
            </w:r>
          </w:p>
        </w:tc>
        <w:tc>
          <w:tcPr>
            <w:tcW w:w="516" w:type="pct"/>
            <w:tcBorders>
              <w:top w:val="nil"/>
              <w:left w:val="nil"/>
              <w:bottom w:val="single" w:sz="4" w:space="0" w:color="auto"/>
              <w:right w:val="single" w:sz="4" w:space="0" w:color="auto"/>
            </w:tcBorders>
            <w:shd w:val="clear" w:color="auto" w:fill="auto"/>
            <w:noWrap/>
            <w:vAlign w:val="bottom"/>
            <w:hideMark/>
          </w:tcPr>
          <w:p w14:paraId="547CFF4B" w14:textId="77777777" w:rsidR="00EA0E77" w:rsidRPr="00A52AEE" w:rsidRDefault="00EA0E77" w:rsidP="009A2373">
            <w:pPr>
              <w:jc w:val="right"/>
              <w:rPr>
                <w:lang w:eastAsia="en-GB"/>
              </w:rPr>
            </w:pPr>
            <w:r w:rsidRPr="00A52AEE">
              <w:rPr>
                <w:lang w:eastAsia="en-GB"/>
              </w:rPr>
              <w:t>37%</w:t>
            </w:r>
          </w:p>
        </w:tc>
        <w:tc>
          <w:tcPr>
            <w:tcW w:w="516" w:type="pct"/>
            <w:tcBorders>
              <w:top w:val="nil"/>
              <w:left w:val="nil"/>
              <w:bottom w:val="single" w:sz="4" w:space="0" w:color="auto"/>
              <w:right w:val="single" w:sz="4" w:space="0" w:color="auto"/>
            </w:tcBorders>
            <w:shd w:val="clear" w:color="auto" w:fill="auto"/>
            <w:noWrap/>
            <w:vAlign w:val="bottom"/>
            <w:hideMark/>
          </w:tcPr>
          <w:p w14:paraId="5A5AC03A" w14:textId="77777777" w:rsidR="00EA0E77" w:rsidRPr="00A52AEE" w:rsidRDefault="00EA0E77" w:rsidP="009A2373">
            <w:pPr>
              <w:jc w:val="right"/>
              <w:rPr>
                <w:lang w:eastAsia="en-GB"/>
              </w:rPr>
            </w:pPr>
            <w:r w:rsidRPr="00A52AEE">
              <w:rPr>
                <w:lang w:eastAsia="en-GB"/>
              </w:rPr>
              <w:t>46%</w:t>
            </w:r>
          </w:p>
        </w:tc>
      </w:tr>
      <w:tr w:rsidR="00EA0E77" w:rsidRPr="00A52AEE" w14:paraId="236297C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96AD12E"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1E7BEA7" w14:textId="13F55256"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628A10EA"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65B7D1C6"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57F780EE"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4D1A08CC"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7AD047E2" w14:textId="77777777" w:rsidR="00EA0E77" w:rsidRPr="00A52AEE" w:rsidRDefault="00EA0E77" w:rsidP="009A2373">
            <w:pPr>
              <w:jc w:val="right"/>
              <w:rPr>
                <w:lang w:eastAsia="en-GB"/>
              </w:rPr>
            </w:pPr>
            <w:r w:rsidRPr="00A52AEE">
              <w:rPr>
                <w:lang w:eastAsia="en-GB"/>
              </w:rPr>
              <w:t>15%</w:t>
            </w:r>
          </w:p>
        </w:tc>
      </w:tr>
      <w:tr w:rsidR="00EA0E77" w:rsidRPr="00A52AEE" w14:paraId="3B70D5A4"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8654559"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0222693" w14:textId="25DCAF2B"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392E9491"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4B065D3D"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4E33B7DD"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312176CC"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BD73DF5" w14:textId="77777777" w:rsidR="00EA0E77" w:rsidRPr="00A52AEE" w:rsidRDefault="00EA0E77" w:rsidP="009A2373">
            <w:pPr>
              <w:jc w:val="right"/>
              <w:rPr>
                <w:lang w:eastAsia="en-GB"/>
              </w:rPr>
            </w:pPr>
            <w:r w:rsidRPr="00A52AEE">
              <w:rPr>
                <w:lang w:eastAsia="en-GB"/>
              </w:rPr>
              <w:t>1%</w:t>
            </w:r>
          </w:p>
        </w:tc>
      </w:tr>
      <w:tr w:rsidR="00EA0E77" w:rsidRPr="00A52AEE" w14:paraId="5DAC2E78"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2C0D54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AC424A5" w14:textId="633D1645"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01BEABFB"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0AD86E2A"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2C06FAA8"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22CACEBF"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596A4A2B" w14:textId="77777777" w:rsidR="00EA0E77" w:rsidRPr="00A52AEE" w:rsidRDefault="00EA0E77" w:rsidP="009A2373">
            <w:pPr>
              <w:jc w:val="right"/>
              <w:rPr>
                <w:lang w:eastAsia="en-GB"/>
              </w:rPr>
            </w:pPr>
            <w:r w:rsidRPr="00A52AEE">
              <w:rPr>
                <w:lang w:eastAsia="en-GB"/>
              </w:rPr>
              <w:t>5%</w:t>
            </w:r>
          </w:p>
        </w:tc>
      </w:tr>
      <w:tr w:rsidR="00EA0E77" w:rsidRPr="00A52AEE" w14:paraId="40AFB44D"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17FA7D5"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95661FC" w14:textId="55CD1F77"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51F9BE96" w14:textId="77777777" w:rsidR="00EA0E77" w:rsidRPr="00A52AEE" w:rsidRDefault="00EA0E77" w:rsidP="009A2373">
            <w:pPr>
              <w:jc w:val="right"/>
              <w:rPr>
                <w:lang w:eastAsia="en-GB"/>
              </w:rPr>
            </w:pPr>
            <w:r w:rsidRPr="00A52AEE">
              <w:rPr>
                <w:lang w:eastAsia="en-GB"/>
              </w:rPr>
              <w:t>23%</w:t>
            </w:r>
          </w:p>
        </w:tc>
        <w:tc>
          <w:tcPr>
            <w:tcW w:w="516" w:type="pct"/>
            <w:tcBorders>
              <w:top w:val="nil"/>
              <w:left w:val="nil"/>
              <w:bottom w:val="single" w:sz="4" w:space="0" w:color="auto"/>
              <w:right w:val="single" w:sz="4" w:space="0" w:color="auto"/>
            </w:tcBorders>
            <w:shd w:val="clear" w:color="auto" w:fill="auto"/>
            <w:noWrap/>
            <w:vAlign w:val="bottom"/>
            <w:hideMark/>
          </w:tcPr>
          <w:p w14:paraId="7511699D"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380DA62B"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7EAC9C74"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3EFB105E" w14:textId="77777777" w:rsidR="00EA0E77" w:rsidRPr="00A52AEE" w:rsidRDefault="00EA0E77" w:rsidP="009A2373">
            <w:pPr>
              <w:jc w:val="right"/>
              <w:rPr>
                <w:lang w:eastAsia="en-GB"/>
              </w:rPr>
            </w:pPr>
            <w:r w:rsidRPr="00A52AEE">
              <w:rPr>
                <w:lang w:eastAsia="en-GB"/>
              </w:rPr>
              <w:t>19%</w:t>
            </w:r>
          </w:p>
        </w:tc>
      </w:tr>
      <w:tr w:rsidR="00EA0E77" w:rsidRPr="00A52AEE" w14:paraId="733B0205"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2FA4B2C2" w14:textId="77777777" w:rsidR="00EA0E77" w:rsidRPr="00A52AEE" w:rsidRDefault="00EA0E77" w:rsidP="00A52AEE">
            <w:pPr>
              <w:rPr>
                <w:lang w:eastAsia="en-GB"/>
              </w:rPr>
            </w:pPr>
            <w:r w:rsidRPr="00A52AEE">
              <w:rPr>
                <w:lang w:eastAsia="en-GB"/>
              </w:rPr>
              <w:t>Chinese</w:t>
            </w:r>
          </w:p>
        </w:tc>
        <w:tc>
          <w:tcPr>
            <w:tcW w:w="940" w:type="pct"/>
            <w:tcBorders>
              <w:top w:val="nil"/>
              <w:left w:val="nil"/>
              <w:bottom w:val="single" w:sz="4" w:space="0" w:color="auto"/>
              <w:right w:val="single" w:sz="4" w:space="0" w:color="auto"/>
            </w:tcBorders>
            <w:shd w:val="clear" w:color="auto" w:fill="auto"/>
            <w:noWrap/>
            <w:vAlign w:val="bottom"/>
            <w:hideMark/>
          </w:tcPr>
          <w:p w14:paraId="5C6A8C93" w14:textId="72532BE1"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7E9FC3E8"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522B99AF"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6DB3B8E5"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22C91FBB"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18D30A33" w14:textId="77777777" w:rsidR="00EA0E77" w:rsidRPr="00A52AEE" w:rsidRDefault="00EA0E77" w:rsidP="009A2373">
            <w:pPr>
              <w:jc w:val="right"/>
              <w:rPr>
                <w:lang w:eastAsia="en-GB"/>
              </w:rPr>
            </w:pPr>
            <w:r w:rsidRPr="00A52AEE">
              <w:rPr>
                <w:lang w:eastAsia="en-GB"/>
              </w:rPr>
              <w:t>7%</w:t>
            </w:r>
          </w:p>
        </w:tc>
      </w:tr>
      <w:tr w:rsidR="00EA0E77" w:rsidRPr="00A52AEE" w14:paraId="38E1778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9C95C3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CE2D708" w14:textId="29AFA9AE"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25604B30"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7A313EE2" w14:textId="77777777" w:rsidR="00EA0E77" w:rsidRPr="00A52AEE" w:rsidRDefault="00EA0E77" w:rsidP="009A2373">
            <w:pPr>
              <w:jc w:val="right"/>
              <w:rPr>
                <w:lang w:eastAsia="en-GB"/>
              </w:rPr>
            </w:pPr>
            <w:r w:rsidRPr="00A52AEE">
              <w:rPr>
                <w:lang w:eastAsia="en-GB"/>
              </w:rPr>
              <w:t>23%</w:t>
            </w:r>
          </w:p>
        </w:tc>
        <w:tc>
          <w:tcPr>
            <w:tcW w:w="516" w:type="pct"/>
            <w:tcBorders>
              <w:top w:val="nil"/>
              <w:left w:val="nil"/>
              <w:bottom w:val="single" w:sz="4" w:space="0" w:color="auto"/>
              <w:right w:val="single" w:sz="4" w:space="0" w:color="auto"/>
            </w:tcBorders>
            <w:shd w:val="clear" w:color="auto" w:fill="auto"/>
            <w:noWrap/>
            <w:vAlign w:val="bottom"/>
            <w:hideMark/>
          </w:tcPr>
          <w:p w14:paraId="4E466B1F"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7E886A63" w14:textId="77777777" w:rsidR="00EA0E77" w:rsidRPr="00A52AEE" w:rsidRDefault="00EA0E77" w:rsidP="009A2373">
            <w:pPr>
              <w:jc w:val="right"/>
              <w:rPr>
                <w:lang w:eastAsia="en-GB"/>
              </w:rPr>
            </w:pPr>
            <w:r w:rsidRPr="00A52AEE">
              <w:rPr>
                <w:lang w:eastAsia="en-GB"/>
              </w:rPr>
              <w:t>27%</w:t>
            </w:r>
          </w:p>
        </w:tc>
        <w:tc>
          <w:tcPr>
            <w:tcW w:w="516" w:type="pct"/>
            <w:tcBorders>
              <w:top w:val="nil"/>
              <w:left w:val="nil"/>
              <w:bottom w:val="single" w:sz="4" w:space="0" w:color="auto"/>
              <w:right w:val="single" w:sz="4" w:space="0" w:color="auto"/>
            </w:tcBorders>
            <w:shd w:val="clear" w:color="auto" w:fill="auto"/>
            <w:noWrap/>
            <w:vAlign w:val="bottom"/>
            <w:hideMark/>
          </w:tcPr>
          <w:p w14:paraId="526647E8" w14:textId="77777777" w:rsidR="00EA0E77" w:rsidRPr="00A52AEE" w:rsidRDefault="00EA0E77" w:rsidP="009A2373">
            <w:pPr>
              <w:jc w:val="right"/>
              <w:rPr>
                <w:lang w:eastAsia="en-GB"/>
              </w:rPr>
            </w:pPr>
            <w:r w:rsidRPr="00A52AEE">
              <w:rPr>
                <w:lang w:eastAsia="en-GB"/>
              </w:rPr>
              <w:t>32%</w:t>
            </w:r>
          </w:p>
        </w:tc>
      </w:tr>
      <w:tr w:rsidR="00EA0E77" w:rsidRPr="00A52AEE" w14:paraId="76F3621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CB2831B"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75C6439" w14:textId="3C4345BF"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1E7DA824" w14:textId="77777777" w:rsidR="00EA0E77" w:rsidRPr="00A52AEE" w:rsidRDefault="00EA0E77" w:rsidP="009A2373">
            <w:pPr>
              <w:jc w:val="right"/>
              <w:rPr>
                <w:lang w:eastAsia="en-GB"/>
              </w:rPr>
            </w:pPr>
            <w:r w:rsidRPr="00A52AEE">
              <w:rPr>
                <w:lang w:eastAsia="en-GB"/>
              </w:rPr>
              <w:t>42%</w:t>
            </w:r>
          </w:p>
        </w:tc>
        <w:tc>
          <w:tcPr>
            <w:tcW w:w="516" w:type="pct"/>
            <w:tcBorders>
              <w:top w:val="nil"/>
              <w:left w:val="nil"/>
              <w:bottom w:val="single" w:sz="4" w:space="0" w:color="auto"/>
              <w:right w:val="single" w:sz="4" w:space="0" w:color="auto"/>
            </w:tcBorders>
            <w:shd w:val="clear" w:color="auto" w:fill="auto"/>
            <w:noWrap/>
            <w:vAlign w:val="bottom"/>
            <w:hideMark/>
          </w:tcPr>
          <w:p w14:paraId="55A820DA" w14:textId="77777777" w:rsidR="00EA0E77" w:rsidRPr="00A52AEE" w:rsidRDefault="00EA0E77" w:rsidP="009A2373">
            <w:pPr>
              <w:jc w:val="right"/>
              <w:rPr>
                <w:lang w:eastAsia="en-GB"/>
              </w:rPr>
            </w:pPr>
            <w:r w:rsidRPr="00A52AEE">
              <w:rPr>
                <w:lang w:eastAsia="en-GB"/>
              </w:rPr>
              <w:t>44%</w:t>
            </w:r>
          </w:p>
        </w:tc>
        <w:tc>
          <w:tcPr>
            <w:tcW w:w="516" w:type="pct"/>
            <w:tcBorders>
              <w:top w:val="nil"/>
              <w:left w:val="nil"/>
              <w:bottom w:val="single" w:sz="4" w:space="0" w:color="auto"/>
              <w:right w:val="single" w:sz="4" w:space="0" w:color="auto"/>
            </w:tcBorders>
            <w:shd w:val="clear" w:color="auto" w:fill="auto"/>
            <w:noWrap/>
            <w:vAlign w:val="bottom"/>
            <w:hideMark/>
          </w:tcPr>
          <w:p w14:paraId="2E0138BE" w14:textId="77777777" w:rsidR="00EA0E77" w:rsidRPr="00A52AEE" w:rsidRDefault="00EA0E77" w:rsidP="009A2373">
            <w:pPr>
              <w:jc w:val="right"/>
              <w:rPr>
                <w:lang w:eastAsia="en-GB"/>
              </w:rPr>
            </w:pPr>
            <w:r w:rsidRPr="00A52AEE">
              <w:rPr>
                <w:lang w:eastAsia="en-GB"/>
              </w:rPr>
              <w:t>41%</w:t>
            </w:r>
          </w:p>
        </w:tc>
        <w:tc>
          <w:tcPr>
            <w:tcW w:w="516" w:type="pct"/>
            <w:tcBorders>
              <w:top w:val="nil"/>
              <w:left w:val="nil"/>
              <w:bottom w:val="single" w:sz="4" w:space="0" w:color="auto"/>
              <w:right w:val="single" w:sz="4" w:space="0" w:color="auto"/>
            </w:tcBorders>
            <w:shd w:val="clear" w:color="auto" w:fill="auto"/>
            <w:noWrap/>
            <w:vAlign w:val="bottom"/>
            <w:hideMark/>
          </w:tcPr>
          <w:p w14:paraId="7FEA99ED" w14:textId="77777777" w:rsidR="00EA0E77" w:rsidRPr="00A52AEE" w:rsidRDefault="00EA0E77" w:rsidP="009A2373">
            <w:pPr>
              <w:jc w:val="right"/>
              <w:rPr>
                <w:lang w:eastAsia="en-GB"/>
              </w:rPr>
            </w:pPr>
            <w:r w:rsidRPr="00A52AEE">
              <w:rPr>
                <w:lang w:eastAsia="en-GB"/>
              </w:rPr>
              <w:t>45%</w:t>
            </w:r>
          </w:p>
        </w:tc>
        <w:tc>
          <w:tcPr>
            <w:tcW w:w="516" w:type="pct"/>
            <w:tcBorders>
              <w:top w:val="nil"/>
              <w:left w:val="nil"/>
              <w:bottom w:val="single" w:sz="4" w:space="0" w:color="auto"/>
              <w:right w:val="single" w:sz="4" w:space="0" w:color="auto"/>
            </w:tcBorders>
            <w:shd w:val="clear" w:color="auto" w:fill="auto"/>
            <w:noWrap/>
            <w:vAlign w:val="bottom"/>
            <w:hideMark/>
          </w:tcPr>
          <w:p w14:paraId="66200F2F" w14:textId="77777777" w:rsidR="00EA0E77" w:rsidRPr="00A52AEE" w:rsidRDefault="00EA0E77" w:rsidP="009A2373">
            <w:pPr>
              <w:jc w:val="right"/>
              <w:rPr>
                <w:lang w:eastAsia="en-GB"/>
              </w:rPr>
            </w:pPr>
            <w:r w:rsidRPr="00A52AEE">
              <w:rPr>
                <w:lang w:eastAsia="en-GB"/>
              </w:rPr>
              <w:t>34%</w:t>
            </w:r>
          </w:p>
        </w:tc>
      </w:tr>
      <w:tr w:rsidR="00EA0E77" w:rsidRPr="00A52AEE" w14:paraId="2C1EF6B7"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2076C1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1CA96E2" w14:textId="030F30D5"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740B1E8F"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69A05892"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4772C65C"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193091CA"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7755A81A" w14:textId="77777777" w:rsidR="00EA0E77" w:rsidRPr="00A52AEE" w:rsidRDefault="00EA0E77" w:rsidP="009A2373">
            <w:pPr>
              <w:jc w:val="right"/>
              <w:rPr>
                <w:lang w:eastAsia="en-GB"/>
              </w:rPr>
            </w:pPr>
            <w:r w:rsidRPr="00A52AEE">
              <w:rPr>
                <w:lang w:eastAsia="en-GB"/>
              </w:rPr>
              <w:t>4%</w:t>
            </w:r>
          </w:p>
        </w:tc>
      </w:tr>
      <w:tr w:rsidR="00EA0E77" w:rsidRPr="00A52AEE" w14:paraId="0941BEE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AEB9B54"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BB2BEFA" w14:textId="0FD09B16"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13557861"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50F7E8F2"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51B05F3C"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76425A09" w14:textId="77777777" w:rsidR="00EA0E77" w:rsidRPr="00A52AEE" w:rsidRDefault="00EA0E77" w:rsidP="009A2373">
            <w:pPr>
              <w:jc w:val="right"/>
              <w:rPr>
                <w:lang w:eastAsia="en-GB"/>
              </w:rPr>
            </w:pPr>
            <w:r w:rsidRPr="00A52AEE">
              <w:rPr>
                <w:lang w:eastAsia="en-GB"/>
              </w:rPr>
              <w:t>6%</w:t>
            </w:r>
          </w:p>
        </w:tc>
        <w:tc>
          <w:tcPr>
            <w:tcW w:w="516" w:type="pct"/>
            <w:tcBorders>
              <w:top w:val="nil"/>
              <w:left w:val="nil"/>
              <w:bottom w:val="single" w:sz="4" w:space="0" w:color="auto"/>
              <w:right w:val="single" w:sz="4" w:space="0" w:color="auto"/>
            </w:tcBorders>
            <w:shd w:val="clear" w:color="auto" w:fill="auto"/>
            <w:noWrap/>
            <w:vAlign w:val="bottom"/>
            <w:hideMark/>
          </w:tcPr>
          <w:p w14:paraId="6A84F1EB" w14:textId="77777777" w:rsidR="00EA0E77" w:rsidRPr="00A52AEE" w:rsidRDefault="00EA0E77" w:rsidP="009A2373">
            <w:pPr>
              <w:jc w:val="right"/>
              <w:rPr>
                <w:lang w:eastAsia="en-GB"/>
              </w:rPr>
            </w:pPr>
            <w:r w:rsidRPr="00A52AEE">
              <w:rPr>
                <w:lang w:eastAsia="en-GB"/>
              </w:rPr>
              <w:t>3%</w:t>
            </w:r>
          </w:p>
        </w:tc>
      </w:tr>
      <w:tr w:rsidR="00EA0E77" w:rsidRPr="00A52AEE" w14:paraId="26CA343E"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A4496E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45DFB99" w14:textId="63A4D062"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548A1B0F"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513CFFAA"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2C290835"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3D2C9EDD"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73D7544E" w14:textId="77777777" w:rsidR="00EA0E77" w:rsidRPr="00A52AEE" w:rsidRDefault="00EA0E77" w:rsidP="009A2373">
            <w:pPr>
              <w:jc w:val="right"/>
              <w:rPr>
                <w:lang w:eastAsia="en-GB"/>
              </w:rPr>
            </w:pPr>
            <w:r w:rsidRPr="00A52AEE">
              <w:rPr>
                <w:lang w:eastAsia="en-GB"/>
              </w:rPr>
              <w:t>20%</w:t>
            </w:r>
          </w:p>
        </w:tc>
      </w:tr>
      <w:tr w:rsidR="00EA0E77" w:rsidRPr="00A52AEE" w14:paraId="532054F2"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3642E466" w14:textId="77777777" w:rsidR="00EA0E77" w:rsidRPr="00A52AEE" w:rsidRDefault="00EA0E77" w:rsidP="00A52AEE">
            <w:pPr>
              <w:rPr>
                <w:lang w:eastAsia="en-GB"/>
              </w:rPr>
            </w:pPr>
            <w:r w:rsidRPr="00A52AEE">
              <w:rPr>
                <w:lang w:eastAsia="en-GB"/>
              </w:rPr>
              <w:t>Mixed - White and Asian</w:t>
            </w:r>
          </w:p>
        </w:tc>
        <w:tc>
          <w:tcPr>
            <w:tcW w:w="940" w:type="pct"/>
            <w:tcBorders>
              <w:top w:val="nil"/>
              <w:left w:val="nil"/>
              <w:bottom w:val="single" w:sz="4" w:space="0" w:color="auto"/>
              <w:right w:val="single" w:sz="4" w:space="0" w:color="auto"/>
            </w:tcBorders>
            <w:shd w:val="clear" w:color="auto" w:fill="auto"/>
            <w:noWrap/>
            <w:vAlign w:val="bottom"/>
            <w:hideMark/>
          </w:tcPr>
          <w:p w14:paraId="3F40E789" w14:textId="262C418D"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37FF3B60"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5595AC16"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69F7BC81"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60078C02"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1C931F31" w14:textId="77777777" w:rsidR="00EA0E77" w:rsidRPr="00A52AEE" w:rsidRDefault="00EA0E77" w:rsidP="009A2373">
            <w:pPr>
              <w:jc w:val="right"/>
              <w:rPr>
                <w:lang w:eastAsia="en-GB"/>
              </w:rPr>
            </w:pPr>
            <w:r w:rsidRPr="00A52AEE">
              <w:rPr>
                <w:lang w:eastAsia="en-GB"/>
              </w:rPr>
              <w:t>8%</w:t>
            </w:r>
          </w:p>
        </w:tc>
      </w:tr>
      <w:tr w:rsidR="00EA0E77" w:rsidRPr="00A52AEE" w14:paraId="3F688AD3"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A679FF5"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4703DE4" w14:textId="20F8E271"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31031D09"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5F7DA780"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728FD368"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12AE2AEE"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3EB1A089" w14:textId="77777777" w:rsidR="00EA0E77" w:rsidRPr="00A52AEE" w:rsidRDefault="00EA0E77" w:rsidP="009A2373">
            <w:pPr>
              <w:jc w:val="right"/>
              <w:rPr>
                <w:lang w:eastAsia="en-GB"/>
              </w:rPr>
            </w:pPr>
            <w:r w:rsidRPr="00A52AEE">
              <w:rPr>
                <w:lang w:eastAsia="en-GB"/>
              </w:rPr>
              <w:t>42%</w:t>
            </w:r>
          </w:p>
        </w:tc>
      </w:tr>
      <w:tr w:rsidR="00EA0E77" w:rsidRPr="00A52AEE" w14:paraId="1BCECF1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8A29F70"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1CB5CEA" w14:textId="1D004406"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71B82C96"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41935D72"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4D74BEFF"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12D01BA6"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54C16F11" w14:textId="77777777" w:rsidR="00EA0E77" w:rsidRPr="00A52AEE" w:rsidRDefault="00EA0E77" w:rsidP="009A2373">
            <w:pPr>
              <w:jc w:val="right"/>
              <w:rPr>
                <w:lang w:eastAsia="en-GB"/>
              </w:rPr>
            </w:pPr>
            <w:r w:rsidRPr="00A52AEE">
              <w:rPr>
                <w:lang w:eastAsia="en-GB"/>
              </w:rPr>
              <w:t>25%</w:t>
            </w:r>
          </w:p>
        </w:tc>
      </w:tr>
      <w:tr w:rsidR="00EA0E77" w:rsidRPr="00A52AEE" w14:paraId="3F3A25A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7EC99F9"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ADBCAC2" w14:textId="07DD519B"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5CFE647E"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266224E5"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1E2E26FB"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6B9A3117"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155A2B41" w14:textId="77777777" w:rsidR="00EA0E77" w:rsidRPr="00A52AEE" w:rsidRDefault="00EA0E77" w:rsidP="009A2373">
            <w:pPr>
              <w:jc w:val="right"/>
              <w:rPr>
                <w:lang w:eastAsia="en-GB"/>
              </w:rPr>
            </w:pPr>
            <w:r w:rsidRPr="00A52AEE">
              <w:rPr>
                <w:lang w:eastAsia="en-GB"/>
              </w:rPr>
              <w:t>1%</w:t>
            </w:r>
          </w:p>
        </w:tc>
      </w:tr>
      <w:tr w:rsidR="00EA0E77" w:rsidRPr="00A52AEE" w14:paraId="7BF020DD"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4C3EEC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BAC4A71" w14:textId="13C07305"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7BB0BE71" w14:textId="77777777" w:rsidR="00EA0E77" w:rsidRPr="00A52AEE" w:rsidRDefault="00EA0E77" w:rsidP="009A2373">
            <w:pPr>
              <w:jc w:val="right"/>
              <w:rPr>
                <w:lang w:eastAsia="en-GB"/>
              </w:rPr>
            </w:pPr>
            <w:r w:rsidRPr="00A52AEE">
              <w:rPr>
                <w:lang w:eastAsia="en-GB"/>
              </w:rPr>
              <w:t>5%</w:t>
            </w:r>
          </w:p>
        </w:tc>
        <w:tc>
          <w:tcPr>
            <w:tcW w:w="516" w:type="pct"/>
            <w:tcBorders>
              <w:top w:val="nil"/>
              <w:left w:val="nil"/>
              <w:bottom w:val="single" w:sz="4" w:space="0" w:color="auto"/>
              <w:right w:val="single" w:sz="4" w:space="0" w:color="auto"/>
            </w:tcBorders>
            <w:shd w:val="clear" w:color="auto" w:fill="auto"/>
            <w:noWrap/>
            <w:vAlign w:val="bottom"/>
            <w:hideMark/>
          </w:tcPr>
          <w:p w14:paraId="4686FCBF"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439B036D"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2CDF56D9"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0F138C0A" w14:textId="77777777" w:rsidR="00EA0E77" w:rsidRPr="00A52AEE" w:rsidRDefault="00EA0E77" w:rsidP="009A2373">
            <w:pPr>
              <w:jc w:val="right"/>
              <w:rPr>
                <w:lang w:eastAsia="en-GB"/>
              </w:rPr>
            </w:pPr>
            <w:r w:rsidRPr="00A52AEE">
              <w:rPr>
                <w:lang w:eastAsia="en-GB"/>
              </w:rPr>
              <w:t>6%</w:t>
            </w:r>
          </w:p>
        </w:tc>
      </w:tr>
      <w:tr w:rsidR="00EA0E77" w:rsidRPr="00A52AEE" w14:paraId="1A95636D"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629B832"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98C1E05" w14:textId="520E20EB"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1F688713"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0812B4E7"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50B2C2F4"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74EDFDF4"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69346862" w14:textId="77777777" w:rsidR="00EA0E77" w:rsidRPr="00A52AEE" w:rsidRDefault="00EA0E77" w:rsidP="009A2373">
            <w:pPr>
              <w:jc w:val="right"/>
              <w:rPr>
                <w:lang w:eastAsia="en-GB"/>
              </w:rPr>
            </w:pPr>
            <w:r w:rsidRPr="00A52AEE">
              <w:rPr>
                <w:lang w:eastAsia="en-GB"/>
              </w:rPr>
              <w:t>18%</w:t>
            </w:r>
          </w:p>
        </w:tc>
      </w:tr>
      <w:tr w:rsidR="00EA0E77" w:rsidRPr="00A52AEE" w14:paraId="4176C69E"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70140EAF" w14:textId="77777777" w:rsidR="00EA0E77" w:rsidRPr="00A52AEE" w:rsidRDefault="00EA0E77" w:rsidP="00A52AEE">
            <w:pPr>
              <w:rPr>
                <w:lang w:eastAsia="en-GB"/>
              </w:rPr>
            </w:pPr>
            <w:r w:rsidRPr="00A52AEE">
              <w:rPr>
                <w:lang w:eastAsia="en-GB"/>
              </w:rPr>
              <w:t>Mixed - White and Black African</w:t>
            </w:r>
          </w:p>
        </w:tc>
        <w:tc>
          <w:tcPr>
            <w:tcW w:w="940" w:type="pct"/>
            <w:tcBorders>
              <w:top w:val="nil"/>
              <w:left w:val="nil"/>
              <w:bottom w:val="single" w:sz="4" w:space="0" w:color="auto"/>
              <w:right w:val="single" w:sz="4" w:space="0" w:color="auto"/>
            </w:tcBorders>
            <w:shd w:val="clear" w:color="auto" w:fill="auto"/>
            <w:noWrap/>
            <w:vAlign w:val="bottom"/>
            <w:hideMark/>
          </w:tcPr>
          <w:p w14:paraId="4C84315B" w14:textId="58B6F710"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06664B8D"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1D6D0B62"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7B5A7A0D"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5909418D"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5324AFBD" w14:textId="77777777" w:rsidR="00EA0E77" w:rsidRPr="00A52AEE" w:rsidRDefault="00EA0E77" w:rsidP="009A2373">
            <w:pPr>
              <w:jc w:val="right"/>
              <w:rPr>
                <w:lang w:eastAsia="en-GB"/>
              </w:rPr>
            </w:pPr>
            <w:r w:rsidRPr="00A52AEE">
              <w:rPr>
                <w:lang w:eastAsia="en-GB"/>
              </w:rPr>
              <w:t>14%</w:t>
            </w:r>
          </w:p>
        </w:tc>
      </w:tr>
      <w:tr w:rsidR="00EA0E77" w:rsidRPr="00A52AEE" w14:paraId="5E258503"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4AE76E4"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413B3FD" w14:textId="3BB01771"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72ECBC5C"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7F031240"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33E012C4"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363CCA3C" w14:textId="77777777" w:rsidR="00EA0E77" w:rsidRPr="00A52AEE" w:rsidRDefault="00EA0E77" w:rsidP="009A2373">
            <w:pPr>
              <w:jc w:val="right"/>
              <w:rPr>
                <w:lang w:eastAsia="en-GB"/>
              </w:rPr>
            </w:pPr>
            <w:r w:rsidRPr="00A52AEE">
              <w:rPr>
                <w:lang w:eastAsia="en-GB"/>
              </w:rPr>
              <w:t>37%</w:t>
            </w:r>
          </w:p>
        </w:tc>
        <w:tc>
          <w:tcPr>
            <w:tcW w:w="516" w:type="pct"/>
            <w:tcBorders>
              <w:top w:val="nil"/>
              <w:left w:val="nil"/>
              <w:bottom w:val="single" w:sz="4" w:space="0" w:color="auto"/>
              <w:right w:val="single" w:sz="4" w:space="0" w:color="auto"/>
            </w:tcBorders>
            <w:shd w:val="clear" w:color="auto" w:fill="auto"/>
            <w:noWrap/>
            <w:vAlign w:val="bottom"/>
            <w:hideMark/>
          </w:tcPr>
          <w:p w14:paraId="55274240" w14:textId="77777777" w:rsidR="00EA0E77" w:rsidRPr="00A52AEE" w:rsidRDefault="00EA0E77" w:rsidP="009A2373">
            <w:pPr>
              <w:jc w:val="right"/>
              <w:rPr>
                <w:lang w:eastAsia="en-GB"/>
              </w:rPr>
            </w:pPr>
            <w:r w:rsidRPr="00A52AEE">
              <w:rPr>
                <w:lang w:eastAsia="en-GB"/>
              </w:rPr>
              <w:t>44%</w:t>
            </w:r>
          </w:p>
        </w:tc>
      </w:tr>
      <w:tr w:rsidR="00EA0E77" w:rsidRPr="00A52AEE" w14:paraId="277EFBC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06CB64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599BB1A" w14:textId="67A2F6DC"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35ABB135"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16BA1327"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7B7D6AEC"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157BE2F0"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4CBDC6C3" w14:textId="77777777" w:rsidR="00EA0E77" w:rsidRPr="00A52AEE" w:rsidRDefault="00EA0E77" w:rsidP="009A2373">
            <w:pPr>
              <w:jc w:val="right"/>
              <w:rPr>
                <w:lang w:eastAsia="en-GB"/>
              </w:rPr>
            </w:pPr>
            <w:r w:rsidRPr="00A52AEE">
              <w:rPr>
                <w:lang w:eastAsia="en-GB"/>
              </w:rPr>
              <w:t>16%</w:t>
            </w:r>
          </w:p>
        </w:tc>
      </w:tr>
      <w:tr w:rsidR="00EA0E77" w:rsidRPr="00A52AEE" w14:paraId="0C64A913"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D8F0D4A"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3FDA89A" w14:textId="4E679223"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3539D1D2"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06332FC6"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74BC612B"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79E8AF32"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E9605AD" w14:textId="77777777" w:rsidR="00EA0E77" w:rsidRPr="00A52AEE" w:rsidRDefault="00EA0E77" w:rsidP="009A2373">
            <w:pPr>
              <w:jc w:val="right"/>
              <w:rPr>
                <w:lang w:eastAsia="en-GB"/>
              </w:rPr>
            </w:pPr>
            <w:r w:rsidRPr="00A52AEE">
              <w:rPr>
                <w:lang w:eastAsia="en-GB"/>
              </w:rPr>
              <w:t>2%</w:t>
            </w:r>
          </w:p>
        </w:tc>
      </w:tr>
      <w:tr w:rsidR="00EA0E77" w:rsidRPr="00A52AEE" w14:paraId="04BA983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CB6EEA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0EF6C90" w14:textId="45F39342"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5C24CAF8"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0A8B7333"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22CF1C9C"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7E893F2C"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72496528" w14:textId="77777777" w:rsidR="00EA0E77" w:rsidRPr="00A52AEE" w:rsidRDefault="00EA0E77" w:rsidP="009A2373">
            <w:pPr>
              <w:jc w:val="right"/>
              <w:rPr>
                <w:lang w:eastAsia="en-GB"/>
              </w:rPr>
            </w:pPr>
            <w:r w:rsidRPr="00A52AEE">
              <w:rPr>
                <w:lang w:eastAsia="en-GB"/>
              </w:rPr>
              <w:t>6%</w:t>
            </w:r>
          </w:p>
        </w:tc>
      </w:tr>
      <w:tr w:rsidR="00EA0E77" w:rsidRPr="00A52AEE" w14:paraId="1F7A23F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56DF9A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70F51AF" w14:textId="3D878B84"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51BD947E" w14:textId="77777777" w:rsidR="00EA0E77" w:rsidRPr="00A52AEE" w:rsidRDefault="00EA0E77" w:rsidP="009A2373">
            <w:pPr>
              <w:jc w:val="right"/>
              <w:rPr>
                <w:lang w:eastAsia="en-GB"/>
              </w:rPr>
            </w:pPr>
            <w:r w:rsidRPr="00A52AEE">
              <w:rPr>
                <w:lang w:eastAsia="en-GB"/>
              </w:rPr>
              <w:t>23%</w:t>
            </w:r>
          </w:p>
        </w:tc>
        <w:tc>
          <w:tcPr>
            <w:tcW w:w="516" w:type="pct"/>
            <w:tcBorders>
              <w:top w:val="nil"/>
              <w:left w:val="nil"/>
              <w:bottom w:val="single" w:sz="4" w:space="0" w:color="auto"/>
              <w:right w:val="single" w:sz="4" w:space="0" w:color="auto"/>
            </w:tcBorders>
            <w:shd w:val="clear" w:color="auto" w:fill="auto"/>
            <w:noWrap/>
            <w:vAlign w:val="bottom"/>
            <w:hideMark/>
          </w:tcPr>
          <w:p w14:paraId="70F69185"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3E397CCC"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3E758416"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3D592200" w14:textId="77777777" w:rsidR="00EA0E77" w:rsidRPr="00A52AEE" w:rsidRDefault="00EA0E77" w:rsidP="009A2373">
            <w:pPr>
              <w:jc w:val="right"/>
              <w:rPr>
                <w:lang w:eastAsia="en-GB"/>
              </w:rPr>
            </w:pPr>
            <w:r w:rsidRPr="00A52AEE">
              <w:rPr>
                <w:lang w:eastAsia="en-GB"/>
              </w:rPr>
              <w:t>18%</w:t>
            </w:r>
          </w:p>
        </w:tc>
      </w:tr>
      <w:tr w:rsidR="00EA0E77" w:rsidRPr="00A52AEE" w14:paraId="3ABFC9B4"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2BC22C32" w14:textId="77777777" w:rsidR="00EA0E77" w:rsidRPr="00A52AEE" w:rsidRDefault="00EA0E77" w:rsidP="00A52AEE">
            <w:pPr>
              <w:rPr>
                <w:lang w:eastAsia="en-GB"/>
              </w:rPr>
            </w:pPr>
            <w:r w:rsidRPr="00A52AEE">
              <w:rPr>
                <w:lang w:eastAsia="en-GB"/>
              </w:rPr>
              <w:t>Mixed - White and Black Caribbean</w:t>
            </w:r>
          </w:p>
        </w:tc>
        <w:tc>
          <w:tcPr>
            <w:tcW w:w="940" w:type="pct"/>
            <w:tcBorders>
              <w:top w:val="nil"/>
              <w:left w:val="nil"/>
              <w:bottom w:val="single" w:sz="4" w:space="0" w:color="auto"/>
              <w:right w:val="single" w:sz="4" w:space="0" w:color="auto"/>
            </w:tcBorders>
            <w:shd w:val="clear" w:color="auto" w:fill="auto"/>
            <w:noWrap/>
            <w:vAlign w:val="bottom"/>
            <w:hideMark/>
          </w:tcPr>
          <w:p w14:paraId="53264ADC" w14:textId="6144FC74"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7F12CBCF"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0F21C800"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1E026EF6"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5E67875E"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44C0FD3C" w14:textId="77777777" w:rsidR="00EA0E77" w:rsidRPr="00A52AEE" w:rsidRDefault="00EA0E77" w:rsidP="009A2373">
            <w:pPr>
              <w:jc w:val="right"/>
              <w:rPr>
                <w:lang w:eastAsia="en-GB"/>
              </w:rPr>
            </w:pPr>
            <w:r w:rsidRPr="00A52AEE">
              <w:rPr>
                <w:lang w:eastAsia="en-GB"/>
              </w:rPr>
              <w:t>10%</w:t>
            </w:r>
          </w:p>
        </w:tc>
      </w:tr>
      <w:tr w:rsidR="00EA0E77" w:rsidRPr="00A52AEE" w14:paraId="64C01079"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AA9CF3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F8030A1" w14:textId="479246E7"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43D63F52" w14:textId="77777777" w:rsidR="00EA0E77" w:rsidRPr="00A52AEE" w:rsidRDefault="00EA0E77" w:rsidP="009A2373">
            <w:pPr>
              <w:jc w:val="right"/>
              <w:rPr>
                <w:lang w:eastAsia="en-GB"/>
              </w:rPr>
            </w:pPr>
            <w:r w:rsidRPr="00A52AEE">
              <w:rPr>
                <w:lang w:eastAsia="en-GB"/>
              </w:rPr>
              <w:t>34%</w:t>
            </w:r>
          </w:p>
        </w:tc>
        <w:tc>
          <w:tcPr>
            <w:tcW w:w="516" w:type="pct"/>
            <w:tcBorders>
              <w:top w:val="nil"/>
              <w:left w:val="nil"/>
              <w:bottom w:val="single" w:sz="4" w:space="0" w:color="auto"/>
              <w:right w:val="single" w:sz="4" w:space="0" w:color="auto"/>
            </w:tcBorders>
            <w:shd w:val="clear" w:color="auto" w:fill="auto"/>
            <w:noWrap/>
            <w:vAlign w:val="bottom"/>
            <w:hideMark/>
          </w:tcPr>
          <w:p w14:paraId="0D47F46D"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1C789F97" w14:textId="77777777" w:rsidR="00EA0E77" w:rsidRPr="00A52AEE" w:rsidRDefault="00EA0E77" w:rsidP="009A2373">
            <w:pPr>
              <w:jc w:val="right"/>
              <w:rPr>
                <w:lang w:eastAsia="en-GB"/>
              </w:rPr>
            </w:pPr>
            <w:r w:rsidRPr="00A52AEE">
              <w:rPr>
                <w:lang w:eastAsia="en-GB"/>
              </w:rPr>
              <w:t>35%</w:t>
            </w:r>
          </w:p>
        </w:tc>
        <w:tc>
          <w:tcPr>
            <w:tcW w:w="516" w:type="pct"/>
            <w:tcBorders>
              <w:top w:val="nil"/>
              <w:left w:val="nil"/>
              <w:bottom w:val="single" w:sz="4" w:space="0" w:color="auto"/>
              <w:right w:val="single" w:sz="4" w:space="0" w:color="auto"/>
            </w:tcBorders>
            <w:shd w:val="clear" w:color="auto" w:fill="auto"/>
            <w:noWrap/>
            <w:vAlign w:val="bottom"/>
            <w:hideMark/>
          </w:tcPr>
          <w:p w14:paraId="5A8F1ADA" w14:textId="77777777" w:rsidR="00EA0E77" w:rsidRPr="00A52AEE" w:rsidRDefault="00EA0E77" w:rsidP="009A2373">
            <w:pPr>
              <w:jc w:val="right"/>
              <w:rPr>
                <w:lang w:eastAsia="en-GB"/>
              </w:rPr>
            </w:pPr>
            <w:r w:rsidRPr="00A52AEE">
              <w:rPr>
                <w:lang w:eastAsia="en-GB"/>
              </w:rPr>
              <w:t>39%</w:t>
            </w:r>
          </w:p>
        </w:tc>
        <w:tc>
          <w:tcPr>
            <w:tcW w:w="516" w:type="pct"/>
            <w:tcBorders>
              <w:top w:val="nil"/>
              <w:left w:val="nil"/>
              <w:bottom w:val="single" w:sz="4" w:space="0" w:color="auto"/>
              <w:right w:val="single" w:sz="4" w:space="0" w:color="auto"/>
            </w:tcBorders>
            <w:shd w:val="clear" w:color="auto" w:fill="auto"/>
            <w:noWrap/>
            <w:vAlign w:val="bottom"/>
            <w:hideMark/>
          </w:tcPr>
          <w:p w14:paraId="3F060379" w14:textId="77777777" w:rsidR="00EA0E77" w:rsidRPr="00A52AEE" w:rsidRDefault="00EA0E77" w:rsidP="009A2373">
            <w:pPr>
              <w:jc w:val="right"/>
              <w:rPr>
                <w:lang w:eastAsia="en-GB"/>
              </w:rPr>
            </w:pPr>
            <w:r w:rsidRPr="00A52AEE">
              <w:rPr>
                <w:lang w:eastAsia="en-GB"/>
              </w:rPr>
              <w:t>48%</w:t>
            </w:r>
          </w:p>
        </w:tc>
      </w:tr>
      <w:tr w:rsidR="00EA0E77" w:rsidRPr="00A52AEE" w14:paraId="2464A2C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744D1CB"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631186F" w14:textId="6EAAAB64"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0483434D"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3AB9A6CE"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7F4111C3"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7E535960"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5E98BBAC" w14:textId="77777777" w:rsidR="00EA0E77" w:rsidRPr="00A52AEE" w:rsidRDefault="00EA0E77" w:rsidP="009A2373">
            <w:pPr>
              <w:jc w:val="right"/>
              <w:rPr>
                <w:lang w:eastAsia="en-GB"/>
              </w:rPr>
            </w:pPr>
            <w:r w:rsidRPr="00A52AEE">
              <w:rPr>
                <w:lang w:eastAsia="en-GB"/>
              </w:rPr>
              <w:t>16%</w:t>
            </w:r>
          </w:p>
        </w:tc>
      </w:tr>
      <w:tr w:rsidR="00EA0E77" w:rsidRPr="00A52AEE" w14:paraId="4CBD6301"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3C6933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409E79E" w14:textId="15BF237C"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7B0754F0"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3527266"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6CFB8C97"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094D7F62" w14:textId="77777777" w:rsidR="00EA0E77" w:rsidRPr="00A52AEE" w:rsidRDefault="00EA0E77" w:rsidP="009A2373">
            <w:pPr>
              <w:jc w:val="right"/>
              <w:rPr>
                <w:lang w:eastAsia="en-GB"/>
              </w:rPr>
            </w:pPr>
            <w:r w:rsidRPr="00A52AEE">
              <w:rPr>
                <w:lang w:eastAsia="en-GB"/>
              </w:rPr>
              <w:t>1%</w:t>
            </w:r>
          </w:p>
        </w:tc>
        <w:tc>
          <w:tcPr>
            <w:tcW w:w="516" w:type="pct"/>
            <w:tcBorders>
              <w:top w:val="nil"/>
              <w:left w:val="nil"/>
              <w:bottom w:val="single" w:sz="4" w:space="0" w:color="auto"/>
              <w:right w:val="single" w:sz="4" w:space="0" w:color="auto"/>
            </w:tcBorders>
            <w:shd w:val="clear" w:color="auto" w:fill="auto"/>
            <w:noWrap/>
            <w:vAlign w:val="bottom"/>
            <w:hideMark/>
          </w:tcPr>
          <w:p w14:paraId="7D1C9642" w14:textId="77777777" w:rsidR="00EA0E77" w:rsidRPr="00A52AEE" w:rsidRDefault="00EA0E77" w:rsidP="009A2373">
            <w:pPr>
              <w:jc w:val="right"/>
              <w:rPr>
                <w:lang w:eastAsia="en-GB"/>
              </w:rPr>
            </w:pPr>
            <w:r w:rsidRPr="00A52AEE">
              <w:rPr>
                <w:lang w:eastAsia="en-GB"/>
              </w:rPr>
              <w:t>2%</w:t>
            </w:r>
          </w:p>
        </w:tc>
      </w:tr>
      <w:tr w:rsidR="00EA0E77" w:rsidRPr="00A52AEE" w14:paraId="405DF6DE"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88BEF1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B60E587" w14:textId="09D69798"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5F525C82"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75B3D9B7"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0FB4304D"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0EADC654"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3B9E3B83" w14:textId="77777777" w:rsidR="00EA0E77" w:rsidRPr="00A52AEE" w:rsidRDefault="00EA0E77" w:rsidP="009A2373">
            <w:pPr>
              <w:jc w:val="right"/>
              <w:rPr>
                <w:lang w:eastAsia="en-GB"/>
              </w:rPr>
            </w:pPr>
            <w:r w:rsidRPr="00A52AEE">
              <w:rPr>
                <w:lang w:eastAsia="en-GB"/>
              </w:rPr>
              <w:t>6%</w:t>
            </w:r>
          </w:p>
        </w:tc>
      </w:tr>
      <w:tr w:rsidR="00EA0E77" w:rsidRPr="00A52AEE" w14:paraId="1461E95C"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FD47A29"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55F7D17" w14:textId="09F08CEB"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7B4EC17B" w14:textId="77777777" w:rsidR="00EA0E77" w:rsidRPr="00A52AEE" w:rsidRDefault="00EA0E77" w:rsidP="009A2373">
            <w:pPr>
              <w:jc w:val="right"/>
              <w:rPr>
                <w:lang w:eastAsia="en-GB"/>
              </w:rPr>
            </w:pPr>
            <w:r w:rsidRPr="00A52AEE">
              <w:rPr>
                <w:lang w:eastAsia="en-GB"/>
              </w:rPr>
              <w:t>23%</w:t>
            </w:r>
          </w:p>
        </w:tc>
        <w:tc>
          <w:tcPr>
            <w:tcW w:w="516" w:type="pct"/>
            <w:tcBorders>
              <w:top w:val="nil"/>
              <w:left w:val="nil"/>
              <w:bottom w:val="single" w:sz="4" w:space="0" w:color="auto"/>
              <w:right w:val="single" w:sz="4" w:space="0" w:color="auto"/>
            </w:tcBorders>
            <w:shd w:val="clear" w:color="auto" w:fill="auto"/>
            <w:noWrap/>
            <w:vAlign w:val="bottom"/>
            <w:hideMark/>
          </w:tcPr>
          <w:p w14:paraId="17617BA1"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11D0915A"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0964F693"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015426D2" w14:textId="77777777" w:rsidR="00EA0E77" w:rsidRPr="00A52AEE" w:rsidRDefault="00EA0E77" w:rsidP="009A2373">
            <w:pPr>
              <w:jc w:val="right"/>
              <w:rPr>
                <w:lang w:eastAsia="en-GB"/>
              </w:rPr>
            </w:pPr>
            <w:r w:rsidRPr="00A52AEE">
              <w:rPr>
                <w:lang w:eastAsia="en-GB"/>
              </w:rPr>
              <w:t>19%</w:t>
            </w:r>
          </w:p>
        </w:tc>
      </w:tr>
      <w:tr w:rsidR="00EA0E77" w:rsidRPr="00A52AEE" w14:paraId="68A51B8E"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0B422234" w14:textId="0014AF7C" w:rsidR="00EA0E77" w:rsidRPr="00A52AEE" w:rsidRDefault="00EF28F4" w:rsidP="00A52AEE">
            <w:pPr>
              <w:rPr>
                <w:lang w:eastAsia="en-GB"/>
              </w:rPr>
            </w:pPr>
            <w:r w:rsidRPr="00A52AEE">
              <w:rPr>
                <w:lang w:eastAsia="en-GB"/>
              </w:rPr>
              <w:t>N</w:t>
            </w:r>
            <w:r w:rsidR="00EA0E77" w:rsidRPr="00A52AEE">
              <w:rPr>
                <w:lang w:eastAsia="en-GB"/>
              </w:rPr>
              <w:t>ot known/not provided</w:t>
            </w:r>
          </w:p>
        </w:tc>
        <w:tc>
          <w:tcPr>
            <w:tcW w:w="940" w:type="pct"/>
            <w:tcBorders>
              <w:top w:val="nil"/>
              <w:left w:val="nil"/>
              <w:bottom w:val="single" w:sz="4" w:space="0" w:color="auto"/>
              <w:right w:val="single" w:sz="4" w:space="0" w:color="auto"/>
            </w:tcBorders>
            <w:shd w:val="clear" w:color="auto" w:fill="auto"/>
            <w:noWrap/>
            <w:vAlign w:val="bottom"/>
            <w:hideMark/>
          </w:tcPr>
          <w:p w14:paraId="0326D137" w14:textId="731512C9"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0334DC2D"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1DEF5420" w14:textId="77777777" w:rsidR="00EA0E77" w:rsidRPr="00A52AEE" w:rsidRDefault="00EA0E77" w:rsidP="009A2373">
            <w:pPr>
              <w:jc w:val="right"/>
              <w:rPr>
                <w:lang w:eastAsia="en-GB"/>
              </w:rPr>
            </w:pPr>
            <w:r w:rsidRPr="00A52AEE">
              <w:rPr>
                <w:lang w:eastAsia="en-GB"/>
              </w:rPr>
              <w:t>7%</w:t>
            </w:r>
          </w:p>
        </w:tc>
        <w:tc>
          <w:tcPr>
            <w:tcW w:w="516" w:type="pct"/>
            <w:tcBorders>
              <w:top w:val="nil"/>
              <w:left w:val="nil"/>
              <w:bottom w:val="single" w:sz="4" w:space="0" w:color="auto"/>
              <w:right w:val="single" w:sz="4" w:space="0" w:color="auto"/>
            </w:tcBorders>
            <w:shd w:val="clear" w:color="auto" w:fill="auto"/>
            <w:noWrap/>
            <w:vAlign w:val="bottom"/>
            <w:hideMark/>
          </w:tcPr>
          <w:p w14:paraId="017B1113"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694AB7FD"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7281624D" w14:textId="77777777" w:rsidR="00EA0E77" w:rsidRPr="00A52AEE" w:rsidRDefault="00EA0E77" w:rsidP="009A2373">
            <w:pPr>
              <w:jc w:val="right"/>
              <w:rPr>
                <w:lang w:eastAsia="en-GB"/>
              </w:rPr>
            </w:pPr>
            <w:r w:rsidRPr="00A52AEE">
              <w:rPr>
                <w:lang w:eastAsia="en-GB"/>
              </w:rPr>
              <w:t>10%</w:t>
            </w:r>
          </w:p>
        </w:tc>
      </w:tr>
      <w:tr w:rsidR="00EA0E77" w:rsidRPr="00A52AEE" w14:paraId="295658F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11F12E5"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0249BC8" w14:textId="34017190"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57791129"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5A943300"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0275706E"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6E66CEE0"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791B59F1" w14:textId="77777777" w:rsidR="00EA0E77" w:rsidRPr="00A52AEE" w:rsidRDefault="00EA0E77" w:rsidP="009A2373">
            <w:pPr>
              <w:jc w:val="right"/>
              <w:rPr>
                <w:lang w:eastAsia="en-GB"/>
              </w:rPr>
            </w:pPr>
            <w:r w:rsidRPr="00A52AEE">
              <w:rPr>
                <w:lang w:eastAsia="en-GB"/>
              </w:rPr>
              <w:t>31%</w:t>
            </w:r>
          </w:p>
        </w:tc>
      </w:tr>
      <w:tr w:rsidR="00EA0E77" w:rsidRPr="00A52AEE" w14:paraId="415C301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0A05458"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1D0B8E4" w14:textId="4837F02D"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4F51E5A8"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13E44E47"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389BB104"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47E2BB46"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60373795" w14:textId="77777777" w:rsidR="00EA0E77" w:rsidRPr="00A52AEE" w:rsidRDefault="00EA0E77" w:rsidP="009A2373">
            <w:pPr>
              <w:jc w:val="right"/>
              <w:rPr>
                <w:lang w:eastAsia="en-GB"/>
              </w:rPr>
            </w:pPr>
            <w:r w:rsidRPr="00A52AEE">
              <w:rPr>
                <w:lang w:eastAsia="en-GB"/>
              </w:rPr>
              <w:t>13%</w:t>
            </w:r>
          </w:p>
        </w:tc>
      </w:tr>
      <w:tr w:rsidR="00EA0E77" w:rsidRPr="00A52AEE" w14:paraId="1C430F30"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8AD977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06991B36" w14:textId="666B111C"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3AB58BB5"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61BD7538"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C46D6B6"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04A7D724"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35F53D72" w14:textId="77777777" w:rsidR="00EA0E77" w:rsidRPr="00A52AEE" w:rsidRDefault="00EA0E77" w:rsidP="009A2373">
            <w:pPr>
              <w:jc w:val="right"/>
              <w:rPr>
                <w:lang w:eastAsia="en-GB"/>
              </w:rPr>
            </w:pPr>
            <w:r w:rsidRPr="00A52AEE">
              <w:rPr>
                <w:lang w:eastAsia="en-GB"/>
              </w:rPr>
              <w:t>2%</w:t>
            </w:r>
          </w:p>
        </w:tc>
      </w:tr>
      <w:tr w:rsidR="00EA0E77" w:rsidRPr="00A52AEE" w14:paraId="1A643FC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3AA76E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DA18823" w14:textId="725A1ED7"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48F09456"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5077771D" w14:textId="77777777" w:rsidR="00EA0E77" w:rsidRPr="00A52AEE" w:rsidRDefault="00EA0E77" w:rsidP="009A2373">
            <w:pPr>
              <w:jc w:val="right"/>
              <w:rPr>
                <w:lang w:eastAsia="en-GB"/>
              </w:rPr>
            </w:pPr>
            <w:r w:rsidRPr="00A52AEE">
              <w:rPr>
                <w:lang w:eastAsia="en-GB"/>
              </w:rPr>
              <w:t>32%</w:t>
            </w:r>
          </w:p>
        </w:tc>
        <w:tc>
          <w:tcPr>
            <w:tcW w:w="516" w:type="pct"/>
            <w:tcBorders>
              <w:top w:val="nil"/>
              <w:left w:val="nil"/>
              <w:bottom w:val="single" w:sz="4" w:space="0" w:color="auto"/>
              <w:right w:val="single" w:sz="4" w:space="0" w:color="auto"/>
            </w:tcBorders>
            <w:shd w:val="clear" w:color="auto" w:fill="auto"/>
            <w:noWrap/>
            <w:vAlign w:val="bottom"/>
            <w:hideMark/>
          </w:tcPr>
          <w:p w14:paraId="12218581" w14:textId="77777777" w:rsidR="00EA0E77" w:rsidRPr="00A52AEE" w:rsidRDefault="00EA0E77" w:rsidP="009A2373">
            <w:pPr>
              <w:jc w:val="right"/>
              <w:rPr>
                <w:lang w:eastAsia="en-GB"/>
              </w:rPr>
            </w:pPr>
            <w:r w:rsidRPr="00A52AEE">
              <w:rPr>
                <w:lang w:eastAsia="en-GB"/>
              </w:rPr>
              <w:t>27%</w:t>
            </w:r>
          </w:p>
        </w:tc>
        <w:tc>
          <w:tcPr>
            <w:tcW w:w="516" w:type="pct"/>
            <w:tcBorders>
              <w:top w:val="nil"/>
              <w:left w:val="nil"/>
              <w:bottom w:val="single" w:sz="4" w:space="0" w:color="auto"/>
              <w:right w:val="single" w:sz="4" w:space="0" w:color="auto"/>
            </w:tcBorders>
            <w:shd w:val="clear" w:color="auto" w:fill="auto"/>
            <w:noWrap/>
            <w:vAlign w:val="bottom"/>
            <w:hideMark/>
          </w:tcPr>
          <w:p w14:paraId="2B0B63E8"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6F047E0A" w14:textId="77777777" w:rsidR="00EA0E77" w:rsidRPr="00A52AEE" w:rsidRDefault="00EA0E77" w:rsidP="009A2373">
            <w:pPr>
              <w:jc w:val="right"/>
              <w:rPr>
                <w:lang w:eastAsia="en-GB"/>
              </w:rPr>
            </w:pPr>
            <w:r w:rsidRPr="00A52AEE">
              <w:rPr>
                <w:lang w:eastAsia="en-GB"/>
              </w:rPr>
              <w:t>6%</w:t>
            </w:r>
          </w:p>
        </w:tc>
      </w:tr>
      <w:tr w:rsidR="00EA0E77" w:rsidRPr="00A52AEE" w14:paraId="3AC8BB9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2EF1F0B"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A869E7E" w14:textId="609B9274"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197B3C24" w14:textId="77777777" w:rsidR="00EA0E77" w:rsidRPr="00A52AEE" w:rsidRDefault="00EA0E77" w:rsidP="009A2373">
            <w:pPr>
              <w:jc w:val="right"/>
              <w:rPr>
                <w:lang w:eastAsia="en-GB"/>
              </w:rPr>
            </w:pPr>
            <w:r w:rsidRPr="00A52AEE">
              <w:rPr>
                <w:lang w:eastAsia="en-GB"/>
              </w:rPr>
              <w:t>36%</w:t>
            </w:r>
          </w:p>
        </w:tc>
        <w:tc>
          <w:tcPr>
            <w:tcW w:w="516" w:type="pct"/>
            <w:tcBorders>
              <w:top w:val="nil"/>
              <w:left w:val="nil"/>
              <w:bottom w:val="single" w:sz="4" w:space="0" w:color="auto"/>
              <w:right w:val="single" w:sz="4" w:space="0" w:color="auto"/>
            </w:tcBorders>
            <w:shd w:val="clear" w:color="auto" w:fill="auto"/>
            <w:noWrap/>
            <w:vAlign w:val="bottom"/>
            <w:hideMark/>
          </w:tcPr>
          <w:p w14:paraId="27BEE801" w14:textId="77777777" w:rsidR="00EA0E77" w:rsidRPr="00A52AEE" w:rsidRDefault="00EA0E77" w:rsidP="009A2373">
            <w:pPr>
              <w:jc w:val="right"/>
              <w:rPr>
                <w:lang w:eastAsia="en-GB"/>
              </w:rPr>
            </w:pPr>
            <w:r w:rsidRPr="00A52AEE">
              <w:rPr>
                <w:lang w:eastAsia="en-GB"/>
              </w:rPr>
              <w:t>33%</w:t>
            </w:r>
          </w:p>
        </w:tc>
        <w:tc>
          <w:tcPr>
            <w:tcW w:w="516" w:type="pct"/>
            <w:tcBorders>
              <w:top w:val="nil"/>
              <w:left w:val="nil"/>
              <w:bottom w:val="single" w:sz="4" w:space="0" w:color="auto"/>
              <w:right w:val="single" w:sz="4" w:space="0" w:color="auto"/>
            </w:tcBorders>
            <w:shd w:val="clear" w:color="auto" w:fill="auto"/>
            <w:noWrap/>
            <w:vAlign w:val="bottom"/>
            <w:hideMark/>
          </w:tcPr>
          <w:p w14:paraId="61D7274F"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160BDD57"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60370BB3" w14:textId="77777777" w:rsidR="00EA0E77" w:rsidRPr="00A52AEE" w:rsidRDefault="00EA0E77" w:rsidP="009A2373">
            <w:pPr>
              <w:jc w:val="right"/>
              <w:rPr>
                <w:lang w:eastAsia="en-GB"/>
              </w:rPr>
            </w:pPr>
            <w:r w:rsidRPr="00A52AEE">
              <w:rPr>
                <w:lang w:eastAsia="en-GB"/>
              </w:rPr>
              <w:t>38%</w:t>
            </w:r>
          </w:p>
        </w:tc>
      </w:tr>
      <w:tr w:rsidR="00EA0E77" w:rsidRPr="00A52AEE" w14:paraId="55A4AC96"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41D1DA29" w14:textId="77777777" w:rsidR="00EA0E77" w:rsidRPr="00A52AEE" w:rsidRDefault="00EA0E77" w:rsidP="00A52AEE">
            <w:pPr>
              <w:rPr>
                <w:lang w:eastAsia="en-GB"/>
              </w:rPr>
            </w:pPr>
            <w:r w:rsidRPr="00A52AEE">
              <w:rPr>
                <w:lang w:eastAsia="en-GB"/>
              </w:rPr>
              <w:t>Other ethnic group</w:t>
            </w:r>
          </w:p>
        </w:tc>
        <w:tc>
          <w:tcPr>
            <w:tcW w:w="940" w:type="pct"/>
            <w:tcBorders>
              <w:top w:val="nil"/>
              <w:left w:val="nil"/>
              <w:bottom w:val="single" w:sz="4" w:space="0" w:color="auto"/>
              <w:right w:val="single" w:sz="4" w:space="0" w:color="auto"/>
            </w:tcBorders>
            <w:shd w:val="clear" w:color="auto" w:fill="auto"/>
            <w:noWrap/>
            <w:vAlign w:val="bottom"/>
            <w:hideMark/>
          </w:tcPr>
          <w:p w14:paraId="2AAB4138" w14:textId="14A32293"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06F1D185"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05FF9C6F"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3A20FBE2"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1E6BD15D"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294BA278" w14:textId="77777777" w:rsidR="00EA0E77" w:rsidRPr="00A52AEE" w:rsidRDefault="00EA0E77" w:rsidP="009A2373">
            <w:pPr>
              <w:jc w:val="right"/>
              <w:rPr>
                <w:lang w:eastAsia="en-GB"/>
              </w:rPr>
            </w:pPr>
            <w:r w:rsidRPr="00A52AEE">
              <w:rPr>
                <w:lang w:eastAsia="en-GB"/>
              </w:rPr>
              <w:t>8%</w:t>
            </w:r>
          </w:p>
        </w:tc>
      </w:tr>
      <w:tr w:rsidR="00EA0E77" w:rsidRPr="00A52AEE" w14:paraId="12BBF51F"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97DCBEA"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A04862E" w14:textId="21FF1D3F"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7A9C790F" w14:textId="77777777" w:rsidR="00EA0E77" w:rsidRPr="00A52AEE" w:rsidRDefault="00EA0E77" w:rsidP="009A2373">
            <w:pPr>
              <w:jc w:val="right"/>
              <w:rPr>
                <w:lang w:eastAsia="en-GB"/>
              </w:rPr>
            </w:pPr>
            <w:r w:rsidRPr="00A52AEE">
              <w:rPr>
                <w:lang w:eastAsia="en-GB"/>
              </w:rPr>
              <w:t>26%</w:t>
            </w:r>
          </w:p>
        </w:tc>
        <w:tc>
          <w:tcPr>
            <w:tcW w:w="516" w:type="pct"/>
            <w:tcBorders>
              <w:top w:val="nil"/>
              <w:left w:val="nil"/>
              <w:bottom w:val="single" w:sz="4" w:space="0" w:color="auto"/>
              <w:right w:val="single" w:sz="4" w:space="0" w:color="auto"/>
            </w:tcBorders>
            <w:shd w:val="clear" w:color="auto" w:fill="auto"/>
            <w:noWrap/>
            <w:vAlign w:val="bottom"/>
            <w:hideMark/>
          </w:tcPr>
          <w:p w14:paraId="5FDD394C" w14:textId="77777777" w:rsidR="00EA0E77" w:rsidRPr="00A52AEE" w:rsidRDefault="00EA0E77" w:rsidP="009A2373">
            <w:pPr>
              <w:jc w:val="right"/>
              <w:rPr>
                <w:lang w:eastAsia="en-GB"/>
              </w:rPr>
            </w:pPr>
            <w:r w:rsidRPr="00A52AEE">
              <w:rPr>
                <w:lang w:eastAsia="en-GB"/>
              </w:rPr>
              <w:t>26%</w:t>
            </w:r>
          </w:p>
        </w:tc>
        <w:tc>
          <w:tcPr>
            <w:tcW w:w="516" w:type="pct"/>
            <w:tcBorders>
              <w:top w:val="nil"/>
              <w:left w:val="nil"/>
              <w:bottom w:val="single" w:sz="4" w:space="0" w:color="auto"/>
              <w:right w:val="single" w:sz="4" w:space="0" w:color="auto"/>
            </w:tcBorders>
            <w:shd w:val="clear" w:color="auto" w:fill="auto"/>
            <w:noWrap/>
            <w:vAlign w:val="bottom"/>
            <w:hideMark/>
          </w:tcPr>
          <w:p w14:paraId="44EBF466"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2B0BB417" w14:textId="77777777" w:rsidR="00EA0E77" w:rsidRPr="00A52AEE" w:rsidRDefault="00EA0E77" w:rsidP="009A2373">
            <w:pPr>
              <w:jc w:val="right"/>
              <w:rPr>
                <w:lang w:eastAsia="en-GB"/>
              </w:rPr>
            </w:pPr>
            <w:r w:rsidRPr="00A52AEE">
              <w:rPr>
                <w:lang w:eastAsia="en-GB"/>
              </w:rPr>
              <w:t>37%</w:t>
            </w:r>
          </w:p>
        </w:tc>
        <w:tc>
          <w:tcPr>
            <w:tcW w:w="516" w:type="pct"/>
            <w:tcBorders>
              <w:top w:val="nil"/>
              <w:left w:val="nil"/>
              <w:bottom w:val="single" w:sz="4" w:space="0" w:color="auto"/>
              <w:right w:val="single" w:sz="4" w:space="0" w:color="auto"/>
            </w:tcBorders>
            <w:shd w:val="clear" w:color="auto" w:fill="auto"/>
            <w:noWrap/>
            <w:vAlign w:val="bottom"/>
            <w:hideMark/>
          </w:tcPr>
          <w:p w14:paraId="7B089152" w14:textId="77777777" w:rsidR="00EA0E77" w:rsidRPr="00A52AEE" w:rsidRDefault="00EA0E77" w:rsidP="009A2373">
            <w:pPr>
              <w:jc w:val="right"/>
              <w:rPr>
                <w:lang w:eastAsia="en-GB"/>
              </w:rPr>
            </w:pPr>
            <w:r w:rsidRPr="00A52AEE">
              <w:rPr>
                <w:lang w:eastAsia="en-GB"/>
              </w:rPr>
              <w:t>46%</w:t>
            </w:r>
          </w:p>
        </w:tc>
      </w:tr>
      <w:tr w:rsidR="00EA0E77" w:rsidRPr="00A52AEE" w14:paraId="2402532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FB76354"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96A68C7" w14:textId="6B6D9557"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12427D47"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1BCCBE40"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18AB4C3C"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7E984900"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33356F79" w14:textId="77777777" w:rsidR="00EA0E77" w:rsidRPr="00A52AEE" w:rsidRDefault="00EA0E77" w:rsidP="009A2373">
            <w:pPr>
              <w:jc w:val="right"/>
              <w:rPr>
                <w:lang w:eastAsia="en-GB"/>
              </w:rPr>
            </w:pPr>
            <w:r w:rsidRPr="00A52AEE">
              <w:rPr>
                <w:lang w:eastAsia="en-GB"/>
              </w:rPr>
              <w:t>19%</w:t>
            </w:r>
          </w:p>
        </w:tc>
      </w:tr>
      <w:tr w:rsidR="00EA0E77" w:rsidRPr="00A52AEE" w14:paraId="23F2832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83C7249"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1F904B5" w14:textId="1F221D0E"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19365159" w14:textId="77777777" w:rsidR="00EA0E77" w:rsidRPr="00A52AEE" w:rsidRDefault="00EA0E77" w:rsidP="009A2373">
            <w:pPr>
              <w:jc w:val="right"/>
              <w:rPr>
                <w:lang w:eastAsia="en-GB"/>
              </w:rPr>
            </w:pPr>
            <w:r w:rsidRPr="00A52AEE">
              <w:rPr>
                <w:lang w:eastAsia="en-GB"/>
              </w:rPr>
              <w:t>4%</w:t>
            </w:r>
          </w:p>
        </w:tc>
        <w:tc>
          <w:tcPr>
            <w:tcW w:w="516" w:type="pct"/>
            <w:tcBorders>
              <w:top w:val="nil"/>
              <w:left w:val="nil"/>
              <w:bottom w:val="single" w:sz="4" w:space="0" w:color="auto"/>
              <w:right w:val="single" w:sz="4" w:space="0" w:color="auto"/>
            </w:tcBorders>
            <w:shd w:val="clear" w:color="auto" w:fill="auto"/>
            <w:noWrap/>
            <w:vAlign w:val="bottom"/>
            <w:hideMark/>
          </w:tcPr>
          <w:p w14:paraId="53DB82A5"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272FE070"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72C20320"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17FEC5AF" w14:textId="77777777" w:rsidR="00EA0E77" w:rsidRPr="00A52AEE" w:rsidRDefault="00EA0E77" w:rsidP="009A2373">
            <w:pPr>
              <w:jc w:val="right"/>
              <w:rPr>
                <w:lang w:eastAsia="en-GB"/>
              </w:rPr>
            </w:pPr>
            <w:r w:rsidRPr="00A52AEE">
              <w:rPr>
                <w:lang w:eastAsia="en-GB"/>
              </w:rPr>
              <w:t>2%</w:t>
            </w:r>
          </w:p>
        </w:tc>
      </w:tr>
      <w:tr w:rsidR="00EA0E77" w:rsidRPr="00A52AEE" w14:paraId="021BECBA"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99E019A"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DB03EA6" w14:textId="5CE4C240"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5D6027A4"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4CDDA767"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6E6BF8AD"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3F2FF205"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2D647652" w14:textId="77777777" w:rsidR="00EA0E77" w:rsidRPr="00A52AEE" w:rsidRDefault="00EA0E77" w:rsidP="009A2373">
            <w:pPr>
              <w:jc w:val="right"/>
              <w:rPr>
                <w:lang w:eastAsia="en-GB"/>
              </w:rPr>
            </w:pPr>
            <w:r w:rsidRPr="00A52AEE">
              <w:rPr>
                <w:lang w:eastAsia="en-GB"/>
              </w:rPr>
              <w:t>5%</w:t>
            </w:r>
          </w:p>
        </w:tc>
      </w:tr>
      <w:tr w:rsidR="00EA0E77" w:rsidRPr="00A52AEE" w14:paraId="6CDB543B"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455533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86749CA" w14:textId="58F5F5F7"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0D86BA2B"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04A0CE7A"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281DE368"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1DA9D264"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6F9165B" w14:textId="77777777" w:rsidR="00EA0E77" w:rsidRPr="00A52AEE" w:rsidRDefault="00EA0E77" w:rsidP="009A2373">
            <w:pPr>
              <w:jc w:val="right"/>
              <w:rPr>
                <w:lang w:eastAsia="en-GB"/>
              </w:rPr>
            </w:pPr>
            <w:r w:rsidRPr="00A52AEE">
              <w:rPr>
                <w:lang w:eastAsia="en-GB"/>
              </w:rPr>
              <w:t>19%</w:t>
            </w:r>
          </w:p>
        </w:tc>
      </w:tr>
      <w:tr w:rsidR="00EA0E77" w:rsidRPr="00A52AEE" w14:paraId="02A56FB5"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353B5DF6" w14:textId="77777777" w:rsidR="00EA0E77" w:rsidRPr="00A52AEE" w:rsidRDefault="00EA0E77" w:rsidP="00A52AEE">
            <w:pPr>
              <w:rPr>
                <w:lang w:eastAsia="en-GB"/>
              </w:rPr>
            </w:pPr>
            <w:r w:rsidRPr="00A52AEE">
              <w:rPr>
                <w:lang w:eastAsia="en-GB"/>
              </w:rPr>
              <w:t>Other Mixed / multiple ethnic background</w:t>
            </w:r>
          </w:p>
        </w:tc>
        <w:tc>
          <w:tcPr>
            <w:tcW w:w="940" w:type="pct"/>
            <w:tcBorders>
              <w:top w:val="nil"/>
              <w:left w:val="nil"/>
              <w:bottom w:val="single" w:sz="4" w:space="0" w:color="auto"/>
              <w:right w:val="single" w:sz="4" w:space="0" w:color="auto"/>
            </w:tcBorders>
            <w:shd w:val="clear" w:color="auto" w:fill="auto"/>
            <w:noWrap/>
            <w:vAlign w:val="bottom"/>
            <w:hideMark/>
          </w:tcPr>
          <w:p w14:paraId="41906A07" w14:textId="1DD86F88"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5C406934"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2E10E7DA"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599B689D"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3A0947BF"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111235C5" w14:textId="77777777" w:rsidR="00EA0E77" w:rsidRPr="00A52AEE" w:rsidRDefault="00EA0E77" w:rsidP="009A2373">
            <w:pPr>
              <w:jc w:val="right"/>
              <w:rPr>
                <w:lang w:eastAsia="en-GB"/>
              </w:rPr>
            </w:pPr>
            <w:r w:rsidRPr="00A52AEE">
              <w:rPr>
                <w:lang w:eastAsia="en-GB"/>
              </w:rPr>
              <w:t>10%</w:t>
            </w:r>
          </w:p>
        </w:tc>
      </w:tr>
      <w:tr w:rsidR="00EA0E77" w:rsidRPr="00A52AEE" w14:paraId="2A77298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FBB1B84"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681B6999" w14:textId="6B23C2B7"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7EAF10D5" w14:textId="77777777" w:rsidR="00EA0E77" w:rsidRPr="00A52AEE" w:rsidRDefault="00EA0E77" w:rsidP="009A2373">
            <w:pPr>
              <w:jc w:val="right"/>
              <w:rPr>
                <w:lang w:eastAsia="en-GB"/>
              </w:rPr>
            </w:pPr>
            <w:r w:rsidRPr="00A52AEE">
              <w:rPr>
                <w:lang w:eastAsia="en-GB"/>
              </w:rPr>
              <w:t>26%</w:t>
            </w:r>
          </w:p>
        </w:tc>
        <w:tc>
          <w:tcPr>
            <w:tcW w:w="516" w:type="pct"/>
            <w:tcBorders>
              <w:top w:val="nil"/>
              <w:left w:val="nil"/>
              <w:bottom w:val="single" w:sz="4" w:space="0" w:color="auto"/>
              <w:right w:val="single" w:sz="4" w:space="0" w:color="auto"/>
            </w:tcBorders>
            <w:shd w:val="clear" w:color="auto" w:fill="auto"/>
            <w:noWrap/>
            <w:vAlign w:val="bottom"/>
            <w:hideMark/>
          </w:tcPr>
          <w:p w14:paraId="1D25BE0E"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4BF8F088"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28307C41" w14:textId="77777777" w:rsidR="00EA0E77" w:rsidRPr="00A52AEE" w:rsidRDefault="00EA0E77" w:rsidP="009A2373">
            <w:pPr>
              <w:jc w:val="right"/>
              <w:rPr>
                <w:lang w:eastAsia="en-GB"/>
              </w:rPr>
            </w:pPr>
            <w:r w:rsidRPr="00A52AEE">
              <w:rPr>
                <w:lang w:eastAsia="en-GB"/>
              </w:rPr>
              <w:t>37%</w:t>
            </w:r>
          </w:p>
        </w:tc>
        <w:tc>
          <w:tcPr>
            <w:tcW w:w="516" w:type="pct"/>
            <w:tcBorders>
              <w:top w:val="nil"/>
              <w:left w:val="nil"/>
              <w:bottom w:val="single" w:sz="4" w:space="0" w:color="auto"/>
              <w:right w:val="single" w:sz="4" w:space="0" w:color="auto"/>
            </w:tcBorders>
            <w:shd w:val="clear" w:color="auto" w:fill="auto"/>
            <w:noWrap/>
            <w:vAlign w:val="bottom"/>
            <w:hideMark/>
          </w:tcPr>
          <w:p w14:paraId="671BA433" w14:textId="77777777" w:rsidR="00EA0E77" w:rsidRPr="00A52AEE" w:rsidRDefault="00EA0E77" w:rsidP="009A2373">
            <w:pPr>
              <w:jc w:val="right"/>
              <w:rPr>
                <w:lang w:eastAsia="en-GB"/>
              </w:rPr>
            </w:pPr>
            <w:r w:rsidRPr="00A52AEE">
              <w:rPr>
                <w:lang w:eastAsia="en-GB"/>
              </w:rPr>
              <w:t>44%</w:t>
            </w:r>
          </w:p>
        </w:tc>
      </w:tr>
      <w:tr w:rsidR="00EA0E77" w:rsidRPr="00A52AEE" w14:paraId="35826AF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3880A9D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B012EE5" w14:textId="3C3718CE"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3770D617"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7ED21475"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5C67C01E"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1342233B" w14:textId="77777777" w:rsidR="00EA0E77" w:rsidRPr="00A52AEE" w:rsidRDefault="00EA0E77" w:rsidP="009A2373">
            <w:pPr>
              <w:jc w:val="right"/>
              <w:rPr>
                <w:lang w:eastAsia="en-GB"/>
              </w:rPr>
            </w:pPr>
            <w:r w:rsidRPr="00A52AEE">
              <w:rPr>
                <w:lang w:eastAsia="en-GB"/>
              </w:rPr>
              <w:t>28%</w:t>
            </w:r>
          </w:p>
        </w:tc>
        <w:tc>
          <w:tcPr>
            <w:tcW w:w="516" w:type="pct"/>
            <w:tcBorders>
              <w:top w:val="nil"/>
              <w:left w:val="nil"/>
              <w:bottom w:val="single" w:sz="4" w:space="0" w:color="auto"/>
              <w:right w:val="single" w:sz="4" w:space="0" w:color="auto"/>
            </w:tcBorders>
            <w:shd w:val="clear" w:color="auto" w:fill="auto"/>
            <w:noWrap/>
            <w:vAlign w:val="bottom"/>
            <w:hideMark/>
          </w:tcPr>
          <w:p w14:paraId="6B4E4A39" w14:textId="77777777" w:rsidR="00EA0E77" w:rsidRPr="00A52AEE" w:rsidRDefault="00EA0E77" w:rsidP="009A2373">
            <w:pPr>
              <w:jc w:val="right"/>
              <w:rPr>
                <w:lang w:eastAsia="en-GB"/>
              </w:rPr>
            </w:pPr>
            <w:r w:rsidRPr="00A52AEE">
              <w:rPr>
                <w:lang w:eastAsia="en-GB"/>
              </w:rPr>
              <w:t>22%</w:t>
            </w:r>
          </w:p>
        </w:tc>
      </w:tr>
      <w:tr w:rsidR="00EA0E77" w:rsidRPr="00A52AEE" w14:paraId="0697312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674E3BC0"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F573387" w14:textId="66CB3DAC"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0F60A8C6"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0A376888"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0AB1F084"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764B9E3"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1E3C33AD" w14:textId="77777777" w:rsidR="00EA0E77" w:rsidRPr="00A52AEE" w:rsidRDefault="00EA0E77" w:rsidP="009A2373">
            <w:pPr>
              <w:jc w:val="right"/>
              <w:rPr>
                <w:lang w:eastAsia="en-GB"/>
              </w:rPr>
            </w:pPr>
            <w:r w:rsidRPr="00A52AEE">
              <w:rPr>
                <w:lang w:eastAsia="en-GB"/>
              </w:rPr>
              <w:t>2%</w:t>
            </w:r>
          </w:p>
        </w:tc>
      </w:tr>
      <w:tr w:rsidR="00EA0E77" w:rsidRPr="00A52AEE" w14:paraId="534DF68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144FBE1"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E7FE3B7" w14:textId="75E2EC02"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0B4FE2CA"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12BC03E0"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51ED6D75"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1C8D0D7A" w14:textId="77777777" w:rsidR="00EA0E77" w:rsidRPr="00A52AEE" w:rsidRDefault="00EA0E77" w:rsidP="009A2373">
            <w:pPr>
              <w:jc w:val="right"/>
              <w:rPr>
                <w:lang w:eastAsia="en-GB"/>
              </w:rPr>
            </w:pPr>
            <w:r w:rsidRPr="00A52AEE">
              <w:rPr>
                <w:lang w:eastAsia="en-GB"/>
              </w:rPr>
              <w:t>8%</w:t>
            </w:r>
          </w:p>
        </w:tc>
        <w:tc>
          <w:tcPr>
            <w:tcW w:w="516" w:type="pct"/>
            <w:tcBorders>
              <w:top w:val="nil"/>
              <w:left w:val="nil"/>
              <w:bottom w:val="single" w:sz="4" w:space="0" w:color="auto"/>
              <w:right w:val="single" w:sz="4" w:space="0" w:color="auto"/>
            </w:tcBorders>
            <w:shd w:val="clear" w:color="auto" w:fill="auto"/>
            <w:noWrap/>
            <w:vAlign w:val="bottom"/>
            <w:hideMark/>
          </w:tcPr>
          <w:p w14:paraId="6A4AD157" w14:textId="77777777" w:rsidR="00EA0E77" w:rsidRPr="00A52AEE" w:rsidRDefault="00EA0E77" w:rsidP="009A2373">
            <w:pPr>
              <w:jc w:val="right"/>
              <w:rPr>
                <w:lang w:eastAsia="en-GB"/>
              </w:rPr>
            </w:pPr>
            <w:r w:rsidRPr="00A52AEE">
              <w:rPr>
                <w:lang w:eastAsia="en-GB"/>
              </w:rPr>
              <w:t>3%</w:t>
            </w:r>
          </w:p>
        </w:tc>
      </w:tr>
      <w:tr w:rsidR="00EA0E77" w:rsidRPr="00A52AEE" w14:paraId="603B506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0F6B56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39980D7" w14:textId="12CB8EC3"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72F084E7"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10279918"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5A28D4E8"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6B7CA20B" w14:textId="77777777" w:rsidR="00EA0E77" w:rsidRPr="00A52AEE" w:rsidRDefault="00EA0E77" w:rsidP="009A2373">
            <w:pPr>
              <w:jc w:val="right"/>
              <w:rPr>
                <w:lang w:eastAsia="en-GB"/>
              </w:rPr>
            </w:pPr>
            <w:r w:rsidRPr="00A52AEE">
              <w:rPr>
                <w:lang w:eastAsia="en-GB"/>
              </w:rPr>
              <w:t>12%</w:t>
            </w:r>
          </w:p>
        </w:tc>
        <w:tc>
          <w:tcPr>
            <w:tcW w:w="516" w:type="pct"/>
            <w:tcBorders>
              <w:top w:val="nil"/>
              <w:left w:val="nil"/>
              <w:bottom w:val="single" w:sz="4" w:space="0" w:color="auto"/>
              <w:right w:val="single" w:sz="4" w:space="0" w:color="auto"/>
            </w:tcBorders>
            <w:shd w:val="clear" w:color="auto" w:fill="auto"/>
            <w:noWrap/>
            <w:vAlign w:val="bottom"/>
            <w:hideMark/>
          </w:tcPr>
          <w:p w14:paraId="27617111" w14:textId="77777777" w:rsidR="00EA0E77" w:rsidRPr="00A52AEE" w:rsidRDefault="00EA0E77" w:rsidP="009A2373">
            <w:pPr>
              <w:jc w:val="right"/>
              <w:rPr>
                <w:lang w:eastAsia="en-GB"/>
              </w:rPr>
            </w:pPr>
            <w:r w:rsidRPr="00A52AEE">
              <w:rPr>
                <w:lang w:eastAsia="en-GB"/>
              </w:rPr>
              <w:t>18%</w:t>
            </w:r>
          </w:p>
        </w:tc>
      </w:tr>
      <w:tr w:rsidR="00EA0E77" w:rsidRPr="00A52AEE" w14:paraId="1D36C358"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5E882DDF" w14:textId="77777777" w:rsidR="00EA0E77" w:rsidRPr="00A52AEE" w:rsidRDefault="00EA0E77" w:rsidP="00A52AEE">
            <w:pPr>
              <w:rPr>
                <w:lang w:eastAsia="en-GB"/>
              </w:rPr>
            </w:pPr>
            <w:r w:rsidRPr="00A52AEE">
              <w:rPr>
                <w:lang w:eastAsia="en-GB"/>
              </w:rPr>
              <w:t>White - any other White background</w:t>
            </w:r>
          </w:p>
        </w:tc>
        <w:tc>
          <w:tcPr>
            <w:tcW w:w="940" w:type="pct"/>
            <w:tcBorders>
              <w:top w:val="nil"/>
              <w:left w:val="nil"/>
              <w:bottom w:val="single" w:sz="4" w:space="0" w:color="auto"/>
              <w:right w:val="single" w:sz="4" w:space="0" w:color="auto"/>
            </w:tcBorders>
            <w:shd w:val="clear" w:color="auto" w:fill="auto"/>
            <w:noWrap/>
            <w:vAlign w:val="bottom"/>
            <w:hideMark/>
          </w:tcPr>
          <w:p w14:paraId="2954B588" w14:textId="2E51CB9B"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31C4DD00"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685F247C"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2507A0EF" w14:textId="77777777" w:rsidR="00EA0E77" w:rsidRPr="00A52AEE" w:rsidRDefault="00EA0E77" w:rsidP="009A2373">
            <w:pPr>
              <w:jc w:val="right"/>
              <w:rPr>
                <w:lang w:eastAsia="en-GB"/>
              </w:rPr>
            </w:pPr>
            <w:r w:rsidRPr="00A52AEE">
              <w:rPr>
                <w:lang w:eastAsia="en-GB"/>
              </w:rPr>
              <w:t>11%</w:t>
            </w:r>
          </w:p>
        </w:tc>
        <w:tc>
          <w:tcPr>
            <w:tcW w:w="516" w:type="pct"/>
            <w:tcBorders>
              <w:top w:val="nil"/>
              <w:left w:val="nil"/>
              <w:bottom w:val="single" w:sz="4" w:space="0" w:color="auto"/>
              <w:right w:val="single" w:sz="4" w:space="0" w:color="auto"/>
            </w:tcBorders>
            <w:shd w:val="clear" w:color="auto" w:fill="auto"/>
            <w:noWrap/>
            <w:vAlign w:val="bottom"/>
            <w:hideMark/>
          </w:tcPr>
          <w:p w14:paraId="30B5BC47" w14:textId="77777777" w:rsidR="00EA0E77" w:rsidRPr="00A52AEE" w:rsidRDefault="00EA0E77" w:rsidP="009A2373">
            <w:pPr>
              <w:jc w:val="right"/>
              <w:rPr>
                <w:lang w:eastAsia="en-GB"/>
              </w:rPr>
            </w:pPr>
            <w:r w:rsidRPr="00A52AEE">
              <w:rPr>
                <w:lang w:eastAsia="en-GB"/>
              </w:rPr>
              <w:t>10%</w:t>
            </w:r>
          </w:p>
        </w:tc>
        <w:tc>
          <w:tcPr>
            <w:tcW w:w="516" w:type="pct"/>
            <w:tcBorders>
              <w:top w:val="nil"/>
              <w:left w:val="nil"/>
              <w:bottom w:val="single" w:sz="4" w:space="0" w:color="auto"/>
              <w:right w:val="single" w:sz="4" w:space="0" w:color="auto"/>
            </w:tcBorders>
            <w:shd w:val="clear" w:color="auto" w:fill="auto"/>
            <w:noWrap/>
            <w:vAlign w:val="bottom"/>
            <w:hideMark/>
          </w:tcPr>
          <w:p w14:paraId="4704C643" w14:textId="77777777" w:rsidR="00EA0E77" w:rsidRPr="00A52AEE" w:rsidRDefault="00EA0E77" w:rsidP="009A2373">
            <w:pPr>
              <w:jc w:val="right"/>
              <w:rPr>
                <w:lang w:eastAsia="en-GB"/>
              </w:rPr>
            </w:pPr>
            <w:r w:rsidRPr="00A52AEE">
              <w:rPr>
                <w:lang w:eastAsia="en-GB"/>
              </w:rPr>
              <w:t>9%</w:t>
            </w:r>
          </w:p>
        </w:tc>
      </w:tr>
      <w:tr w:rsidR="00EA0E77" w:rsidRPr="00A52AEE" w14:paraId="5B00076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8F0D9F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AE7A2A4" w14:textId="08BE84A9"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13573E5B"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4FFD532"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35A2921E" w14:textId="77777777" w:rsidR="00EA0E77" w:rsidRPr="00A52AEE" w:rsidRDefault="00EA0E77" w:rsidP="009A2373">
            <w:pPr>
              <w:jc w:val="right"/>
              <w:rPr>
                <w:lang w:eastAsia="en-GB"/>
              </w:rPr>
            </w:pPr>
            <w:r w:rsidRPr="00A52AEE">
              <w:rPr>
                <w:lang w:eastAsia="en-GB"/>
              </w:rPr>
              <w:t>23%</w:t>
            </w:r>
          </w:p>
        </w:tc>
        <w:tc>
          <w:tcPr>
            <w:tcW w:w="516" w:type="pct"/>
            <w:tcBorders>
              <w:top w:val="nil"/>
              <w:left w:val="nil"/>
              <w:bottom w:val="single" w:sz="4" w:space="0" w:color="auto"/>
              <w:right w:val="single" w:sz="4" w:space="0" w:color="auto"/>
            </w:tcBorders>
            <w:shd w:val="clear" w:color="auto" w:fill="auto"/>
            <w:noWrap/>
            <w:vAlign w:val="bottom"/>
            <w:hideMark/>
          </w:tcPr>
          <w:p w14:paraId="38CC5028" w14:textId="77777777" w:rsidR="00EA0E77" w:rsidRPr="00A52AEE" w:rsidRDefault="00EA0E77" w:rsidP="009A2373">
            <w:pPr>
              <w:jc w:val="right"/>
              <w:rPr>
                <w:lang w:eastAsia="en-GB"/>
              </w:rPr>
            </w:pPr>
            <w:r w:rsidRPr="00A52AEE">
              <w:rPr>
                <w:lang w:eastAsia="en-GB"/>
              </w:rPr>
              <w:t>36%</w:t>
            </w:r>
          </w:p>
        </w:tc>
        <w:tc>
          <w:tcPr>
            <w:tcW w:w="516" w:type="pct"/>
            <w:tcBorders>
              <w:top w:val="nil"/>
              <w:left w:val="nil"/>
              <w:bottom w:val="single" w:sz="4" w:space="0" w:color="auto"/>
              <w:right w:val="single" w:sz="4" w:space="0" w:color="auto"/>
            </w:tcBorders>
            <w:shd w:val="clear" w:color="auto" w:fill="auto"/>
            <w:noWrap/>
            <w:vAlign w:val="bottom"/>
            <w:hideMark/>
          </w:tcPr>
          <w:p w14:paraId="112BDE68" w14:textId="77777777" w:rsidR="00EA0E77" w:rsidRPr="00A52AEE" w:rsidRDefault="00EA0E77" w:rsidP="009A2373">
            <w:pPr>
              <w:jc w:val="right"/>
              <w:rPr>
                <w:lang w:eastAsia="en-GB"/>
              </w:rPr>
            </w:pPr>
            <w:r w:rsidRPr="00A52AEE">
              <w:rPr>
                <w:lang w:eastAsia="en-GB"/>
              </w:rPr>
              <w:t>40%</w:t>
            </w:r>
          </w:p>
        </w:tc>
      </w:tr>
      <w:tr w:rsidR="00EA0E77" w:rsidRPr="00A52AEE" w14:paraId="4206B676"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B281F02"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D3A527D" w14:textId="1ECF2478"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017B592F" w14:textId="77777777" w:rsidR="00EA0E77" w:rsidRPr="00A52AEE" w:rsidRDefault="00EA0E77" w:rsidP="009A2373">
            <w:pPr>
              <w:jc w:val="right"/>
              <w:rPr>
                <w:lang w:eastAsia="en-GB"/>
              </w:rPr>
            </w:pPr>
            <w:r w:rsidRPr="00A52AEE">
              <w:rPr>
                <w:lang w:eastAsia="en-GB"/>
              </w:rPr>
              <w:t>13%</w:t>
            </w:r>
          </w:p>
        </w:tc>
        <w:tc>
          <w:tcPr>
            <w:tcW w:w="516" w:type="pct"/>
            <w:tcBorders>
              <w:top w:val="nil"/>
              <w:left w:val="nil"/>
              <w:bottom w:val="single" w:sz="4" w:space="0" w:color="auto"/>
              <w:right w:val="single" w:sz="4" w:space="0" w:color="auto"/>
            </w:tcBorders>
            <w:shd w:val="clear" w:color="auto" w:fill="auto"/>
            <w:noWrap/>
            <w:vAlign w:val="bottom"/>
            <w:hideMark/>
          </w:tcPr>
          <w:p w14:paraId="74191665"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017D14FC"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369AC2F7" w14:textId="77777777" w:rsidR="00EA0E77" w:rsidRPr="00A52AEE" w:rsidRDefault="00EA0E77" w:rsidP="009A2373">
            <w:pPr>
              <w:jc w:val="right"/>
              <w:rPr>
                <w:lang w:eastAsia="en-GB"/>
              </w:rPr>
            </w:pPr>
            <w:r w:rsidRPr="00A52AEE">
              <w:rPr>
                <w:lang w:eastAsia="en-GB"/>
              </w:rPr>
              <w:t>15%</w:t>
            </w:r>
          </w:p>
        </w:tc>
        <w:tc>
          <w:tcPr>
            <w:tcW w:w="516" w:type="pct"/>
            <w:tcBorders>
              <w:top w:val="nil"/>
              <w:left w:val="nil"/>
              <w:bottom w:val="single" w:sz="4" w:space="0" w:color="auto"/>
              <w:right w:val="single" w:sz="4" w:space="0" w:color="auto"/>
            </w:tcBorders>
            <w:shd w:val="clear" w:color="auto" w:fill="auto"/>
            <w:noWrap/>
            <w:vAlign w:val="bottom"/>
            <w:hideMark/>
          </w:tcPr>
          <w:p w14:paraId="6A365924" w14:textId="77777777" w:rsidR="00EA0E77" w:rsidRPr="00A52AEE" w:rsidRDefault="00EA0E77" w:rsidP="009A2373">
            <w:pPr>
              <w:jc w:val="right"/>
              <w:rPr>
                <w:lang w:eastAsia="en-GB"/>
              </w:rPr>
            </w:pPr>
            <w:r w:rsidRPr="00A52AEE">
              <w:rPr>
                <w:lang w:eastAsia="en-GB"/>
              </w:rPr>
              <w:t>14%</w:t>
            </w:r>
          </w:p>
        </w:tc>
      </w:tr>
      <w:tr w:rsidR="00EA0E77" w:rsidRPr="00A52AEE" w14:paraId="41F8E404"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1692946D"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054DEFC" w14:textId="79F8B5C0"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22FB24AB"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17BA73AA"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6F3F56E"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81B7166"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0FDA3A3D" w14:textId="77777777" w:rsidR="00EA0E77" w:rsidRPr="00A52AEE" w:rsidRDefault="00EA0E77" w:rsidP="009A2373">
            <w:pPr>
              <w:jc w:val="right"/>
              <w:rPr>
                <w:lang w:eastAsia="en-GB"/>
              </w:rPr>
            </w:pPr>
            <w:r w:rsidRPr="00A52AEE">
              <w:rPr>
                <w:lang w:eastAsia="en-GB"/>
              </w:rPr>
              <w:t>2%</w:t>
            </w:r>
          </w:p>
        </w:tc>
      </w:tr>
      <w:tr w:rsidR="00EA0E77" w:rsidRPr="00A52AEE" w14:paraId="327152FE"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04504D9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17BD4F0F" w14:textId="48979F10"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548EA493"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7F4C8918"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36345AED"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1190FDA8"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025FDB6B" w14:textId="77777777" w:rsidR="00EA0E77" w:rsidRPr="00A52AEE" w:rsidRDefault="00EA0E77" w:rsidP="009A2373">
            <w:pPr>
              <w:jc w:val="right"/>
              <w:rPr>
                <w:lang w:eastAsia="en-GB"/>
              </w:rPr>
            </w:pPr>
            <w:r w:rsidRPr="00A52AEE">
              <w:rPr>
                <w:lang w:eastAsia="en-GB"/>
              </w:rPr>
              <w:t>8%</w:t>
            </w:r>
          </w:p>
        </w:tc>
      </w:tr>
      <w:tr w:rsidR="00EA0E77" w:rsidRPr="00A52AEE" w14:paraId="10A265C5"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08999D1"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9DEB29A" w14:textId="45DC1ED8"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6F76A951" w14:textId="77777777" w:rsidR="00EA0E77" w:rsidRPr="00A52AEE" w:rsidRDefault="00EA0E77" w:rsidP="009A2373">
            <w:pPr>
              <w:jc w:val="right"/>
              <w:rPr>
                <w:lang w:eastAsia="en-GB"/>
              </w:rPr>
            </w:pPr>
            <w:r w:rsidRPr="00A52AEE">
              <w:rPr>
                <w:lang w:eastAsia="en-GB"/>
              </w:rPr>
              <w:t>40%</w:t>
            </w:r>
          </w:p>
        </w:tc>
        <w:tc>
          <w:tcPr>
            <w:tcW w:w="516" w:type="pct"/>
            <w:tcBorders>
              <w:top w:val="nil"/>
              <w:left w:val="nil"/>
              <w:bottom w:val="single" w:sz="4" w:space="0" w:color="auto"/>
              <w:right w:val="single" w:sz="4" w:space="0" w:color="auto"/>
            </w:tcBorders>
            <w:shd w:val="clear" w:color="auto" w:fill="auto"/>
            <w:noWrap/>
            <w:vAlign w:val="bottom"/>
            <w:hideMark/>
          </w:tcPr>
          <w:p w14:paraId="364A6D81" w14:textId="77777777" w:rsidR="00EA0E77" w:rsidRPr="00A52AEE" w:rsidRDefault="00EA0E77" w:rsidP="009A2373">
            <w:pPr>
              <w:jc w:val="right"/>
              <w:rPr>
                <w:lang w:eastAsia="en-GB"/>
              </w:rPr>
            </w:pPr>
            <w:r w:rsidRPr="00A52AEE">
              <w:rPr>
                <w:lang w:eastAsia="en-GB"/>
              </w:rPr>
              <w:t>31%</w:t>
            </w:r>
          </w:p>
        </w:tc>
        <w:tc>
          <w:tcPr>
            <w:tcW w:w="516" w:type="pct"/>
            <w:tcBorders>
              <w:top w:val="nil"/>
              <w:left w:val="nil"/>
              <w:bottom w:val="single" w:sz="4" w:space="0" w:color="auto"/>
              <w:right w:val="single" w:sz="4" w:space="0" w:color="auto"/>
            </w:tcBorders>
            <w:shd w:val="clear" w:color="auto" w:fill="auto"/>
            <w:noWrap/>
            <w:vAlign w:val="bottom"/>
            <w:hideMark/>
          </w:tcPr>
          <w:p w14:paraId="6057C90D" w14:textId="77777777" w:rsidR="00EA0E77" w:rsidRPr="00A52AEE" w:rsidRDefault="00EA0E77" w:rsidP="009A2373">
            <w:pPr>
              <w:jc w:val="right"/>
              <w:rPr>
                <w:lang w:eastAsia="en-GB"/>
              </w:rPr>
            </w:pPr>
            <w:r w:rsidRPr="00A52AEE">
              <w:rPr>
                <w:lang w:eastAsia="en-GB"/>
              </w:rPr>
              <w:t>25%</w:t>
            </w:r>
          </w:p>
        </w:tc>
        <w:tc>
          <w:tcPr>
            <w:tcW w:w="516" w:type="pct"/>
            <w:tcBorders>
              <w:top w:val="nil"/>
              <w:left w:val="nil"/>
              <w:bottom w:val="single" w:sz="4" w:space="0" w:color="auto"/>
              <w:right w:val="single" w:sz="4" w:space="0" w:color="auto"/>
            </w:tcBorders>
            <w:shd w:val="clear" w:color="auto" w:fill="auto"/>
            <w:noWrap/>
            <w:vAlign w:val="bottom"/>
            <w:hideMark/>
          </w:tcPr>
          <w:p w14:paraId="22C8D3BD"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0D6FAF3D" w14:textId="77777777" w:rsidR="00EA0E77" w:rsidRPr="00A52AEE" w:rsidRDefault="00EA0E77" w:rsidP="009A2373">
            <w:pPr>
              <w:jc w:val="right"/>
              <w:rPr>
                <w:lang w:eastAsia="en-GB"/>
              </w:rPr>
            </w:pPr>
            <w:r w:rsidRPr="00A52AEE">
              <w:rPr>
                <w:lang w:eastAsia="en-GB"/>
              </w:rPr>
              <w:t>27%</w:t>
            </w:r>
          </w:p>
        </w:tc>
      </w:tr>
      <w:tr w:rsidR="00EA0E77" w:rsidRPr="00A52AEE" w14:paraId="0E3E0415" w14:textId="77777777" w:rsidTr="00EA0E77">
        <w:trPr>
          <w:trHeight w:val="240"/>
        </w:trPr>
        <w:tc>
          <w:tcPr>
            <w:tcW w:w="1482" w:type="pct"/>
            <w:vMerge w:val="restart"/>
            <w:tcBorders>
              <w:top w:val="nil"/>
              <w:left w:val="single" w:sz="4" w:space="0" w:color="auto"/>
              <w:bottom w:val="single" w:sz="4" w:space="0" w:color="000000"/>
              <w:right w:val="single" w:sz="4" w:space="0" w:color="auto"/>
            </w:tcBorders>
            <w:shd w:val="clear" w:color="auto" w:fill="auto"/>
            <w:vAlign w:val="center"/>
            <w:hideMark/>
          </w:tcPr>
          <w:p w14:paraId="4126E94B" w14:textId="77777777" w:rsidR="00EA0E77" w:rsidRPr="00A52AEE" w:rsidRDefault="00EA0E77" w:rsidP="00A52AEE">
            <w:pPr>
              <w:rPr>
                <w:color w:val="000000"/>
                <w:lang w:eastAsia="en-GB"/>
              </w:rPr>
            </w:pPr>
            <w:r w:rsidRPr="00A52AEE">
              <w:rPr>
                <w:lang w:eastAsia="en-GB"/>
              </w:rPr>
              <w:t>White –British</w:t>
            </w:r>
          </w:p>
        </w:tc>
        <w:tc>
          <w:tcPr>
            <w:tcW w:w="940" w:type="pct"/>
            <w:tcBorders>
              <w:top w:val="nil"/>
              <w:left w:val="nil"/>
              <w:bottom w:val="single" w:sz="4" w:space="0" w:color="auto"/>
              <w:right w:val="single" w:sz="4" w:space="0" w:color="auto"/>
            </w:tcBorders>
            <w:shd w:val="clear" w:color="auto" w:fill="auto"/>
            <w:noWrap/>
            <w:vAlign w:val="bottom"/>
            <w:hideMark/>
          </w:tcPr>
          <w:p w14:paraId="0CD0BAF7" w14:textId="6FD80278" w:rsidR="00EA0E77" w:rsidRPr="00A52AEE" w:rsidRDefault="00EA0E77" w:rsidP="00A52AEE">
            <w:pPr>
              <w:rPr>
                <w:lang w:eastAsia="en-GB"/>
              </w:rPr>
            </w:pPr>
            <w:r w:rsidRPr="00A52AEE">
              <w:rPr>
                <w:lang w:eastAsia="en-GB"/>
              </w:rPr>
              <w:t>Access</w:t>
            </w:r>
          </w:p>
        </w:tc>
        <w:tc>
          <w:tcPr>
            <w:tcW w:w="516" w:type="pct"/>
            <w:tcBorders>
              <w:top w:val="nil"/>
              <w:left w:val="nil"/>
              <w:bottom w:val="single" w:sz="4" w:space="0" w:color="auto"/>
              <w:right w:val="single" w:sz="4" w:space="0" w:color="auto"/>
            </w:tcBorders>
            <w:shd w:val="clear" w:color="auto" w:fill="auto"/>
            <w:noWrap/>
            <w:vAlign w:val="bottom"/>
            <w:hideMark/>
          </w:tcPr>
          <w:p w14:paraId="3EA14B9B" w14:textId="77777777" w:rsidR="00EA0E77" w:rsidRPr="00A52AEE" w:rsidRDefault="00EA0E77" w:rsidP="009A2373">
            <w:pPr>
              <w:jc w:val="right"/>
              <w:rPr>
                <w:lang w:eastAsia="en-GB"/>
              </w:rPr>
            </w:pPr>
            <w:r w:rsidRPr="00A52AEE">
              <w:rPr>
                <w:lang w:eastAsia="en-GB"/>
              </w:rPr>
              <w:t>6%</w:t>
            </w:r>
          </w:p>
        </w:tc>
        <w:tc>
          <w:tcPr>
            <w:tcW w:w="516" w:type="pct"/>
            <w:tcBorders>
              <w:top w:val="nil"/>
              <w:left w:val="nil"/>
              <w:bottom w:val="single" w:sz="4" w:space="0" w:color="auto"/>
              <w:right w:val="single" w:sz="4" w:space="0" w:color="auto"/>
            </w:tcBorders>
            <w:shd w:val="clear" w:color="auto" w:fill="auto"/>
            <w:noWrap/>
            <w:vAlign w:val="bottom"/>
            <w:hideMark/>
          </w:tcPr>
          <w:p w14:paraId="4CDE43C9" w14:textId="77777777" w:rsidR="00EA0E77" w:rsidRPr="00A52AEE" w:rsidRDefault="00EA0E77" w:rsidP="009A2373">
            <w:pPr>
              <w:jc w:val="right"/>
              <w:rPr>
                <w:lang w:eastAsia="en-GB"/>
              </w:rPr>
            </w:pPr>
            <w:r w:rsidRPr="00A52AEE">
              <w:rPr>
                <w:lang w:eastAsia="en-GB"/>
              </w:rPr>
              <w:t>7%</w:t>
            </w:r>
          </w:p>
        </w:tc>
        <w:tc>
          <w:tcPr>
            <w:tcW w:w="516" w:type="pct"/>
            <w:tcBorders>
              <w:top w:val="nil"/>
              <w:left w:val="nil"/>
              <w:bottom w:val="single" w:sz="4" w:space="0" w:color="auto"/>
              <w:right w:val="single" w:sz="4" w:space="0" w:color="auto"/>
            </w:tcBorders>
            <w:shd w:val="clear" w:color="auto" w:fill="auto"/>
            <w:noWrap/>
            <w:vAlign w:val="bottom"/>
            <w:hideMark/>
          </w:tcPr>
          <w:p w14:paraId="05DB64FE"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4CBE1820" w14:textId="77777777" w:rsidR="00EA0E77" w:rsidRPr="00A52AEE" w:rsidRDefault="00EA0E77" w:rsidP="009A2373">
            <w:pPr>
              <w:jc w:val="right"/>
              <w:rPr>
                <w:lang w:eastAsia="en-GB"/>
              </w:rPr>
            </w:pPr>
            <w:r w:rsidRPr="00A52AEE">
              <w:rPr>
                <w:lang w:eastAsia="en-GB"/>
              </w:rPr>
              <w:t>9%</w:t>
            </w:r>
          </w:p>
        </w:tc>
        <w:tc>
          <w:tcPr>
            <w:tcW w:w="516" w:type="pct"/>
            <w:tcBorders>
              <w:top w:val="nil"/>
              <w:left w:val="nil"/>
              <w:bottom w:val="single" w:sz="4" w:space="0" w:color="auto"/>
              <w:right w:val="single" w:sz="4" w:space="0" w:color="auto"/>
            </w:tcBorders>
            <w:shd w:val="clear" w:color="auto" w:fill="auto"/>
            <w:noWrap/>
            <w:vAlign w:val="bottom"/>
            <w:hideMark/>
          </w:tcPr>
          <w:p w14:paraId="33B051C7" w14:textId="77777777" w:rsidR="00EA0E77" w:rsidRPr="00A52AEE" w:rsidRDefault="00EA0E77" w:rsidP="009A2373">
            <w:pPr>
              <w:jc w:val="right"/>
              <w:rPr>
                <w:lang w:eastAsia="en-GB"/>
              </w:rPr>
            </w:pPr>
            <w:r w:rsidRPr="00A52AEE">
              <w:rPr>
                <w:lang w:eastAsia="en-GB"/>
              </w:rPr>
              <w:t>7%</w:t>
            </w:r>
          </w:p>
        </w:tc>
      </w:tr>
      <w:tr w:rsidR="00EA0E77" w:rsidRPr="00A52AEE" w14:paraId="6527059E"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7C2F435C"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3C38274B" w14:textId="575D5DDF" w:rsidR="00EA0E77" w:rsidRPr="00A52AEE" w:rsidRDefault="00EA0E77" w:rsidP="00A52AEE">
            <w:pPr>
              <w:rPr>
                <w:lang w:eastAsia="en-GB"/>
              </w:rPr>
            </w:pPr>
            <w:r w:rsidRPr="00A52AEE">
              <w:rPr>
                <w:lang w:eastAsia="en-GB"/>
              </w:rPr>
              <w:t xml:space="preserve">BTEC   </w:t>
            </w:r>
          </w:p>
        </w:tc>
        <w:tc>
          <w:tcPr>
            <w:tcW w:w="516" w:type="pct"/>
            <w:tcBorders>
              <w:top w:val="nil"/>
              <w:left w:val="nil"/>
              <w:bottom w:val="single" w:sz="4" w:space="0" w:color="auto"/>
              <w:right w:val="single" w:sz="4" w:space="0" w:color="auto"/>
            </w:tcBorders>
            <w:shd w:val="clear" w:color="auto" w:fill="auto"/>
            <w:noWrap/>
            <w:vAlign w:val="bottom"/>
            <w:hideMark/>
          </w:tcPr>
          <w:p w14:paraId="51484049"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5BD71AC4" w14:textId="77777777" w:rsidR="00EA0E77" w:rsidRPr="00A52AEE" w:rsidRDefault="00EA0E77" w:rsidP="009A2373">
            <w:pPr>
              <w:jc w:val="right"/>
              <w:rPr>
                <w:lang w:eastAsia="en-GB"/>
              </w:rPr>
            </w:pPr>
            <w:r w:rsidRPr="00A52AEE">
              <w:rPr>
                <w:lang w:eastAsia="en-GB"/>
              </w:rPr>
              <w:t>19%</w:t>
            </w:r>
          </w:p>
        </w:tc>
        <w:tc>
          <w:tcPr>
            <w:tcW w:w="516" w:type="pct"/>
            <w:tcBorders>
              <w:top w:val="nil"/>
              <w:left w:val="nil"/>
              <w:bottom w:val="single" w:sz="4" w:space="0" w:color="auto"/>
              <w:right w:val="single" w:sz="4" w:space="0" w:color="auto"/>
            </w:tcBorders>
            <w:shd w:val="clear" w:color="auto" w:fill="auto"/>
            <w:noWrap/>
            <w:vAlign w:val="bottom"/>
            <w:hideMark/>
          </w:tcPr>
          <w:p w14:paraId="662AC0C5" w14:textId="77777777" w:rsidR="00EA0E77" w:rsidRPr="00A52AEE" w:rsidRDefault="00EA0E77" w:rsidP="009A2373">
            <w:pPr>
              <w:jc w:val="right"/>
              <w:rPr>
                <w:lang w:eastAsia="en-GB"/>
              </w:rPr>
            </w:pPr>
            <w:r w:rsidRPr="00A52AEE">
              <w:rPr>
                <w:lang w:eastAsia="en-GB"/>
              </w:rPr>
              <w:t>22%</w:t>
            </w:r>
          </w:p>
        </w:tc>
        <w:tc>
          <w:tcPr>
            <w:tcW w:w="516" w:type="pct"/>
            <w:tcBorders>
              <w:top w:val="nil"/>
              <w:left w:val="nil"/>
              <w:bottom w:val="single" w:sz="4" w:space="0" w:color="auto"/>
              <w:right w:val="single" w:sz="4" w:space="0" w:color="auto"/>
            </w:tcBorders>
            <w:shd w:val="clear" w:color="auto" w:fill="auto"/>
            <w:noWrap/>
            <w:vAlign w:val="bottom"/>
            <w:hideMark/>
          </w:tcPr>
          <w:p w14:paraId="1132312B" w14:textId="77777777" w:rsidR="00EA0E77" w:rsidRPr="00A52AEE" w:rsidRDefault="00EA0E77" w:rsidP="009A2373">
            <w:pPr>
              <w:jc w:val="right"/>
              <w:rPr>
                <w:lang w:eastAsia="en-GB"/>
              </w:rPr>
            </w:pPr>
            <w:r w:rsidRPr="00A52AEE">
              <w:rPr>
                <w:lang w:eastAsia="en-GB"/>
              </w:rPr>
              <w:t>29%</w:t>
            </w:r>
          </w:p>
        </w:tc>
        <w:tc>
          <w:tcPr>
            <w:tcW w:w="516" w:type="pct"/>
            <w:tcBorders>
              <w:top w:val="nil"/>
              <w:left w:val="nil"/>
              <w:bottom w:val="single" w:sz="4" w:space="0" w:color="auto"/>
              <w:right w:val="single" w:sz="4" w:space="0" w:color="auto"/>
            </w:tcBorders>
            <w:shd w:val="clear" w:color="auto" w:fill="auto"/>
            <w:noWrap/>
            <w:vAlign w:val="bottom"/>
            <w:hideMark/>
          </w:tcPr>
          <w:p w14:paraId="4D94EBCD" w14:textId="77777777" w:rsidR="00EA0E77" w:rsidRPr="00A52AEE" w:rsidRDefault="00EA0E77" w:rsidP="009A2373">
            <w:pPr>
              <w:jc w:val="right"/>
              <w:rPr>
                <w:lang w:eastAsia="en-GB"/>
              </w:rPr>
            </w:pPr>
            <w:r w:rsidRPr="00A52AEE">
              <w:rPr>
                <w:lang w:eastAsia="en-GB"/>
              </w:rPr>
              <w:t>38%</w:t>
            </w:r>
          </w:p>
        </w:tc>
      </w:tr>
      <w:tr w:rsidR="00EA0E77" w:rsidRPr="00A52AEE" w14:paraId="464B4AF3"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250F58B0"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58CA2D0E" w14:textId="442A7D6D" w:rsidR="00EA0E77" w:rsidRPr="00A52AEE" w:rsidRDefault="00EA0E77" w:rsidP="00A52AEE">
            <w:pPr>
              <w:rPr>
                <w:lang w:eastAsia="en-GB"/>
              </w:rPr>
            </w:pPr>
            <w:r w:rsidRPr="00A52AEE">
              <w:rPr>
                <w:lang w:eastAsia="en-GB"/>
              </w:rPr>
              <w:t>GCE A2 Level/IB</w:t>
            </w:r>
          </w:p>
        </w:tc>
        <w:tc>
          <w:tcPr>
            <w:tcW w:w="516" w:type="pct"/>
            <w:tcBorders>
              <w:top w:val="nil"/>
              <w:left w:val="nil"/>
              <w:bottom w:val="single" w:sz="4" w:space="0" w:color="auto"/>
              <w:right w:val="single" w:sz="4" w:space="0" w:color="auto"/>
            </w:tcBorders>
            <w:shd w:val="clear" w:color="auto" w:fill="auto"/>
            <w:noWrap/>
            <w:vAlign w:val="bottom"/>
            <w:hideMark/>
          </w:tcPr>
          <w:p w14:paraId="5F2F591C"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367A7E02"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1440EFB7" w14:textId="77777777" w:rsidR="00EA0E77" w:rsidRPr="00A52AEE" w:rsidRDefault="00EA0E77" w:rsidP="009A2373">
            <w:pPr>
              <w:jc w:val="right"/>
              <w:rPr>
                <w:lang w:eastAsia="en-GB"/>
              </w:rPr>
            </w:pPr>
            <w:r w:rsidRPr="00A52AEE">
              <w:rPr>
                <w:lang w:eastAsia="en-GB"/>
              </w:rPr>
              <w:t>16%</w:t>
            </w:r>
          </w:p>
        </w:tc>
        <w:tc>
          <w:tcPr>
            <w:tcW w:w="516" w:type="pct"/>
            <w:tcBorders>
              <w:top w:val="nil"/>
              <w:left w:val="nil"/>
              <w:bottom w:val="single" w:sz="4" w:space="0" w:color="auto"/>
              <w:right w:val="single" w:sz="4" w:space="0" w:color="auto"/>
            </w:tcBorders>
            <w:shd w:val="clear" w:color="auto" w:fill="auto"/>
            <w:noWrap/>
            <w:vAlign w:val="bottom"/>
            <w:hideMark/>
          </w:tcPr>
          <w:p w14:paraId="1A3902EB" w14:textId="77777777" w:rsidR="00EA0E77" w:rsidRPr="00A52AEE" w:rsidRDefault="00EA0E77" w:rsidP="009A2373">
            <w:pPr>
              <w:jc w:val="right"/>
              <w:rPr>
                <w:lang w:eastAsia="en-GB"/>
              </w:rPr>
            </w:pPr>
            <w:r w:rsidRPr="00A52AEE">
              <w:rPr>
                <w:lang w:eastAsia="en-GB"/>
              </w:rPr>
              <w:t>17%</w:t>
            </w:r>
          </w:p>
        </w:tc>
        <w:tc>
          <w:tcPr>
            <w:tcW w:w="516" w:type="pct"/>
            <w:tcBorders>
              <w:top w:val="nil"/>
              <w:left w:val="nil"/>
              <w:bottom w:val="single" w:sz="4" w:space="0" w:color="auto"/>
              <w:right w:val="single" w:sz="4" w:space="0" w:color="auto"/>
            </w:tcBorders>
            <w:shd w:val="clear" w:color="auto" w:fill="auto"/>
            <w:noWrap/>
            <w:vAlign w:val="bottom"/>
            <w:hideMark/>
          </w:tcPr>
          <w:p w14:paraId="1831B722" w14:textId="77777777" w:rsidR="00EA0E77" w:rsidRPr="00A52AEE" w:rsidRDefault="00EA0E77" w:rsidP="009A2373">
            <w:pPr>
              <w:jc w:val="right"/>
              <w:rPr>
                <w:lang w:eastAsia="en-GB"/>
              </w:rPr>
            </w:pPr>
            <w:r w:rsidRPr="00A52AEE">
              <w:rPr>
                <w:lang w:eastAsia="en-GB"/>
              </w:rPr>
              <w:t>16%</w:t>
            </w:r>
          </w:p>
        </w:tc>
      </w:tr>
      <w:tr w:rsidR="00EA0E77" w:rsidRPr="00A52AEE" w14:paraId="2ECE8EA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1871D93"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47866D50" w14:textId="18695D10" w:rsidR="00EA0E77" w:rsidRPr="00A52AEE" w:rsidRDefault="00EA0E77" w:rsidP="00A52AEE">
            <w:pPr>
              <w:rPr>
                <w:lang w:eastAsia="en-GB"/>
              </w:rPr>
            </w:pPr>
            <w:r w:rsidRPr="00A52AEE">
              <w:rPr>
                <w:lang w:eastAsia="en-GB"/>
              </w:rPr>
              <w:t xml:space="preserve">GCE </w:t>
            </w:r>
            <w:r w:rsidR="000D7228">
              <w:rPr>
                <w:lang w:eastAsia="en-GB"/>
              </w:rPr>
              <w:t>AS</w:t>
            </w:r>
            <w:r w:rsidRPr="00A52AEE">
              <w:rPr>
                <w:lang w:eastAsia="en-GB"/>
              </w:rPr>
              <w:t xml:space="preserve"> </w:t>
            </w:r>
          </w:p>
        </w:tc>
        <w:tc>
          <w:tcPr>
            <w:tcW w:w="516" w:type="pct"/>
            <w:tcBorders>
              <w:top w:val="nil"/>
              <w:left w:val="nil"/>
              <w:bottom w:val="single" w:sz="4" w:space="0" w:color="auto"/>
              <w:right w:val="single" w:sz="4" w:space="0" w:color="auto"/>
            </w:tcBorders>
            <w:shd w:val="clear" w:color="auto" w:fill="auto"/>
            <w:noWrap/>
            <w:vAlign w:val="bottom"/>
            <w:hideMark/>
          </w:tcPr>
          <w:p w14:paraId="0B1C78E5" w14:textId="77777777" w:rsidR="00EA0E77" w:rsidRPr="00A52AEE" w:rsidRDefault="00EA0E77" w:rsidP="009A2373">
            <w:pPr>
              <w:jc w:val="right"/>
              <w:rPr>
                <w:lang w:eastAsia="en-GB"/>
              </w:rPr>
            </w:pPr>
            <w:r w:rsidRPr="00A52AEE">
              <w:rPr>
                <w:lang w:eastAsia="en-GB"/>
              </w:rPr>
              <w:t>3%</w:t>
            </w:r>
          </w:p>
        </w:tc>
        <w:tc>
          <w:tcPr>
            <w:tcW w:w="516" w:type="pct"/>
            <w:tcBorders>
              <w:top w:val="nil"/>
              <w:left w:val="nil"/>
              <w:bottom w:val="single" w:sz="4" w:space="0" w:color="auto"/>
              <w:right w:val="single" w:sz="4" w:space="0" w:color="auto"/>
            </w:tcBorders>
            <w:shd w:val="clear" w:color="auto" w:fill="auto"/>
            <w:noWrap/>
            <w:vAlign w:val="bottom"/>
            <w:hideMark/>
          </w:tcPr>
          <w:p w14:paraId="5E56B312"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3F209720"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60527B71" w14:textId="77777777" w:rsidR="00EA0E77" w:rsidRPr="00A52AEE" w:rsidRDefault="00EA0E77" w:rsidP="009A2373">
            <w:pPr>
              <w:jc w:val="right"/>
              <w:rPr>
                <w:lang w:eastAsia="en-GB"/>
              </w:rPr>
            </w:pPr>
            <w:r w:rsidRPr="00A52AEE">
              <w:rPr>
                <w:lang w:eastAsia="en-GB"/>
              </w:rPr>
              <w:t>2%</w:t>
            </w:r>
          </w:p>
        </w:tc>
        <w:tc>
          <w:tcPr>
            <w:tcW w:w="516" w:type="pct"/>
            <w:tcBorders>
              <w:top w:val="nil"/>
              <w:left w:val="nil"/>
              <w:bottom w:val="single" w:sz="4" w:space="0" w:color="auto"/>
              <w:right w:val="single" w:sz="4" w:space="0" w:color="auto"/>
            </w:tcBorders>
            <w:shd w:val="clear" w:color="auto" w:fill="auto"/>
            <w:noWrap/>
            <w:vAlign w:val="bottom"/>
            <w:hideMark/>
          </w:tcPr>
          <w:p w14:paraId="57568F91" w14:textId="77777777" w:rsidR="00EA0E77" w:rsidRPr="00A52AEE" w:rsidRDefault="00EA0E77" w:rsidP="009A2373">
            <w:pPr>
              <w:jc w:val="right"/>
              <w:rPr>
                <w:lang w:eastAsia="en-GB"/>
              </w:rPr>
            </w:pPr>
            <w:r w:rsidRPr="00A52AEE">
              <w:rPr>
                <w:lang w:eastAsia="en-GB"/>
              </w:rPr>
              <w:t>2%</w:t>
            </w:r>
          </w:p>
        </w:tc>
      </w:tr>
      <w:tr w:rsidR="00EA0E77" w:rsidRPr="00A52AEE" w14:paraId="31E90F20"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4542B857"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2BA6B321" w14:textId="501B4524" w:rsidR="00EA0E77" w:rsidRPr="00A52AEE" w:rsidRDefault="00EA0E77" w:rsidP="00A52AEE">
            <w:pPr>
              <w:rPr>
                <w:lang w:eastAsia="en-GB"/>
              </w:rPr>
            </w:pPr>
            <w:r w:rsidRPr="00A52AEE">
              <w:rPr>
                <w:lang w:eastAsia="en-GB"/>
              </w:rPr>
              <w:t>NVQ</w:t>
            </w:r>
          </w:p>
        </w:tc>
        <w:tc>
          <w:tcPr>
            <w:tcW w:w="516" w:type="pct"/>
            <w:tcBorders>
              <w:top w:val="nil"/>
              <w:left w:val="nil"/>
              <w:bottom w:val="single" w:sz="4" w:space="0" w:color="auto"/>
              <w:right w:val="single" w:sz="4" w:space="0" w:color="auto"/>
            </w:tcBorders>
            <w:shd w:val="clear" w:color="auto" w:fill="auto"/>
            <w:noWrap/>
            <w:vAlign w:val="bottom"/>
            <w:hideMark/>
          </w:tcPr>
          <w:p w14:paraId="3532C471" w14:textId="77777777" w:rsidR="00EA0E77" w:rsidRPr="00A52AEE" w:rsidRDefault="00EA0E77" w:rsidP="009A2373">
            <w:pPr>
              <w:jc w:val="right"/>
              <w:rPr>
                <w:lang w:eastAsia="en-GB"/>
              </w:rPr>
            </w:pPr>
            <w:r w:rsidRPr="00A52AEE">
              <w:rPr>
                <w:lang w:eastAsia="en-GB"/>
              </w:rPr>
              <w:t>14%</w:t>
            </w:r>
          </w:p>
        </w:tc>
        <w:tc>
          <w:tcPr>
            <w:tcW w:w="516" w:type="pct"/>
            <w:tcBorders>
              <w:top w:val="nil"/>
              <w:left w:val="nil"/>
              <w:bottom w:val="single" w:sz="4" w:space="0" w:color="auto"/>
              <w:right w:val="single" w:sz="4" w:space="0" w:color="auto"/>
            </w:tcBorders>
            <w:shd w:val="clear" w:color="auto" w:fill="auto"/>
            <w:noWrap/>
            <w:vAlign w:val="bottom"/>
            <w:hideMark/>
          </w:tcPr>
          <w:p w14:paraId="77A6F984" w14:textId="77777777" w:rsidR="00EA0E77" w:rsidRPr="00A52AEE" w:rsidRDefault="00EA0E77" w:rsidP="009A2373">
            <w:pPr>
              <w:jc w:val="right"/>
              <w:rPr>
                <w:lang w:eastAsia="en-GB"/>
              </w:rPr>
            </w:pPr>
            <w:r w:rsidRPr="00A52AEE">
              <w:rPr>
                <w:lang w:eastAsia="en-GB"/>
              </w:rPr>
              <w:t>21%</w:t>
            </w:r>
          </w:p>
        </w:tc>
        <w:tc>
          <w:tcPr>
            <w:tcW w:w="516" w:type="pct"/>
            <w:tcBorders>
              <w:top w:val="nil"/>
              <w:left w:val="nil"/>
              <w:bottom w:val="single" w:sz="4" w:space="0" w:color="auto"/>
              <w:right w:val="single" w:sz="4" w:space="0" w:color="auto"/>
            </w:tcBorders>
            <w:shd w:val="clear" w:color="auto" w:fill="auto"/>
            <w:noWrap/>
            <w:vAlign w:val="bottom"/>
            <w:hideMark/>
          </w:tcPr>
          <w:p w14:paraId="5BBF2E51" w14:textId="77777777" w:rsidR="00EA0E77" w:rsidRPr="00A52AEE" w:rsidRDefault="00EA0E77" w:rsidP="009A2373">
            <w:pPr>
              <w:jc w:val="right"/>
              <w:rPr>
                <w:lang w:eastAsia="en-GB"/>
              </w:rPr>
            </w:pPr>
            <w:r w:rsidRPr="00A52AEE">
              <w:rPr>
                <w:lang w:eastAsia="en-GB"/>
              </w:rPr>
              <w:t>20%</w:t>
            </w:r>
          </w:p>
        </w:tc>
        <w:tc>
          <w:tcPr>
            <w:tcW w:w="516" w:type="pct"/>
            <w:tcBorders>
              <w:top w:val="nil"/>
              <w:left w:val="nil"/>
              <w:bottom w:val="single" w:sz="4" w:space="0" w:color="auto"/>
              <w:right w:val="single" w:sz="4" w:space="0" w:color="auto"/>
            </w:tcBorders>
            <w:shd w:val="clear" w:color="auto" w:fill="auto"/>
            <w:noWrap/>
            <w:vAlign w:val="bottom"/>
            <w:hideMark/>
          </w:tcPr>
          <w:p w14:paraId="5060D2E2" w14:textId="77777777" w:rsidR="00EA0E77" w:rsidRPr="00A52AEE" w:rsidRDefault="00EA0E77" w:rsidP="009A2373">
            <w:pPr>
              <w:jc w:val="right"/>
              <w:rPr>
                <w:lang w:eastAsia="en-GB"/>
              </w:rPr>
            </w:pPr>
            <w:r w:rsidRPr="00A52AEE">
              <w:rPr>
                <w:lang w:eastAsia="en-GB"/>
              </w:rPr>
              <w:t>18%</w:t>
            </w:r>
          </w:p>
        </w:tc>
        <w:tc>
          <w:tcPr>
            <w:tcW w:w="516" w:type="pct"/>
            <w:tcBorders>
              <w:top w:val="nil"/>
              <w:left w:val="nil"/>
              <w:bottom w:val="single" w:sz="4" w:space="0" w:color="auto"/>
              <w:right w:val="single" w:sz="4" w:space="0" w:color="auto"/>
            </w:tcBorders>
            <w:shd w:val="clear" w:color="auto" w:fill="auto"/>
            <w:noWrap/>
            <w:vAlign w:val="bottom"/>
            <w:hideMark/>
          </w:tcPr>
          <w:p w14:paraId="2D8712CD" w14:textId="77777777" w:rsidR="00EA0E77" w:rsidRPr="00A52AEE" w:rsidRDefault="00EA0E77" w:rsidP="009A2373">
            <w:pPr>
              <w:jc w:val="right"/>
              <w:rPr>
                <w:lang w:eastAsia="en-GB"/>
              </w:rPr>
            </w:pPr>
            <w:r w:rsidRPr="00A52AEE">
              <w:rPr>
                <w:lang w:eastAsia="en-GB"/>
              </w:rPr>
              <w:t>8%</w:t>
            </w:r>
          </w:p>
        </w:tc>
      </w:tr>
      <w:tr w:rsidR="00EA0E77" w:rsidRPr="00A52AEE" w14:paraId="497B1652" w14:textId="77777777" w:rsidTr="00EA0E77">
        <w:trPr>
          <w:trHeight w:val="240"/>
        </w:trPr>
        <w:tc>
          <w:tcPr>
            <w:tcW w:w="1482" w:type="pct"/>
            <w:vMerge/>
            <w:tcBorders>
              <w:top w:val="nil"/>
              <w:left w:val="single" w:sz="4" w:space="0" w:color="auto"/>
              <w:bottom w:val="single" w:sz="4" w:space="0" w:color="000000"/>
              <w:right w:val="single" w:sz="4" w:space="0" w:color="auto"/>
            </w:tcBorders>
            <w:vAlign w:val="center"/>
            <w:hideMark/>
          </w:tcPr>
          <w:p w14:paraId="54F6117F" w14:textId="77777777" w:rsidR="00EA0E77" w:rsidRPr="00A52AEE" w:rsidRDefault="00EA0E77" w:rsidP="00A52AEE">
            <w:pPr>
              <w:rPr>
                <w:lang w:eastAsia="en-GB"/>
              </w:rPr>
            </w:pPr>
          </w:p>
        </w:tc>
        <w:tc>
          <w:tcPr>
            <w:tcW w:w="940" w:type="pct"/>
            <w:tcBorders>
              <w:top w:val="nil"/>
              <w:left w:val="nil"/>
              <w:bottom w:val="single" w:sz="4" w:space="0" w:color="auto"/>
              <w:right w:val="single" w:sz="4" w:space="0" w:color="auto"/>
            </w:tcBorders>
            <w:shd w:val="clear" w:color="auto" w:fill="auto"/>
            <w:noWrap/>
            <w:vAlign w:val="bottom"/>
            <w:hideMark/>
          </w:tcPr>
          <w:p w14:paraId="7F0A0AED" w14:textId="2AC020A1" w:rsidR="00EA0E77" w:rsidRPr="00A52AEE" w:rsidRDefault="00EA0E77" w:rsidP="00A52AEE">
            <w:pPr>
              <w:rPr>
                <w:lang w:eastAsia="en-GB"/>
              </w:rPr>
            </w:pPr>
            <w:r w:rsidRPr="00A52AEE">
              <w:rPr>
                <w:lang w:eastAsia="en-GB"/>
              </w:rPr>
              <w:t xml:space="preserve">Other Vocational </w:t>
            </w:r>
          </w:p>
        </w:tc>
        <w:tc>
          <w:tcPr>
            <w:tcW w:w="516" w:type="pct"/>
            <w:tcBorders>
              <w:top w:val="nil"/>
              <w:left w:val="nil"/>
              <w:bottom w:val="single" w:sz="4" w:space="0" w:color="auto"/>
              <w:right w:val="single" w:sz="4" w:space="0" w:color="auto"/>
            </w:tcBorders>
            <w:shd w:val="clear" w:color="auto" w:fill="auto"/>
            <w:noWrap/>
            <w:vAlign w:val="bottom"/>
            <w:hideMark/>
          </w:tcPr>
          <w:p w14:paraId="3F52257A" w14:textId="77777777" w:rsidR="00EA0E77" w:rsidRPr="00A52AEE" w:rsidRDefault="00EA0E77" w:rsidP="009A2373">
            <w:pPr>
              <w:jc w:val="right"/>
              <w:rPr>
                <w:lang w:eastAsia="en-GB"/>
              </w:rPr>
            </w:pPr>
            <w:r w:rsidRPr="00A52AEE">
              <w:rPr>
                <w:lang w:eastAsia="en-GB"/>
              </w:rPr>
              <w:t>40%</w:t>
            </w:r>
          </w:p>
        </w:tc>
        <w:tc>
          <w:tcPr>
            <w:tcW w:w="516" w:type="pct"/>
            <w:tcBorders>
              <w:top w:val="nil"/>
              <w:left w:val="nil"/>
              <w:bottom w:val="single" w:sz="4" w:space="0" w:color="auto"/>
              <w:right w:val="single" w:sz="4" w:space="0" w:color="auto"/>
            </w:tcBorders>
            <w:shd w:val="clear" w:color="auto" w:fill="auto"/>
            <w:noWrap/>
            <w:vAlign w:val="bottom"/>
            <w:hideMark/>
          </w:tcPr>
          <w:p w14:paraId="4D748B11" w14:textId="77777777" w:rsidR="00EA0E77" w:rsidRPr="00A52AEE" w:rsidRDefault="00EA0E77" w:rsidP="009A2373">
            <w:pPr>
              <w:jc w:val="right"/>
              <w:rPr>
                <w:lang w:eastAsia="en-GB"/>
              </w:rPr>
            </w:pPr>
            <w:r w:rsidRPr="00A52AEE">
              <w:rPr>
                <w:lang w:eastAsia="en-GB"/>
              </w:rPr>
              <w:t>34%</w:t>
            </w:r>
          </w:p>
        </w:tc>
        <w:tc>
          <w:tcPr>
            <w:tcW w:w="516" w:type="pct"/>
            <w:tcBorders>
              <w:top w:val="nil"/>
              <w:left w:val="nil"/>
              <w:bottom w:val="single" w:sz="4" w:space="0" w:color="auto"/>
              <w:right w:val="single" w:sz="4" w:space="0" w:color="auto"/>
            </w:tcBorders>
            <w:shd w:val="clear" w:color="auto" w:fill="auto"/>
            <w:noWrap/>
            <w:vAlign w:val="bottom"/>
            <w:hideMark/>
          </w:tcPr>
          <w:p w14:paraId="0B07EB8A" w14:textId="77777777" w:rsidR="00EA0E77" w:rsidRPr="00A52AEE" w:rsidRDefault="00EA0E77" w:rsidP="009A2373">
            <w:pPr>
              <w:jc w:val="right"/>
              <w:rPr>
                <w:lang w:eastAsia="en-GB"/>
              </w:rPr>
            </w:pPr>
            <w:r w:rsidRPr="00A52AEE">
              <w:rPr>
                <w:lang w:eastAsia="en-GB"/>
              </w:rPr>
              <w:t>30%</w:t>
            </w:r>
          </w:p>
        </w:tc>
        <w:tc>
          <w:tcPr>
            <w:tcW w:w="516" w:type="pct"/>
            <w:tcBorders>
              <w:top w:val="nil"/>
              <w:left w:val="nil"/>
              <w:bottom w:val="single" w:sz="4" w:space="0" w:color="auto"/>
              <w:right w:val="single" w:sz="4" w:space="0" w:color="auto"/>
            </w:tcBorders>
            <w:shd w:val="clear" w:color="auto" w:fill="auto"/>
            <w:noWrap/>
            <w:vAlign w:val="bottom"/>
            <w:hideMark/>
          </w:tcPr>
          <w:p w14:paraId="49E3B0E0" w14:textId="77777777" w:rsidR="00EA0E77" w:rsidRPr="00A52AEE" w:rsidRDefault="00EA0E77" w:rsidP="009A2373">
            <w:pPr>
              <w:jc w:val="right"/>
              <w:rPr>
                <w:lang w:eastAsia="en-GB"/>
              </w:rPr>
            </w:pPr>
            <w:r w:rsidRPr="00A52AEE">
              <w:rPr>
                <w:lang w:eastAsia="en-GB"/>
              </w:rPr>
              <w:t>24%</w:t>
            </w:r>
          </w:p>
        </w:tc>
        <w:tc>
          <w:tcPr>
            <w:tcW w:w="516" w:type="pct"/>
            <w:tcBorders>
              <w:top w:val="nil"/>
              <w:left w:val="nil"/>
              <w:bottom w:val="single" w:sz="4" w:space="0" w:color="auto"/>
              <w:right w:val="single" w:sz="4" w:space="0" w:color="auto"/>
            </w:tcBorders>
            <w:shd w:val="clear" w:color="auto" w:fill="auto"/>
            <w:noWrap/>
            <w:vAlign w:val="bottom"/>
            <w:hideMark/>
          </w:tcPr>
          <w:p w14:paraId="3F054D81" w14:textId="77777777" w:rsidR="00EA0E77" w:rsidRPr="00A52AEE" w:rsidRDefault="00EA0E77" w:rsidP="009A2373">
            <w:pPr>
              <w:jc w:val="right"/>
              <w:rPr>
                <w:lang w:eastAsia="en-GB"/>
              </w:rPr>
            </w:pPr>
            <w:r w:rsidRPr="00A52AEE">
              <w:rPr>
                <w:lang w:eastAsia="en-GB"/>
              </w:rPr>
              <w:t>29%</w:t>
            </w:r>
          </w:p>
        </w:tc>
      </w:tr>
    </w:tbl>
    <w:p w14:paraId="4C713216" w14:textId="77777777" w:rsidR="000D7228" w:rsidRDefault="000D7228" w:rsidP="006101C5">
      <w:pPr>
        <w:pStyle w:val="Heading2"/>
        <w:spacing w:after="0"/>
      </w:pPr>
    </w:p>
    <w:p w14:paraId="69D5F115" w14:textId="0E8FA062" w:rsidR="00777675" w:rsidRPr="007C17F7" w:rsidRDefault="004D3FD1" w:rsidP="006101C5">
      <w:pPr>
        <w:pStyle w:val="Heading2"/>
        <w:spacing w:after="0"/>
      </w:pPr>
      <w:bookmarkStart w:id="100" w:name="_Toc429151323"/>
      <w:r w:rsidRPr="007C17F7">
        <w:t>4.19</w:t>
      </w:r>
      <w:r w:rsidR="001F1D4D" w:rsidRPr="007C17F7">
        <w:tab/>
      </w:r>
      <w:r w:rsidR="000D7228" w:rsidRPr="007C17F7">
        <w:tab/>
      </w:r>
      <w:r w:rsidR="00777675" w:rsidRPr="007C17F7">
        <w:t xml:space="preserve">Ethnic group and </w:t>
      </w:r>
      <w:r w:rsidR="0021637B" w:rsidRPr="007C17F7">
        <w:t>Level</w:t>
      </w:r>
      <w:r w:rsidR="00777675" w:rsidRPr="007C17F7">
        <w:t xml:space="preserve"> 3 </w:t>
      </w:r>
      <w:r w:rsidR="002A742A" w:rsidRPr="007C17F7">
        <w:t>subject area</w:t>
      </w:r>
      <w:bookmarkEnd w:id="100"/>
    </w:p>
    <w:p w14:paraId="2B1C6E02" w14:textId="77777777" w:rsidR="00A63CC4" w:rsidRDefault="00A63CC4" w:rsidP="00A52AEE"/>
    <w:p w14:paraId="771D145B" w14:textId="6EF6CCF2" w:rsidR="003C6067" w:rsidRPr="00A52AEE" w:rsidRDefault="00777675" w:rsidP="00A52AEE">
      <w:r w:rsidRPr="00A52AEE">
        <w:t>Table 1</w:t>
      </w:r>
      <w:r w:rsidR="00B03413">
        <w:t>9</w:t>
      </w:r>
      <w:r w:rsidRPr="00A52AEE">
        <w:t xml:space="preserve"> shows distinct differences in the subject </w:t>
      </w:r>
      <w:r w:rsidR="002E286F">
        <w:t>areas studied by young people</w:t>
      </w:r>
      <w:r w:rsidRPr="00A52AEE">
        <w:t xml:space="preserve"> </w:t>
      </w:r>
      <w:r w:rsidR="000D7228">
        <w:t>with different ethnic backgrounds</w:t>
      </w:r>
    </w:p>
    <w:p w14:paraId="3EC9BC61" w14:textId="77777777" w:rsidR="00B03413" w:rsidRDefault="00B03413" w:rsidP="00A52AEE">
      <w:pPr>
        <w:rPr>
          <w:b/>
        </w:rPr>
      </w:pPr>
    </w:p>
    <w:p w14:paraId="09D40E48" w14:textId="77777777" w:rsidR="006101C5" w:rsidRDefault="006101C5" w:rsidP="00A52AEE">
      <w:pPr>
        <w:rPr>
          <w:b/>
        </w:rPr>
      </w:pPr>
    </w:p>
    <w:p w14:paraId="5667535E" w14:textId="77777777" w:rsidR="006101C5" w:rsidRDefault="006101C5" w:rsidP="00A52AEE">
      <w:pPr>
        <w:rPr>
          <w:b/>
        </w:rPr>
      </w:pPr>
    </w:p>
    <w:p w14:paraId="024D90F9" w14:textId="77777777" w:rsidR="006101C5" w:rsidRDefault="006101C5" w:rsidP="00A52AEE">
      <w:pPr>
        <w:rPr>
          <w:b/>
        </w:rPr>
      </w:pPr>
    </w:p>
    <w:p w14:paraId="12D270AE" w14:textId="77777777" w:rsidR="006101C5" w:rsidRDefault="006101C5" w:rsidP="00A52AEE">
      <w:pPr>
        <w:rPr>
          <w:b/>
        </w:rPr>
      </w:pPr>
    </w:p>
    <w:p w14:paraId="2DD964DB" w14:textId="77777777" w:rsidR="006101C5" w:rsidRDefault="006101C5" w:rsidP="00A52AEE">
      <w:pPr>
        <w:rPr>
          <w:b/>
        </w:rPr>
      </w:pPr>
    </w:p>
    <w:p w14:paraId="1CADEDB2" w14:textId="77777777" w:rsidR="006101C5" w:rsidRDefault="006101C5" w:rsidP="00A52AEE">
      <w:pPr>
        <w:rPr>
          <w:b/>
        </w:rPr>
      </w:pPr>
    </w:p>
    <w:p w14:paraId="6588C3DB" w14:textId="77777777" w:rsidR="006101C5" w:rsidRDefault="006101C5" w:rsidP="00A52AEE">
      <w:pPr>
        <w:rPr>
          <w:b/>
        </w:rPr>
      </w:pPr>
    </w:p>
    <w:p w14:paraId="30366471" w14:textId="77777777" w:rsidR="006101C5" w:rsidRDefault="006101C5" w:rsidP="00A52AEE">
      <w:pPr>
        <w:rPr>
          <w:b/>
        </w:rPr>
      </w:pPr>
    </w:p>
    <w:p w14:paraId="31534A14" w14:textId="77777777" w:rsidR="006101C5" w:rsidRDefault="006101C5" w:rsidP="00A52AEE">
      <w:pPr>
        <w:rPr>
          <w:b/>
        </w:rPr>
      </w:pPr>
    </w:p>
    <w:p w14:paraId="674753D8" w14:textId="77777777" w:rsidR="006101C5" w:rsidRDefault="006101C5" w:rsidP="00A52AEE">
      <w:pPr>
        <w:rPr>
          <w:b/>
        </w:rPr>
      </w:pPr>
    </w:p>
    <w:p w14:paraId="139D9EC5" w14:textId="77777777" w:rsidR="006101C5" w:rsidRDefault="006101C5" w:rsidP="00A52AEE">
      <w:pPr>
        <w:rPr>
          <w:b/>
        </w:rPr>
      </w:pPr>
    </w:p>
    <w:p w14:paraId="1D0337C2" w14:textId="77777777" w:rsidR="006101C5" w:rsidRDefault="006101C5" w:rsidP="00A52AEE">
      <w:pPr>
        <w:rPr>
          <w:b/>
        </w:rPr>
      </w:pPr>
    </w:p>
    <w:p w14:paraId="534AFE42" w14:textId="7612B134" w:rsidR="00777675" w:rsidRPr="000D7228" w:rsidRDefault="00777675" w:rsidP="00A52AEE">
      <w:pPr>
        <w:rPr>
          <w:b/>
        </w:rPr>
      </w:pPr>
      <w:r w:rsidRPr="000D7228">
        <w:rPr>
          <w:b/>
        </w:rPr>
        <w:t>Table 1</w:t>
      </w:r>
      <w:r w:rsidR="004D2866">
        <w:rPr>
          <w:b/>
        </w:rPr>
        <w:t>9</w:t>
      </w:r>
      <w:r w:rsidR="00EF28F4" w:rsidRPr="000D7228">
        <w:rPr>
          <w:b/>
        </w:rPr>
        <w:t>:</w:t>
      </w:r>
      <w:r w:rsidRPr="000D7228">
        <w:rPr>
          <w:b/>
        </w:rPr>
        <w:t xml:space="preserve"> Ethnic group and subject area studied at Level 3</w:t>
      </w:r>
      <w:r w:rsidR="00EF28F4" w:rsidRPr="000D7228">
        <w:rPr>
          <w:b/>
        </w:rPr>
        <w:t xml:space="preserve"> (</w:t>
      </w:r>
      <w:r w:rsidR="005175E4" w:rsidRPr="000D7228">
        <w:rPr>
          <w:b/>
        </w:rPr>
        <w:t>17-19</w:t>
      </w:r>
      <w:r w:rsidR="00EF28F4" w:rsidRPr="000D7228">
        <w:rPr>
          <w:b/>
        </w:rPr>
        <w:t xml:space="preserve"> only)</w:t>
      </w:r>
      <w:r w:rsidR="00A63CC4">
        <w:rPr>
          <w:b/>
        </w:rPr>
        <w:t xml:space="preserve"> - percentages</w:t>
      </w:r>
    </w:p>
    <w:p w14:paraId="117691F8" w14:textId="0EBD28D4" w:rsidR="00777675" w:rsidRPr="00A52AEE" w:rsidRDefault="00777675" w:rsidP="00A52AEE">
      <w:pPr>
        <w:rPr>
          <w:lang w:eastAsia="en-GB"/>
        </w:rPr>
      </w:pPr>
      <w:r w:rsidRPr="00A52AEE">
        <w:rPr>
          <w:lang w:eastAsia="en-GB"/>
        </w:rPr>
        <w:tab/>
      </w:r>
      <w:r w:rsidRPr="00A52AEE">
        <w:rPr>
          <w:lang w:eastAsia="en-GB"/>
        </w:rPr>
        <w:tab/>
      </w:r>
      <w:r w:rsidRPr="00A52AEE">
        <w:rPr>
          <w:lang w:eastAsia="en-GB"/>
        </w:rPr>
        <w:tab/>
      </w:r>
      <w:r w:rsidRPr="00A52AEE">
        <w:rPr>
          <w:lang w:eastAsia="en-GB"/>
        </w:rPr>
        <w:tab/>
      </w:r>
      <w:r w:rsidRPr="00A52AEE">
        <w:rPr>
          <w:lang w:eastAsia="en-GB"/>
        </w:rPr>
        <w:tab/>
      </w:r>
      <w:r w:rsidRPr="00A52AEE">
        <w:rPr>
          <w:lang w:eastAsia="en-GB"/>
        </w:rPr>
        <w:tab/>
      </w:r>
    </w:p>
    <w:tbl>
      <w:tblPr>
        <w:tblW w:w="4827" w:type="pct"/>
        <w:tblLayout w:type="fixed"/>
        <w:tblLook w:val="04A0" w:firstRow="1" w:lastRow="0" w:firstColumn="1" w:lastColumn="0" w:noHBand="0" w:noVBand="1"/>
      </w:tblPr>
      <w:tblGrid>
        <w:gridCol w:w="1647"/>
        <w:gridCol w:w="573"/>
        <w:gridCol w:w="573"/>
        <w:gridCol w:w="449"/>
        <w:gridCol w:w="451"/>
        <w:gridCol w:w="451"/>
        <w:gridCol w:w="571"/>
        <w:gridCol w:w="451"/>
        <w:gridCol w:w="571"/>
        <w:gridCol w:w="571"/>
        <w:gridCol w:w="447"/>
        <w:gridCol w:w="569"/>
        <w:gridCol w:w="449"/>
        <w:gridCol w:w="449"/>
        <w:gridCol w:w="449"/>
        <w:gridCol w:w="569"/>
      </w:tblGrid>
      <w:tr w:rsidR="00E30B41" w:rsidRPr="000D7228" w14:paraId="2A28C841" w14:textId="77777777" w:rsidTr="00E30B41">
        <w:trPr>
          <w:trHeight w:val="5128"/>
          <w:tblHeader/>
        </w:trPr>
        <w:tc>
          <w:tcPr>
            <w:tcW w:w="891"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5CE309FE" w14:textId="77777777" w:rsidR="003C6067" w:rsidRPr="000D7228" w:rsidRDefault="003C6067" w:rsidP="00A52AEE">
            <w:pPr>
              <w:rPr>
                <w:b/>
                <w:color w:val="FFFFFF" w:themeColor="background1"/>
                <w:lang w:eastAsia="en-GB"/>
              </w:rPr>
            </w:pPr>
            <w:r w:rsidRPr="000D7228">
              <w:rPr>
                <w:b/>
                <w:color w:val="FFFFFF" w:themeColor="background1"/>
                <w:lang w:eastAsia="en-GB"/>
              </w:rPr>
              <w:t>Ethnic group</w:t>
            </w:r>
          </w:p>
        </w:tc>
        <w:tc>
          <w:tcPr>
            <w:tcW w:w="310"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0D0339FB" w14:textId="1EA1F57F" w:rsidR="003C6067" w:rsidRPr="000D7228" w:rsidRDefault="003C6067" w:rsidP="00A63CC4">
            <w:pPr>
              <w:jc w:val="center"/>
              <w:rPr>
                <w:b/>
                <w:color w:val="FFFFFF" w:themeColor="background1"/>
                <w:lang w:eastAsia="en-GB"/>
              </w:rPr>
            </w:pPr>
            <w:r w:rsidRPr="000D7228">
              <w:rPr>
                <w:b/>
                <w:color w:val="FFFFFF" w:themeColor="background1"/>
                <w:lang w:eastAsia="en-GB"/>
              </w:rPr>
              <w:t>Health, Public</w:t>
            </w:r>
            <w:r w:rsidR="00EF28F4" w:rsidRPr="000D7228">
              <w:rPr>
                <w:b/>
                <w:color w:val="FFFFFF" w:themeColor="background1"/>
                <w:lang w:eastAsia="en-GB"/>
              </w:rPr>
              <w:t xml:space="preserve"> </w:t>
            </w:r>
            <w:r w:rsidRPr="000D7228">
              <w:rPr>
                <w:b/>
                <w:color w:val="FFFFFF" w:themeColor="background1"/>
                <w:lang w:eastAsia="en-GB"/>
              </w:rPr>
              <w:t>Services and Care</w:t>
            </w:r>
          </w:p>
        </w:tc>
        <w:tc>
          <w:tcPr>
            <w:tcW w:w="310"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4FD40A74"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Science and Mathematics</w:t>
            </w:r>
          </w:p>
        </w:tc>
        <w:tc>
          <w:tcPr>
            <w:tcW w:w="243"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14A1EDCB" w14:textId="475AA81E" w:rsidR="003C6067" w:rsidRPr="000D7228" w:rsidRDefault="003C6067" w:rsidP="00A63CC4">
            <w:pPr>
              <w:jc w:val="center"/>
              <w:rPr>
                <w:b/>
                <w:color w:val="FFFFFF" w:themeColor="background1"/>
                <w:lang w:eastAsia="en-GB"/>
              </w:rPr>
            </w:pPr>
            <w:r w:rsidRPr="000D7228">
              <w:rPr>
                <w:b/>
                <w:color w:val="FFFFFF" w:themeColor="background1"/>
                <w:lang w:eastAsia="en-GB"/>
              </w:rPr>
              <w:t>Agriculture, Horticulture</w:t>
            </w:r>
            <w:r w:rsidR="00EF28F4" w:rsidRPr="000D7228">
              <w:rPr>
                <w:b/>
                <w:color w:val="FFFFFF" w:themeColor="background1"/>
                <w:lang w:eastAsia="en-GB"/>
              </w:rPr>
              <w:t xml:space="preserve"> </w:t>
            </w:r>
            <w:r w:rsidRPr="000D7228">
              <w:rPr>
                <w:b/>
                <w:color w:val="FFFFFF" w:themeColor="background1"/>
                <w:lang w:eastAsia="en-GB"/>
              </w:rPr>
              <w:t>and Animal Care</w:t>
            </w:r>
          </w:p>
        </w:tc>
        <w:tc>
          <w:tcPr>
            <w:tcW w:w="244"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232C3C92" w14:textId="4D520023" w:rsidR="003C6067" w:rsidRPr="000D7228" w:rsidRDefault="003C6067" w:rsidP="00A63CC4">
            <w:pPr>
              <w:jc w:val="center"/>
              <w:rPr>
                <w:b/>
                <w:color w:val="FFFFFF" w:themeColor="background1"/>
                <w:lang w:eastAsia="en-GB"/>
              </w:rPr>
            </w:pPr>
            <w:r w:rsidRPr="000D7228">
              <w:rPr>
                <w:b/>
                <w:color w:val="FFFFFF" w:themeColor="background1"/>
                <w:lang w:eastAsia="en-GB"/>
              </w:rPr>
              <w:t>Engineering and</w:t>
            </w:r>
            <w:r w:rsidR="00EF28F4" w:rsidRPr="000D7228">
              <w:rPr>
                <w:b/>
                <w:color w:val="FFFFFF" w:themeColor="background1"/>
                <w:lang w:eastAsia="en-GB"/>
              </w:rPr>
              <w:t xml:space="preserve"> </w:t>
            </w:r>
            <w:r w:rsidRPr="000D7228">
              <w:rPr>
                <w:b/>
                <w:color w:val="FFFFFF" w:themeColor="background1"/>
                <w:lang w:eastAsia="en-GB"/>
              </w:rPr>
              <w:t>Manufacturing Technologies</w:t>
            </w:r>
          </w:p>
        </w:tc>
        <w:tc>
          <w:tcPr>
            <w:tcW w:w="244"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731C6CE0" w14:textId="5DDC1BD9" w:rsidR="003C6067" w:rsidRPr="000D7228" w:rsidRDefault="003C6067" w:rsidP="00A63CC4">
            <w:pPr>
              <w:jc w:val="center"/>
              <w:rPr>
                <w:b/>
                <w:color w:val="FFFFFF" w:themeColor="background1"/>
                <w:lang w:eastAsia="en-GB"/>
              </w:rPr>
            </w:pPr>
            <w:r w:rsidRPr="000D7228">
              <w:rPr>
                <w:b/>
                <w:color w:val="FFFFFF" w:themeColor="background1"/>
                <w:lang w:eastAsia="en-GB"/>
              </w:rPr>
              <w:t>Construction, Planning and the Built Environment</w:t>
            </w:r>
          </w:p>
        </w:tc>
        <w:tc>
          <w:tcPr>
            <w:tcW w:w="309"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2489C44A" w14:textId="60254B91" w:rsidR="003C6067" w:rsidRPr="000D7228" w:rsidRDefault="003C6067" w:rsidP="00A63CC4">
            <w:pPr>
              <w:jc w:val="center"/>
              <w:rPr>
                <w:b/>
                <w:color w:val="FFFFFF" w:themeColor="background1"/>
                <w:lang w:eastAsia="en-GB"/>
              </w:rPr>
            </w:pPr>
            <w:r w:rsidRPr="000D7228">
              <w:rPr>
                <w:b/>
                <w:color w:val="FFFFFF" w:themeColor="background1"/>
                <w:lang w:eastAsia="en-GB"/>
              </w:rPr>
              <w:t>Information and Communication Technology</w:t>
            </w:r>
          </w:p>
        </w:tc>
        <w:tc>
          <w:tcPr>
            <w:tcW w:w="244"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543C088C"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Retail and Commercial Enterprise</w:t>
            </w:r>
          </w:p>
        </w:tc>
        <w:tc>
          <w:tcPr>
            <w:tcW w:w="309"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1E20CF82"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Leisure, Travel and Tourism</w:t>
            </w:r>
          </w:p>
        </w:tc>
        <w:tc>
          <w:tcPr>
            <w:tcW w:w="309"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6BC5703C"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Arts, Media and Publishing</w:t>
            </w:r>
          </w:p>
        </w:tc>
        <w:tc>
          <w:tcPr>
            <w:tcW w:w="242"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106FAEFA" w14:textId="11D0DD8F" w:rsidR="003C6067" w:rsidRPr="000D7228" w:rsidRDefault="003C6067" w:rsidP="00A63CC4">
            <w:pPr>
              <w:jc w:val="center"/>
              <w:rPr>
                <w:b/>
                <w:color w:val="FFFFFF" w:themeColor="background1"/>
                <w:lang w:eastAsia="en-GB"/>
              </w:rPr>
            </w:pPr>
            <w:r w:rsidRPr="000D7228">
              <w:rPr>
                <w:b/>
                <w:color w:val="FFFFFF" w:themeColor="background1"/>
                <w:lang w:eastAsia="en-GB"/>
              </w:rPr>
              <w:t>History, Philosophy and Theology</w:t>
            </w:r>
          </w:p>
        </w:tc>
        <w:tc>
          <w:tcPr>
            <w:tcW w:w="308"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279865FE"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Social Sciences</w:t>
            </w:r>
          </w:p>
        </w:tc>
        <w:tc>
          <w:tcPr>
            <w:tcW w:w="243"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1C8D8B74" w14:textId="14D06F4C" w:rsidR="003C6067" w:rsidRPr="000D7228" w:rsidRDefault="003C6067" w:rsidP="00A63CC4">
            <w:pPr>
              <w:jc w:val="center"/>
              <w:rPr>
                <w:b/>
                <w:color w:val="FFFFFF" w:themeColor="background1"/>
                <w:lang w:eastAsia="en-GB"/>
              </w:rPr>
            </w:pPr>
            <w:r w:rsidRPr="000D7228">
              <w:rPr>
                <w:b/>
                <w:color w:val="FFFFFF" w:themeColor="background1"/>
                <w:lang w:eastAsia="en-GB"/>
              </w:rPr>
              <w:t>Languages, Literature and Culture</w:t>
            </w:r>
          </w:p>
        </w:tc>
        <w:tc>
          <w:tcPr>
            <w:tcW w:w="243"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7D2BB43C"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Education and Training</w:t>
            </w:r>
          </w:p>
        </w:tc>
        <w:tc>
          <w:tcPr>
            <w:tcW w:w="243"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10AE4C7F"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Preparation for Life and Work</w:t>
            </w:r>
          </w:p>
        </w:tc>
        <w:tc>
          <w:tcPr>
            <w:tcW w:w="309" w:type="pct"/>
            <w:tcBorders>
              <w:top w:val="single" w:sz="4" w:space="0" w:color="auto"/>
              <w:left w:val="nil"/>
              <w:bottom w:val="single" w:sz="4" w:space="0" w:color="auto"/>
              <w:right w:val="single" w:sz="4" w:space="0" w:color="auto"/>
            </w:tcBorders>
            <w:shd w:val="clear" w:color="auto" w:fill="1F4E79" w:themeFill="accent1" w:themeFillShade="80"/>
            <w:textDirection w:val="btLr"/>
            <w:vAlign w:val="center"/>
            <w:hideMark/>
          </w:tcPr>
          <w:p w14:paraId="09B970CB" w14:textId="77777777" w:rsidR="003C6067" w:rsidRPr="000D7228" w:rsidRDefault="003C6067" w:rsidP="00A63CC4">
            <w:pPr>
              <w:jc w:val="center"/>
              <w:rPr>
                <w:b/>
                <w:color w:val="FFFFFF" w:themeColor="background1"/>
                <w:lang w:eastAsia="en-GB"/>
              </w:rPr>
            </w:pPr>
            <w:r w:rsidRPr="000D7228">
              <w:rPr>
                <w:b/>
                <w:color w:val="FFFFFF" w:themeColor="background1"/>
                <w:lang w:eastAsia="en-GB"/>
              </w:rPr>
              <w:t>Business, Administration and Law</w:t>
            </w:r>
          </w:p>
        </w:tc>
      </w:tr>
      <w:tr w:rsidR="00E30B41" w:rsidRPr="00A52AEE" w14:paraId="61FFC733"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79973B67" w14:textId="77777777" w:rsidR="003C6067" w:rsidRPr="00A52AEE" w:rsidRDefault="003C6067" w:rsidP="00A52AEE">
            <w:pPr>
              <w:rPr>
                <w:lang w:eastAsia="en-GB"/>
              </w:rPr>
            </w:pPr>
            <w:r w:rsidRPr="00A52AEE">
              <w:rPr>
                <w:lang w:eastAsia="en-GB"/>
              </w:rPr>
              <w:t>Asian or Asian British - any other Asian background</w:t>
            </w:r>
          </w:p>
        </w:tc>
        <w:tc>
          <w:tcPr>
            <w:tcW w:w="310" w:type="pct"/>
            <w:tcBorders>
              <w:top w:val="nil"/>
              <w:left w:val="nil"/>
              <w:bottom w:val="single" w:sz="4" w:space="0" w:color="auto"/>
              <w:right w:val="single" w:sz="4" w:space="0" w:color="auto"/>
            </w:tcBorders>
            <w:shd w:val="clear" w:color="auto" w:fill="auto"/>
            <w:noWrap/>
            <w:vAlign w:val="center"/>
            <w:hideMark/>
          </w:tcPr>
          <w:p w14:paraId="39CEDDCC" w14:textId="47C6B8B4" w:rsidR="003C6067" w:rsidRPr="00A52AEE" w:rsidRDefault="00E30B41" w:rsidP="00A63CC4">
            <w:pPr>
              <w:jc w:val="center"/>
              <w:rPr>
                <w:lang w:eastAsia="en-GB"/>
              </w:rPr>
            </w:pPr>
            <w:r w:rsidRPr="00A52AEE">
              <w:rPr>
                <w:lang w:eastAsia="en-GB"/>
              </w:rPr>
              <w:t>5</w:t>
            </w:r>
          </w:p>
        </w:tc>
        <w:tc>
          <w:tcPr>
            <w:tcW w:w="310" w:type="pct"/>
            <w:tcBorders>
              <w:top w:val="nil"/>
              <w:left w:val="nil"/>
              <w:bottom w:val="single" w:sz="4" w:space="0" w:color="auto"/>
              <w:right w:val="single" w:sz="4" w:space="0" w:color="auto"/>
            </w:tcBorders>
            <w:shd w:val="clear" w:color="auto" w:fill="auto"/>
            <w:noWrap/>
            <w:vAlign w:val="center"/>
            <w:hideMark/>
          </w:tcPr>
          <w:p w14:paraId="501FACDB" w14:textId="2DA8B1FA" w:rsidR="003C6067" w:rsidRPr="00A52AEE" w:rsidRDefault="003C6067" w:rsidP="00A63CC4">
            <w:pPr>
              <w:jc w:val="center"/>
              <w:rPr>
                <w:lang w:eastAsia="en-GB"/>
              </w:rPr>
            </w:pPr>
            <w:r w:rsidRPr="00A52AEE">
              <w:rPr>
                <w:lang w:eastAsia="en-GB"/>
              </w:rPr>
              <w:t>24</w:t>
            </w:r>
          </w:p>
        </w:tc>
        <w:tc>
          <w:tcPr>
            <w:tcW w:w="243" w:type="pct"/>
            <w:tcBorders>
              <w:top w:val="nil"/>
              <w:left w:val="nil"/>
              <w:bottom w:val="single" w:sz="4" w:space="0" w:color="auto"/>
              <w:right w:val="single" w:sz="4" w:space="0" w:color="auto"/>
            </w:tcBorders>
            <w:shd w:val="clear" w:color="auto" w:fill="auto"/>
            <w:noWrap/>
            <w:vAlign w:val="center"/>
            <w:hideMark/>
          </w:tcPr>
          <w:p w14:paraId="6A372DEA" w14:textId="7079E093"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61E95A79" w14:textId="0EA96715" w:rsidR="003C6067" w:rsidRPr="00A52AEE" w:rsidRDefault="003C6067" w:rsidP="00A63CC4">
            <w:pPr>
              <w:jc w:val="center"/>
              <w:rPr>
                <w:lang w:eastAsia="en-GB"/>
              </w:rPr>
            </w:pPr>
            <w:r w:rsidRPr="00A52AEE">
              <w:rPr>
                <w:lang w:eastAsia="en-GB"/>
              </w:rPr>
              <w:t>5</w:t>
            </w:r>
          </w:p>
        </w:tc>
        <w:tc>
          <w:tcPr>
            <w:tcW w:w="244" w:type="pct"/>
            <w:tcBorders>
              <w:top w:val="nil"/>
              <w:left w:val="nil"/>
              <w:bottom w:val="single" w:sz="4" w:space="0" w:color="auto"/>
              <w:right w:val="single" w:sz="4" w:space="0" w:color="auto"/>
            </w:tcBorders>
            <w:shd w:val="clear" w:color="auto" w:fill="auto"/>
            <w:noWrap/>
            <w:vAlign w:val="center"/>
            <w:hideMark/>
          </w:tcPr>
          <w:p w14:paraId="5040C672" w14:textId="13E457E4"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6009F23B" w14:textId="3A0C6F57" w:rsidR="003C6067" w:rsidRPr="00A52AEE" w:rsidRDefault="003C6067" w:rsidP="00A63CC4">
            <w:pPr>
              <w:jc w:val="center"/>
              <w:rPr>
                <w:lang w:eastAsia="en-GB"/>
              </w:rPr>
            </w:pPr>
            <w:r w:rsidRPr="00A52AEE">
              <w:rPr>
                <w:lang w:eastAsia="en-GB"/>
              </w:rPr>
              <w:t>13</w:t>
            </w:r>
          </w:p>
        </w:tc>
        <w:tc>
          <w:tcPr>
            <w:tcW w:w="244" w:type="pct"/>
            <w:tcBorders>
              <w:top w:val="nil"/>
              <w:left w:val="nil"/>
              <w:bottom w:val="single" w:sz="4" w:space="0" w:color="auto"/>
              <w:right w:val="single" w:sz="4" w:space="0" w:color="auto"/>
            </w:tcBorders>
            <w:shd w:val="clear" w:color="auto" w:fill="auto"/>
            <w:noWrap/>
            <w:vAlign w:val="center"/>
            <w:hideMark/>
          </w:tcPr>
          <w:p w14:paraId="789EB412" w14:textId="0A182836"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7B6F134B" w14:textId="5BCB5DA8" w:rsidR="003C6067" w:rsidRPr="00A52AEE" w:rsidRDefault="003C6067" w:rsidP="00A63CC4">
            <w:pPr>
              <w:jc w:val="center"/>
              <w:rPr>
                <w:lang w:eastAsia="en-GB"/>
              </w:rPr>
            </w:pPr>
            <w:r w:rsidRPr="00A52AEE">
              <w:rPr>
                <w:lang w:eastAsia="en-GB"/>
              </w:rPr>
              <w:t>4</w:t>
            </w:r>
          </w:p>
        </w:tc>
        <w:tc>
          <w:tcPr>
            <w:tcW w:w="309" w:type="pct"/>
            <w:tcBorders>
              <w:top w:val="nil"/>
              <w:left w:val="nil"/>
              <w:bottom w:val="single" w:sz="4" w:space="0" w:color="auto"/>
              <w:right w:val="single" w:sz="4" w:space="0" w:color="auto"/>
            </w:tcBorders>
            <w:shd w:val="clear" w:color="auto" w:fill="auto"/>
            <w:noWrap/>
            <w:vAlign w:val="center"/>
            <w:hideMark/>
          </w:tcPr>
          <w:p w14:paraId="6F440EB7" w14:textId="15FB9B1A" w:rsidR="003C6067" w:rsidRPr="00A52AEE" w:rsidRDefault="00E30B41" w:rsidP="00A63CC4">
            <w:pPr>
              <w:jc w:val="center"/>
              <w:rPr>
                <w:lang w:eastAsia="en-GB"/>
              </w:rPr>
            </w:pPr>
            <w:r w:rsidRPr="00A52AEE">
              <w:rPr>
                <w:lang w:eastAsia="en-GB"/>
              </w:rPr>
              <w:t>13</w:t>
            </w:r>
          </w:p>
        </w:tc>
        <w:tc>
          <w:tcPr>
            <w:tcW w:w="242" w:type="pct"/>
            <w:tcBorders>
              <w:top w:val="nil"/>
              <w:left w:val="nil"/>
              <w:bottom w:val="single" w:sz="4" w:space="0" w:color="auto"/>
              <w:right w:val="single" w:sz="4" w:space="0" w:color="auto"/>
            </w:tcBorders>
            <w:shd w:val="clear" w:color="auto" w:fill="auto"/>
            <w:noWrap/>
            <w:vAlign w:val="center"/>
            <w:hideMark/>
          </w:tcPr>
          <w:p w14:paraId="20F58708" w14:textId="573AD5AE" w:rsidR="003C6067" w:rsidRPr="00A52AEE" w:rsidRDefault="00E30B41"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0649FDD3" w14:textId="1A7E8651" w:rsidR="003C6067" w:rsidRPr="00A52AEE" w:rsidRDefault="00E30B41"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5F9B38CE" w14:textId="7ED4068C" w:rsidR="003C6067" w:rsidRPr="00A52AEE" w:rsidRDefault="00E30B41" w:rsidP="00A63CC4">
            <w:pPr>
              <w:jc w:val="center"/>
              <w:rPr>
                <w:lang w:eastAsia="en-GB"/>
              </w:rPr>
            </w:pPr>
            <w:r w:rsidRPr="00A52AEE">
              <w:rPr>
                <w:lang w:eastAsia="en-GB"/>
              </w:rPr>
              <w:t>5</w:t>
            </w:r>
          </w:p>
        </w:tc>
        <w:tc>
          <w:tcPr>
            <w:tcW w:w="243" w:type="pct"/>
            <w:tcBorders>
              <w:top w:val="nil"/>
              <w:left w:val="nil"/>
              <w:bottom w:val="single" w:sz="4" w:space="0" w:color="auto"/>
              <w:right w:val="single" w:sz="4" w:space="0" w:color="auto"/>
            </w:tcBorders>
            <w:shd w:val="clear" w:color="auto" w:fill="auto"/>
            <w:noWrap/>
            <w:vAlign w:val="center"/>
            <w:hideMark/>
          </w:tcPr>
          <w:p w14:paraId="60DF16AB" w14:textId="62A7B0CC" w:rsidR="003C6067" w:rsidRPr="00A52AEE" w:rsidRDefault="00E30B41"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6975842C" w14:textId="5060FAD6" w:rsidR="003C6067" w:rsidRPr="00A52AEE" w:rsidRDefault="00E30B41"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5C5C74F5" w14:textId="25399B04" w:rsidR="003C6067" w:rsidRPr="00A52AEE" w:rsidRDefault="00E30B41" w:rsidP="00A63CC4">
            <w:pPr>
              <w:jc w:val="center"/>
              <w:rPr>
                <w:lang w:eastAsia="en-GB"/>
              </w:rPr>
            </w:pPr>
            <w:r w:rsidRPr="00A52AEE">
              <w:rPr>
                <w:lang w:eastAsia="en-GB"/>
              </w:rPr>
              <w:t>20</w:t>
            </w:r>
          </w:p>
        </w:tc>
      </w:tr>
      <w:tr w:rsidR="00E30B41" w:rsidRPr="00A52AEE" w14:paraId="5F0D51F8"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2C89D475" w14:textId="77777777" w:rsidR="003C6067" w:rsidRPr="00A52AEE" w:rsidRDefault="003C6067" w:rsidP="00A52AEE">
            <w:pPr>
              <w:rPr>
                <w:lang w:eastAsia="en-GB"/>
              </w:rPr>
            </w:pPr>
            <w:r w:rsidRPr="00A52AEE">
              <w:rPr>
                <w:lang w:eastAsia="en-GB"/>
              </w:rPr>
              <w:t>Asian or Asian British –Bangladeshi</w:t>
            </w:r>
          </w:p>
        </w:tc>
        <w:tc>
          <w:tcPr>
            <w:tcW w:w="310" w:type="pct"/>
            <w:tcBorders>
              <w:top w:val="nil"/>
              <w:left w:val="nil"/>
              <w:bottom w:val="single" w:sz="4" w:space="0" w:color="auto"/>
              <w:right w:val="single" w:sz="4" w:space="0" w:color="auto"/>
            </w:tcBorders>
            <w:shd w:val="clear" w:color="auto" w:fill="auto"/>
            <w:noWrap/>
            <w:vAlign w:val="center"/>
            <w:hideMark/>
          </w:tcPr>
          <w:p w14:paraId="3EA859AE" w14:textId="3CD2441D" w:rsidR="003C6067" w:rsidRPr="00A52AEE" w:rsidRDefault="003C6067" w:rsidP="00A63CC4">
            <w:pPr>
              <w:jc w:val="center"/>
              <w:rPr>
                <w:lang w:eastAsia="en-GB"/>
              </w:rPr>
            </w:pPr>
            <w:r w:rsidRPr="00A52AEE">
              <w:rPr>
                <w:lang w:eastAsia="en-GB"/>
              </w:rPr>
              <w:t>9</w:t>
            </w:r>
          </w:p>
        </w:tc>
        <w:tc>
          <w:tcPr>
            <w:tcW w:w="310" w:type="pct"/>
            <w:tcBorders>
              <w:top w:val="nil"/>
              <w:left w:val="nil"/>
              <w:bottom w:val="single" w:sz="4" w:space="0" w:color="auto"/>
              <w:right w:val="single" w:sz="4" w:space="0" w:color="auto"/>
            </w:tcBorders>
            <w:shd w:val="clear" w:color="auto" w:fill="auto"/>
            <w:noWrap/>
            <w:vAlign w:val="center"/>
            <w:hideMark/>
          </w:tcPr>
          <w:p w14:paraId="5B85457F" w14:textId="698BD8BC" w:rsidR="003C6067" w:rsidRPr="00A52AEE" w:rsidRDefault="003C6067" w:rsidP="00A63CC4">
            <w:pPr>
              <w:jc w:val="center"/>
              <w:rPr>
                <w:lang w:eastAsia="en-GB"/>
              </w:rPr>
            </w:pPr>
            <w:r w:rsidRPr="00A52AEE">
              <w:rPr>
                <w:lang w:eastAsia="en-GB"/>
              </w:rPr>
              <w:t>18</w:t>
            </w:r>
          </w:p>
        </w:tc>
        <w:tc>
          <w:tcPr>
            <w:tcW w:w="243" w:type="pct"/>
            <w:tcBorders>
              <w:top w:val="nil"/>
              <w:left w:val="nil"/>
              <w:bottom w:val="single" w:sz="4" w:space="0" w:color="auto"/>
              <w:right w:val="single" w:sz="4" w:space="0" w:color="auto"/>
            </w:tcBorders>
            <w:shd w:val="clear" w:color="auto" w:fill="auto"/>
            <w:noWrap/>
            <w:vAlign w:val="center"/>
            <w:hideMark/>
          </w:tcPr>
          <w:p w14:paraId="22C7F873" w14:textId="35069A16"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6C93090D" w14:textId="59520626" w:rsidR="003C6067" w:rsidRPr="00A52AEE" w:rsidRDefault="003C6067" w:rsidP="00A63CC4">
            <w:pPr>
              <w:jc w:val="center"/>
              <w:rPr>
                <w:lang w:eastAsia="en-GB"/>
              </w:rPr>
            </w:pPr>
            <w:r w:rsidRPr="00A52AEE">
              <w:rPr>
                <w:lang w:eastAsia="en-GB"/>
              </w:rPr>
              <w:t>2</w:t>
            </w:r>
          </w:p>
        </w:tc>
        <w:tc>
          <w:tcPr>
            <w:tcW w:w="244" w:type="pct"/>
            <w:tcBorders>
              <w:top w:val="nil"/>
              <w:left w:val="nil"/>
              <w:bottom w:val="single" w:sz="4" w:space="0" w:color="auto"/>
              <w:right w:val="single" w:sz="4" w:space="0" w:color="auto"/>
            </w:tcBorders>
            <w:shd w:val="clear" w:color="auto" w:fill="auto"/>
            <w:noWrap/>
            <w:vAlign w:val="center"/>
            <w:hideMark/>
          </w:tcPr>
          <w:p w14:paraId="5FCF172E" w14:textId="3AC2B693" w:rsidR="003C6067" w:rsidRPr="00A52AEE" w:rsidRDefault="003C6067" w:rsidP="00A63CC4">
            <w:pPr>
              <w:jc w:val="center"/>
              <w:rPr>
                <w:lang w:eastAsia="en-GB"/>
              </w:rPr>
            </w:pPr>
            <w:r w:rsidRPr="00A52AEE">
              <w:rPr>
                <w:lang w:eastAsia="en-GB"/>
              </w:rPr>
              <w:t>0</w:t>
            </w:r>
          </w:p>
        </w:tc>
        <w:tc>
          <w:tcPr>
            <w:tcW w:w="309" w:type="pct"/>
            <w:tcBorders>
              <w:top w:val="nil"/>
              <w:left w:val="nil"/>
              <w:bottom w:val="single" w:sz="4" w:space="0" w:color="auto"/>
              <w:right w:val="single" w:sz="4" w:space="0" w:color="auto"/>
            </w:tcBorders>
            <w:shd w:val="clear" w:color="auto" w:fill="auto"/>
            <w:noWrap/>
            <w:vAlign w:val="center"/>
            <w:hideMark/>
          </w:tcPr>
          <w:p w14:paraId="26B92970" w14:textId="5AE2E5EA" w:rsidR="003C6067" w:rsidRPr="00A52AEE" w:rsidRDefault="003C6067" w:rsidP="00A63CC4">
            <w:pPr>
              <w:jc w:val="center"/>
              <w:rPr>
                <w:lang w:eastAsia="en-GB"/>
              </w:rPr>
            </w:pPr>
            <w:r w:rsidRPr="00A52AEE">
              <w:rPr>
                <w:lang w:eastAsia="en-GB"/>
              </w:rPr>
              <w:t>9</w:t>
            </w:r>
          </w:p>
        </w:tc>
        <w:tc>
          <w:tcPr>
            <w:tcW w:w="244" w:type="pct"/>
            <w:tcBorders>
              <w:top w:val="nil"/>
              <w:left w:val="nil"/>
              <w:bottom w:val="single" w:sz="4" w:space="0" w:color="auto"/>
              <w:right w:val="single" w:sz="4" w:space="0" w:color="auto"/>
            </w:tcBorders>
            <w:shd w:val="clear" w:color="auto" w:fill="auto"/>
            <w:noWrap/>
            <w:vAlign w:val="center"/>
            <w:hideMark/>
          </w:tcPr>
          <w:p w14:paraId="28776C7B" w14:textId="4D9B2AE8" w:rsidR="003C6067" w:rsidRPr="00A52AEE" w:rsidRDefault="003C6067" w:rsidP="00A63CC4">
            <w:pPr>
              <w:jc w:val="center"/>
              <w:rPr>
                <w:lang w:eastAsia="en-GB"/>
              </w:rPr>
            </w:pPr>
            <w:r w:rsidRPr="00A52AEE">
              <w:rPr>
                <w:lang w:eastAsia="en-GB"/>
              </w:rPr>
              <w:t>0</w:t>
            </w:r>
          </w:p>
        </w:tc>
        <w:tc>
          <w:tcPr>
            <w:tcW w:w="309" w:type="pct"/>
            <w:tcBorders>
              <w:top w:val="nil"/>
              <w:left w:val="nil"/>
              <w:bottom w:val="single" w:sz="4" w:space="0" w:color="auto"/>
              <w:right w:val="single" w:sz="4" w:space="0" w:color="auto"/>
            </w:tcBorders>
            <w:shd w:val="clear" w:color="auto" w:fill="auto"/>
            <w:noWrap/>
            <w:vAlign w:val="center"/>
            <w:hideMark/>
          </w:tcPr>
          <w:p w14:paraId="08896668" w14:textId="54C9EB82"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1A2A4E58" w14:textId="2447954A" w:rsidR="003C6067" w:rsidRPr="00A52AEE" w:rsidRDefault="003C6067" w:rsidP="00A63CC4">
            <w:pPr>
              <w:jc w:val="center"/>
              <w:rPr>
                <w:lang w:eastAsia="en-GB"/>
              </w:rPr>
            </w:pPr>
            <w:r w:rsidRPr="00A52AEE">
              <w:rPr>
                <w:lang w:eastAsia="en-GB"/>
              </w:rPr>
              <w:t>11</w:t>
            </w:r>
          </w:p>
        </w:tc>
        <w:tc>
          <w:tcPr>
            <w:tcW w:w="242" w:type="pct"/>
            <w:tcBorders>
              <w:top w:val="nil"/>
              <w:left w:val="nil"/>
              <w:bottom w:val="single" w:sz="4" w:space="0" w:color="auto"/>
              <w:right w:val="single" w:sz="4" w:space="0" w:color="auto"/>
            </w:tcBorders>
            <w:shd w:val="clear" w:color="auto" w:fill="auto"/>
            <w:noWrap/>
            <w:vAlign w:val="center"/>
            <w:hideMark/>
          </w:tcPr>
          <w:p w14:paraId="640C4009" w14:textId="693705E2" w:rsidR="003C6067" w:rsidRPr="00A52AEE" w:rsidRDefault="003C6067"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450190B5" w14:textId="7EE98C4F" w:rsidR="003C6067" w:rsidRPr="00A52AEE" w:rsidRDefault="003C6067" w:rsidP="00A63CC4">
            <w:pPr>
              <w:jc w:val="center"/>
              <w:rPr>
                <w:lang w:eastAsia="en-GB"/>
              </w:rPr>
            </w:pPr>
            <w:r w:rsidRPr="00A52AEE">
              <w:rPr>
                <w:lang w:eastAsia="en-GB"/>
              </w:rPr>
              <w:t>11</w:t>
            </w:r>
          </w:p>
        </w:tc>
        <w:tc>
          <w:tcPr>
            <w:tcW w:w="243" w:type="pct"/>
            <w:tcBorders>
              <w:top w:val="nil"/>
              <w:left w:val="nil"/>
              <w:bottom w:val="single" w:sz="4" w:space="0" w:color="auto"/>
              <w:right w:val="single" w:sz="4" w:space="0" w:color="auto"/>
            </w:tcBorders>
            <w:shd w:val="clear" w:color="auto" w:fill="auto"/>
            <w:noWrap/>
            <w:vAlign w:val="center"/>
            <w:hideMark/>
          </w:tcPr>
          <w:p w14:paraId="681937C2" w14:textId="60B8B167" w:rsidR="003C6067" w:rsidRPr="00A52AEE" w:rsidRDefault="003C6067" w:rsidP="00A63CC4">
            <w:pPr>
              <w:jc w:val="center"/>
              <w:rPr>
                <w:lang w:eastAsia="en-GB"/>
              </w:rPr>
            </w:pPr>
            <w:r w:rsidRPr="00A52AEE">
              <w:rPr>
                <w:lang w:eastAsia="en-GB"/>
              </w:rPr>
              <w:t>9</w:t>
            </w:r>
          </w:p>
        </w:tc>
        <w:tc>
          <w:tcPr>
            <w:tcW w:w="243" w:type="pct"/>
            <w:tcBorders>
              <w:top w:val="nil"/>
              <w:left w:val="nil"/>
              <w:bottom w:val="single" w:sz="4" w:space="0" w:color="auto"/>
              <w:right w:val="single" w:sz="4" w:space="0" w:color="auto"/>
            </w:tcBorders>
            <w:shd w:val="clear" w:color="auto" w:fill="auto"/>
            <w:noWrap/>
            <w:vAlign w:val="center"/>
            <w:hideMark/>
          </w:tcPr>
          <w:p w14:paraId="2A7CFCAC" w14:textId="287A9C41"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17F61B3E" w14:textId="02C9294E"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577FDB4F" w14:textId="7A4257F2" w:rsidR="003C6067" w:rsidRPr="00A52AEE" w:rsidRDefault="003C6067" w:rsidP="00A63CC4">
            <w:pPr>
              <w:jc w:val="center"/>
              <w:rPr>
                <w:lang w:eastAsia="en-GB"/>
              </w:rPr>
            </w:pPr>
            <w:r w:rsidRPr="00A52AEE">
              <w:rPr>
                <w:lang w:eastAsia="en-GB"/>
              </w:rPr>
              <w:t>24</w:t>
            </w:r>
          </w:p>
        </w:tc>
      </w:tr>
      <w:tr w:rsidR="00E30B41" w:rsidRPr="00A52AEE" w14:paraId="4F4F974D"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1D0E82FE" w14:textId="77777777" w:rsidR="003C6067" w:rsidRPr="00A52AEE" w:rsidRDefault="003C6067" w:rsidP="00A52AEE">
            <w:pPr>
              <w:rPr>
                <w:lang w:eastAsia="en-GB"/>
              </w:rPr>
            </w:pPr>
            <w:r w:rsidRPr="00A52AEE">
              <w:rPr>
                <w:lang w:eastAsia="en-GB"/>
              </w:rPr>
              <w:t>Asian or Asian British –Indian</w:t>
            </w:r>
          </w:p>
        </w:tc>
        <w:tc>
          <w:tcPr>
            <w:tcW w:w="310" w:type="pct"/>
            <w:tcBorders>
              <w:top w:val="nil"/>
              <w:left w:val="nil"/>
              <w:bottom w:val="single" w:sz="4" w:space="0" w:color="auto"/>
              <w:right w:val="single" w:sz="4" w:space="0" w:color="auto"/>
            </w:tcBorders>
            <w:shd w:val="clear" w:color="auto" w:fill="auto"/>
            <w:noWrap/>
            <w:vAlign w:val="center"/>
            <w:hideMark/>
          </w:tcPr>
          <w:p w14:paraId="50C41354" w14:textId="5E34CB1D" w:rsidR="003C6067" w:rsidRPr="00A52AEE" w:rsidRDefault="003C6067" w:rsidP="00A63CC4">
            <w:pPr>
              <w:jc w:val="center"/>
              <w:rPr>
                <w:lang w:eastAsia="en-GB"/>
              </w:rPr>
            </w:pPr>
            <w:r w:rsidRPr="00A52AEE">
              <w:rPr>
                <w:lang w:eastAsia="en-GB"/>
              </w:rPr>
              <w:t>5</w:t>
            </w:r>
          </w:p>
        </w:tc>
        <w:tc>
          <w:tcPr>
            <w:tcW w:w="310" w:type="pct"/>
            <w:tcBorders>
              <w:top w:val="nil"/>
              <w:left w:val="nil"/>
              <w:bottom w:val="single" w:sz="4" w:space="0" w:color="auto"/>
              <w:right w:val="single" w:sz="4" w:space="0" w:color="auto"/>
            </w:tcBorders>
            <w:shd w:val="clear" w:color="auto" w:fill="auto"/>
            <w:noWrap/>
            <w:vAlign w:val="center"/>
            <w:hideMark/>
          </w:tcPr>
          <w:p w14:paraId="0D265B2E" w14:textId="2A60ED2E" w:rsidR="003C6067" w:rsidRPr="00A52AEE" w:rsidRDefault="003C6067" w:rsidP="00A63CC4">
            <w:pPr>
              <w:jc w:val="center"/>
              <w:rPr>
                <w:lang w:eastAsia="en-GB"/>
              </w:rPr>
            </w:pPr>
            <w:r w:rsidRPr="00A52AEE">
              <w:rPr>
                <w:lang w:eastAsia="en-GB"/>
              </w:rPr>
              <w:t>24</w:t>
            </w:r>
          </w:p>
        </w:tc>
        <w:tc>
          <w:tcPr>
            <w:tcW w:w="243" w:type="pct"/>
            <w:tcBorders>
              <w:top w:val="nil"/>
              <w:left w:val="nil"/>
              <w:bottom w:val="single" w:sz="4" w:space="0" w:color="auto"/>
              <w:right w:val="single" w:sz="4" w:space="0" w:color="auto"/>
            </w:tcBorders>
            <w:shd w:val="clear" w:color="auto" w:fill="auto"/>
            <w:noWrap/>
            <w:vAlign w:val="center"/>
            <w:hideMark/>
          </w:tcPr>
          <w:p w14:paraId="1384A923" w14:textId="6377C8CA"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63596ABF" w14:textId="055EC760"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786102B7" w14:textId="2013671F"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3CB224CF" w14:textId="2367E169" w:rsidR="003C6067" w:rsidRPr="00A52AEE" w:rsidRDefault="003C6067" w:rsidP="00A63CC4">
            <w:pPr>
              <w:jc w:val="center"/>
              <w:rPr>
                <w:lang w:eastAsia="en-GB"/>
              </w:rPr>
            </w:pPr>
            <w:r w:rsidRPr="00A52AEE">
              <w:rPr>
                <w:lang w:eastAsia="en-GB"/>
              </w:rPr>
              <w:t>12</w:t>
            </w:r>
          </w:p>
        </w:tc>
        <w:tc>
          <w:tcPr>
            <w:tcW w:w="244" w:type="pct"/>
            <w:tcBorders>
              <w:top w:val="nil"/>
              <w:left w:val="nil"/>
              <w:bottom w:val="single" w:sz="4" w:space="0" w:color="auto"/>
              <w:right w:val="single" w:sz="4" w:space="0" w:color="auto"/>
            </w:tcBorders>
            <w:shd w:val="clear" w:color="auto" w:fill="auto"/>
            <w:noWrap/>
            <w:vAlign w:val="center"/>
            <w:hideMark/>
          </w:tcPr>
          <w:p w14:paraId="193AFCA2" w14:textId="633F481E"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06FA87C1" w14:textId="0DBE91F9" w:rsidR="003C6067" w:rsidRPr="00A52AEE" w:rsidRDefault="003C6067" w:rsidP="00A63CC4">
            <w:pPr>
              <w:jc w:val="center"/>
              <w:rPr>
                <w:lang w:eastAsia="en-GB"/>
              </w:rPr>
            </w:pPr>
            <w:r w:rsidRPr="00A52AEE">
              <w:rPr>
                <w:lang w:eastAsia="en-GB"/>
              </w:rPr>
              <w:t>4</w:t>
            </w:r>
          </w:p>
        </w:tc>
        <w:tc>
          <w:tcPr>
            <w:tcW w:w="309" w:type="pct"/>
            <w:tcBorders>
              <w:top w:val="nil"/>
              <w:left w:val="nil"/>
              <w:bottom w:val="single" w:sz="4" w:space="0" w:color="auto"/>
              <w:right w:val="single" w:sz="4" w:space="0" w:color="auto"/>
            </w:tcBorders>
            <w:shd w:val="clear" w:color="auto" w:fill="auto"/>
            <w:noWrap/>
            <w:vAlign w:val="center"/>
            <w:hideMark/>
          </w:tcPr>
          <w:p w14:paraId="5436B3BB" w14:textId="62F2C696" w:rsidR="003C6067" w:rsidRPr="00A52AEE" w:rsidRDefault="003C6067" w:rsidP="00A63CC4">
            <w:pPr>
              <w:jc w:val="center"/>
              <w:rPr>
                <w:lang w:eastAsia="en-GB"/>
              </w:rPr>
            </w:pPr>
            <w:r w:rsidRPr="00A52AEE">
              <w:rPr>
                <w:lang w:eastAsia="en-GB"/>
              </w:rPr>
              <w:t>11</w:t>
            </w:r>
          </w:p>
        </w:tc>
        <w:tc>
          <w:tcPr>
            <w:tcW w:w="242" w:type="pct"/>
            <w:tcBorders>
              <w:top w:val="nil"/>
              <w:left w:val="nil"/>
              <w:bottom w:val="single" w:sz="4" w:space="0" w:color="auto"/>
              <w:right w:val="single" w:sz="4" w:space="0" w:color="auto"/>
            </w:tcBorders>
            <w:shd w:val="clear" w:color="auto" w:fill="auto"/>
            <w:noWrap/>
            <w:vAlign w:val="center"/>
            <w:hideMark/>
          </w:tcPr>
          <w:p w14:paraId="5199E4C0" w14:textId="16B94D20" w:rsidR="003C6067" w:rsidRPr="00A52AEE" w:rsidRDefault="003C6067" w:rsidP="00A63CC4">
            <w:pPr>
              <w:jc w:val="center"/>
              <w:rPr>
                <w:lang w:eastAsia="en-GB"/>
              </w:rPr>
            </w:pPr>
            <w:r w:rsidRPr="00A52AEE">
              <w:rPr>
                <w:lang w:eastAsia="en-GB"/>
              </w:rPr>
              <w:t>1</w:t>
            </w:r>
          </w:p>
        </w:tc>
        <w:tc>
          <w:tcPr>
            <w:tcW w:w="308" w:type="pct"/>
            <w:tcBorders>
              <w:top w:val="nil"/>
              <w:left w:val="nil"/>
              <w:bottom w:val="single" w:sz="4" w:space="0" w:color="auto"/>
              <w:right w:val="single" w:sz="4" w:space="0" w:color="auto"/>
            </w:tcBorders>
            <w:shd w:val="clear" w:color="auto" w:fill="auto"/>
            <w:noWrap/>
            <w:vAlign w:val="center"/>
            <w:hideMark/>
          </w:tcPr>
          <w:p w14:paraId="17E96F19" w14:textId="5DD075ED"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7157C149" w14:textId="2148F2DF" w:rsidR="003C6067" w:rsidRPr="00A52AEE" w:rsidRDefault="003C6067" w:rsidP="00A63CC4">
            <w:pPr>
              <w:jc w:val="center"/>
              <w:rPr>
                <w:lang w:eastAsia="en-GB"/>
              </w:rPr>
            </w:pPr>
            <w:r w:rsidRPr="00A52AEE">
              <w:rPr>
                <w:lang w:eastAsia="en-GB"/>
              </w:rPr>
              <w:t>4</w:t>
            </w:r>
          </w:p>
        </w:tc>
        <w:tc>
          <w:tcPr>
            <w:tcW w:w="243" w:type="pct"/>
            <w:tcBorders>
              <w:top w:val="nil"/>
              <w:left w:val="nil"/>
              <w:bottom w:val="single" w:sz="4" w:space="0" w:color="auto"/>
              <w:right w:val="single" w:sz="4" w:space="0" w:color="auto"/>
            </w:tcBorders>
            <w:shd w:val="clear" w:color="auto" w:fill="auto"/>
            <w:noWrap/>
            <w:vAlign w:val="center"/>
            <w:hideMark/>
          </w:tcPr>
          <w:p w14:paraId="4E9EF7FE" w14:textId="069A0C76"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439CA975" w14:textId="5EDCCE3A"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6C1DD3B4" w14:textId="57E06C39" w:rsidR="003C6067" w:rsidRPr="00A52AEE" w:rsidRDefault="003C6067" w:rsidP="00A63CC4">
            <w:pPr>
              <w:jc w:val="center"/>
              <w:rPr>
                <w:lang w:eastAsia="en-GB"/>
              </w:rPr>
            </w:pPr>
            <w:r w:rsidRPr="00A52AEE">
              <w:rPr>
                <w:lang w:eastAsia="en-GB"/>
              </w:rPr>
              <w:t>24</w:t>
            </w:r>
          </w:p>
        </w:tc>
      </w:tr>
      <w:tr w:rsidR="00E30B41" w:rsidRPr="00A52AEE" w14:paraId="78E285B2"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3B6C4901" w14:textId="77777777" w:rsidR="003C6067" w:rsidRPr="00A52AEE" w:rsidRDefault="003C6067" w:rsidP="00A52AEE">
            <w:pPr>
              <w:rPr>
                <w:lang w:eastAsia="en-GB"/>
              </w:rPr>
            </w:pPr>
            <w:r w:rsidRPr="00A52AEE">
              <w:rPr>
                <w:lang w:eastAsia="en-GB"/>
              </w:rPr>
              <w:t>Asian or Asian British –Pakistani</w:t>
            </w:r>
          </w:p>
        </w:tc>
        <w:tc>
          <w:tcPr>
            <w:tcW w:w="310" w:type="pct"/>
            <w:tcBorders>
              <w:top w:val="nil"/>
              <w:left w:val="nil"/>
              <w:bottom w:val="single" w:sz="4" w:space="0" w:color="auto"/>
              <w:right w:val="single" w:sz="4" w:space="0" w:color="auto"/>
            </w:tcBorders>
            <w:shd w:val="clear" w:color="auto" w:fill="auto"/>
            <w:noWrap/>
            <w:vAlign w:val="center"/>
            <w:hideMark/>
          </w:tcPr>
          <w:p w14:paraId="443971A5" w14:textId="615CC346" w:rsidR="003C6067" w:rsidRPr="00A52AEE" w:rsidRDefault="003C6067" w:rsidP="00A63CC4">
            <w:pPr>
              <w:jc w:val="center"/>
              <w:rPr>
                <w:lang w:eastAsia="en-GB"/>
              </w:rPr>
            </w:pPr>
            <w:r w:rsidRPr="00A52AEE">
              <w:rPr>
                <w:lang w:eastAsia="en-GB"/>
              </w:rPr>
              <w:t>6</w:t>
            </w:r>
          </w:p>
        </w:tc>
        <w:tc>
          <w:tcPr>
            <w:tcW w:w="310" w:type="pct"/>
            <w:tcBorders>
              <w:top w:val="nil"/>
              <w:left w:val="nil"/>
              <w:bottom w:val="single" w:sz="4" w:space="0" w:color="auto"/>
              <w:right w:val="single" w:sz="4" w:space="0" w:color="auto"/>
            </w:tcBorders>
            <w:shd w:val="clear" w:color="auto" w:fill="auto"/>
            <w:noWrap/>
            <w:vAlign w:val="center"/>
            <w:hideMark/>
          </w:tcPr>
          <w:p w14:paraId="6AC9AF50" w14:textId="3EBC4798" w:rsidR="003C6067" w:rsidRPr="00A52AEE" w:rsidRDefault="003C6067" w:rsidP="00A63CC4">
            <w:pPr>
              <w:jc w:val="center"/>
              <w:rPr>
                <w:lang w:eastAsia="en-GB"/>
              </w:rPr>
            </w:pPr>
            <w:r w:rsidRPr="00A52AEE">
              <w:rPr>
                <w:lang w:eastAsia="en-GB"/>
              </w:rPr>
              <w:t>21</w:t>
            </w:r>
          </w:p>
        </w:tc>
        <w:tc>
          <w:tcPr>
            <w:tcW w:w="243" w:type="pct"/>
            <w:tcBorders>
              <w:top w:val="nil"/>
              <w:left w:val="nil"/>
              <w:bottom w:val="single" w:sz="4" w:space="0" w:color="auto"/>
              <w:right w:val="single" w:sz="4" w:space="0" w:color="auto"/>
            </w:tcBorders>
            <w:shd w:val="clear" w:color="auto" w:fill="auto"/>
            <w:noWrap/>
            <w:vAlign w:val="center"/>
            <w:hideMark/>
          </w:tcPr>
          <w:p w14:paraId="5657913D" w14:textId="58137306"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786BB0B1" w14:textId="7D30A117"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566666D8" w14:textId="4DA0EF7B"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31843FB7" w14:textId="321032E7" w:rsidR="003C6067" w:rsidRPr="00A52AEE" w:rsidRDefault="003C6067" w:rsidP="00A63CC4">
            <w:pPr>
              <w:jc w:val="center"/>
              <w:rPr>
                <w:lang w:eastAsia="en-GB"/>
              </w:rPr>
            </w:pPr>
            <w:r w:rsidRPr="00A52AEE">
              <w:rPr>
                <w:lang w:eastAsia="en-GB"/>
              </w:rPr>
              <w:t>12</w:t>
            </w:r>
          </w:p>
        </w:tc>
        <w:tc>
          <w:tcPr>
            <w:tcW w:w="244" w:type="pct"/>
            <w:tcBorders>
              <w:top w:val="nil"/>
              <w:left w:val="nil"/>
              <w:bottom w:val="single" w:sz="4" w:space="0" w:color="auto"/>
              <w:right w:val="single" w:sz="4" w:space="0" w:color="auto"/>
            </w:tcBorders>
            <w:shd w:val="clear" w:color="auto" w:fill="auto"/>
            <w:noWrap/>
            <w:vAlign w:val="center"/>
            <w:hideMark/>
          </w:tcPr>
          <w:p w14:paraId="398D21C1" w14:textId="327D8D01"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7654AD85" w14:textId="159724F9"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2991C14D" w14:textId="6272347B" w:rsidR="003C6067" w:rsidRPr="00A52AEE" w:rsidRDefault="003C6067" w:rsidP="00A63CC4">
            <w:pPr>
              <w:jc w:val="center"/>
              <w:rPr>
                <w:lang w:eastAsia="en-GB"/>
              </w:rPr>
            </w:pPr>
            <w:r w:rsidRPr="00A52AEE">
              <w:rPr>
                <w:lang w:eastAsia="en-GB"/>
              </w:rPr>
              <w:t>9</w:t>
            </w:r>
          </w:p>
        </w:tc>
        <w:tc>
          <w:tcPr>
            <w:tcW w:w="242" w:type="pct"/>
            <w:tcBorders>
              <w:top w:val="nil"/>
              <w:left w:val="nil"/>
              <w:bottom w:val="single" w:sz="4" w:space="0" w:color="auto"/>
              <w:right w:val="single" w:sz="4" w:space="0" w:color="auto"/>
            </w:tcBorders>
            <w:shd w:val="clear" w:color="auto" w:fill="auto"/>
            <w:noWrap/>
            <w:vAlign w:val="center"/>
            <w:hideMark/>
          </w:tcPr>
          <w:p w14:paraId="57B175B9" w14:textId="52542C39" w:rsidR="003C6067" w:rsidRPr="00A52AEE" w:rsidRDefault="003C6067"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4DFE1060" w14:textId="023162DF"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26C7085F" w14:textId="3BAAC886"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3C98E1A7" w14:textId="21DB8969"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5015A5E6" w14:textId="7E334B9F"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698A4769" w14:textId="10E901BC" w:rsidR="003C6067" w:rsidRPr="00A52AEE" w:rsidRDefault="003C6067" w:rsidP="00A63CC4">
            <w:pPr>
              <w:jc w:val="center"/>
              <w:rPr>
                <w:lang w:eastAsia="en-GB"/>
              </w:rPr>
            </w:pPr>
            <w:r w:rsidRPr="00A52AEE">
              <w:rPr>
                <w:lang w:eastAsia="en-GB"/>
              </w:rPr>
              <w:t>28</w:t>
            </w:r>
          </w:p>
        </w:tc>
      </w:tr>
      <w:tr w:rsidR="00E30B41" w:rsidRPr="00A52AEE" w14:paraId="54FCCD16"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252FF5DA" w14:textId="77777777" w:rsidR="003C6067" w:rsidRPr="00A52AEE" w:rsidRDefault="003C6067" w:rsidP="00A52AEE">
            <w:pPr>
              <w:rPr>
                <w:lang w:eastAsia="en-GB"/>
              </w:rPr>
            </w:pPr>
            <w:r w:rsidRPr="00A52AEE">
              <w:rPr>
                <w:lang w:eastAsia="en-GB"/>
              </w:rPr>
              <w:t>Black or Black British - any other Black background</w:t>
            </w:r>
          </w:p>
        </w:tc>
        <w:tc>
          <w:tcPr>
            <w:tcW w:w="310" w:type="pct"/>
            <w:tcBorders>
              <w:top w:val="nil"/>
              <w:left w:val="nil"/>
              <w:bottom w:val="single" w:sz="4" w:space="0" w:color="auto"/>
              <w:right w:val="single" w:sz="4" w:space="0" w:color="auto"/>
            </w:tcBorders>
            <w:shd w:val="clear" w:color="auto" w:fill="auto"/>
            <w:noWrap/>
            <w:vAlign w:val="center"/>
            <w:hideMark/>
          </w:tcPr>
          <w:p w14:paraId="3BF76D29" w14:textId="55F43D39" w:rsidR="003C6067" w:rsidRPr="00A52AEE" w:rsidRDefault="003C6067" w:rsidP="00A63CC4">
            <w:pPr>
              <w:jc w:val="center"/>
              <w:rPr>
                <w:lang w:eastAsia="en-GB"/>
              </w:rPr>
            </w:pPr>
            <w:r w:rsidRPr="00A52AEE">
              <w:rPr>
                <w:lang w:eastAsia="en-GB"/>
              </w:rPr>
              <w:t>11</w:t>
            </w:r>
          </w:p>
        </w:tc>
        <w:tc>
          <w:tcPr>
            <w:tcW w:w="310" w:type="pct"/>
            <w:tcBorders>
              <w:top w:val="nil"/>
              <w:left w:val="nil"/>
              <w:bottom w:val="single" w:sz="4" w:space="0" w:color="auto"/>
              <w:right w:val="single" w:sz="4" w:space="0" w:color="auto"/>
            </w:tcBorders>
            <w:shd w:val="clear" w:color="auto" w:fill="auto"/>
            <w:noWrap/>
            <w:vAlign w:val="center"/>
            <w:hideMark/>
          </w:tcPr>
          <w:p w14:paraId="1E2383E1" w14:textId="15DD88D4" w:rsidR="003C6067" w:rsidRPr="00A52AEE" w:rsidRDefault="003C6067" w:rsidP="00A63CC4">
            <w:pPr>
              <w:jc w:val="center"/>
              <w:rPr>
                <w:lang w:eastAsia="en-GB"/>
              </w:rPr>
            </w:pPr>
            <w:r w:rsidRPr="00A52AEE">
              <w:rPr>
                <w:lang w:eastAsia="en-GB"/>
              </w:rPr>
              <w:t>11</w:t>
            </w:r>
          </w:p>
        </w:tc>
        <w:tc>
          <w:tcPr>
            <w:tcW w:w="243" w:type="pct"/>
            <w:tcBorders>
              <w:top w:val="nil"/>
              <w:left w:val="nil"/>
              <w:bottom w:val="single" w:sz="4" w:space="0" w:color="auto"/>
              <w:right w:val="single" w:sz="4" w:space="0" w:color="auto"/>
            </w:tcBorders>
            <w:shd w:val="clear" w:color="auto" w:fill="auto"/>
            <w:noWrap/>
            <w:vAlign w:val="center"/>
            <w:hideMark/>
          </w:tcPr>
          <w:p w14:paraId="53871B3D" w14:textId="6ED6EDAD"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012CDE76" w14:textId="4668FCAF"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315F0C8A" w14:textId="44B2A2B6"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2670E267" w14:textId="1418F17E" w:rsidR="003C6067" w:rsidRPr="00A52AEE" w:rsidRDefault="003C6067" w:rsidP="00A63CC4">
            <w:pPr>
              <w:jc w:val="center"/>
              <w:rPr>
                <w:lang w:eastAsia="en-GB"/>
              </w:rPr>
            </w:pPr>
            <w:r w:rsidRPr="00A52AEE">
              <w:rPr>
                <w:lang w:eastAsia="en-GB"/>
              </w:rPr>
              <w:t>7</w:t>
            </w:r>
          </w:p>
        </w:tc>
        <w:tc>
          <w:tcPr>
            <w:tcW w:w="244" w:type="pct"/>
            <w:tcBorders>
              <w:top w:val="nil"/>
              <w:left w:val="nil"/>
              <w:bottom w:val="single" w:sz="4" w:space="0" w:color="auto"/>
              <w:right w:val="single" w:sz="4" w:space="0" w:color="auto"/>
            </w:tcBorders>
            <w:shd w:val="clear" w:color="auto" w:fill="auto"/>
            <w:noWrap/>
            <w:vAlign w:val="center"/>
            <w:hideMark/>
          </w:tcPr>
          <w:p w14:paraId="53AA4758" w14:textId="1BF52C4B"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467FECD2" w14:textId="27B0F198" w:rsidR="003C6067" w:rsidRPr="00A52AEE" w:rsidRDefault="003C6067" w:rsidP="00A63CC4">
            <w:pPr>
              <w:jc w:val="center"/>
              <w:rPr>
                <w:lang w:eastAsia="en-GB"/>
              </w:rPr>
            </w:pPr>
            <w:r w:rsidRPr="00A52AEE">
              <w:rPr>
                <w:lang w:eastAsia="en-GB"/>
              </w:rPr>
              <w:t>8</w:t>
            </w:r>
          </w:p>
        </w:tc>
        <w:tc>
          <w:tcPr>
            <w:tcW w:w="309" w:type="pct"/>
            <w:tcBorders>
              <w:top w:val="nil"/>
              <w:left w:val="nil"/>
              <w:bottom w:val="single" w:sz="4" w:space="0" w:color="auto"/>
              <w:right w:val="single" w:sz="4" w:space="0" w:color="auto"/>
            </w:tcBorders>
            <w:shd w:val="clear" w:color="auto" w:fill="auto"/>
            <w:noWrap/>
            <w:vAlign w:val="center"/>
            <w:hideMark/>
          </w:tcPr>
          <w:p w14:paraId="34AD2163" w14:textId="4A311E79" w:rsidR="003C6067" w:rsidRPr="00A52AEE" w:rsidRDefault="003C6067" w:rsidP="00A63CC4">
            <w:pPr>
              <w:jc w:val="center"/>
              <w:rPr>
                <w:lang w:eastAsia="en-GB"/>
              </w:rPr>
            </w:pPr>
            <w:r w:rsidRPr="00A52AEE">
              <w:rPr>
                <w:lang w:eastAsia="en-GB"/>
              </w:rPr>
              <w:t>24</w:t>
            </w:r>
          </w:p>
        </w:tc>
        <w:tc>
          <w:tcPr>
            <w:tcW w:w="242" w:type="pct"/>
            <w:tcBorders>
              <w:top w:val="nil"/>
              <w:left w:val="nil"/>
              <w:bottom w:val="single" w:sz="4" w:space="0" w:color="auto"/>
              <w:right w:val="single" w:sz="4" w:space="0" w:color="auto"/>
            </w:tcBorders>
            <w:shd w:val="clear" w:color="auto" w:fill="auto"/>
            <w:noWrap/>
            <w:vAlign w:val="center"/>
            <w:hideMark/>
          </w:tcPr>
          <w:p w14:paraId="70E6986C" w14:textId="596AE205"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59724FAF" w14:textId="746DC064"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1167CE82" w14:textId="317AAFB8"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566A1436" w14:textId="4AB3F531"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3E96444B" w14:textId="74D24059"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25C6C192" w14:textId="40FB9795" w:rsidR="003C6067" w:rsidRPr="00A52AEE" w:rsidRDefault="003C6067" w:rsidP="00A63CC4">
            <w:pPr>
              <w:jc w:val="center"/>
              <w:rPr>
                <w:lang w:eastAsia="en-GB"/>
              </w:rPr>
            </w:pPr>
            <w:r w:rsidRPr="00A52AEE">
              <w:rPr>
                <w:lang w:eastAsia="en-GB"/>
              </w:rPr>
              <w:t>16</w:t>
            </w:r>
          </w:p>
        </w:tc>
      </w:tr>
      <w:tr w:rsidR="00E30B41" w:rsidRPr="00A52AEE" w14:paraId="5D7DB589"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0154B70A" w14:textId="77777777" w:rsidR="003C6067" w:rsidRPr="00A52AEE" w:rsidRDefault="003C6067" w:rsidP="00A52AEE">
            <w:pPr>
              <w:rPr>
                <w:lang w:eastAsia="en-GB"/>
              </w:rPr>
            </w:pPr>
            <w:r w:rsidRPr="00A52AEE">
              <w:rPr>
                <w:lang w:eastAsia="en-GB"/>
              </w:rPr>
              <w:t>Black or Black British –African</w:t>
            </w:r>
          </w:p>
        </w:tc>
        <w:tc>
          <w:tcPr>
            <w:tcW w:w="310" w:type="pct"/>
            <w:tcBorders>
              <w:top w:val="nil"/>
              <w:left w:val="nil"/>
              <w:bottom w:val="single" w:sz="4" w:space="0" w:color="auto"/>
              <w:right w:val="single" w:sz="4" w:space="0" w:color="auto"/>
            </w:tcBorders>
            <w:shd w:val="clear" w:color="auto" w:fill="auto"/>
            <w:noWrap/>
            <w:vAlign w:val="center"/>
            <w:hideMark/>
          </w:tcPr>
          <w:p w14:paraId="29FE9948" w14:textId="0EF315B6" w:rsidR="003C6067" w:rsidRPr="00A52AEE" w:rsidRDefault="003C6067" w:rsidP="00A63CC4">
            <w:pPr>
              <w:jc w:val="center"/>
              <w:rPr>
                <w:lang w:eastAsia="en-GB"/>
              </w:rPr>
            </w:pPr>
            <w:r w:rsidRPr="00A52AEE">
              <w:rPr>
                <w:lang w:eastAsia="en-GB"/>
              </w:rPr>
              <w:t>10</w:t>
            </w:r>
          </w:p>
        </w:tc>
        <w:tc>
          <w:tcPr>
            <w:tcW w:w="310" w:type="pct"/>
            <w:tcBorders>
              <w:top w:val="nil"/>
              <w:left w:val="nil"/>
              <w:bottom w:val="single" w:sz="4" w:space="0" w:color="auto"/>
              <w:right w:val="single" w:sz="4" w:space="0" w:color="auto"/>
            </w:tcBorders>
            <w:shd w:val="clear" w:color="auto" w:fill="auto"/>
            <w:noWrap/>
            <w:vAlign w:val="center"/>
            <w:hideMark/>
          </w:tcPr>
          <w:p w14:paraId="274B1DCD" w14:textId="1E948DC8" w:rsidR="003C6067" w:rsidRPr="00A52AEE" w:rsidRDefault="003C6067" w:rsidP="00A63CC4">
            <w:pPr>
              <w:jc w:val="center"/>
              <w:rPr>
                <w:lang w:eastAsia="en-GB"/>
              </w:rPr>
            </w:pPr>
            <w:r w:rsidRPr="00A52AEE">
              <w:rPr>
                <w:lang w:eastAsia="en-GB"/>
              </w:rPr>
              <w:t>17</w:t>
            </w:r>
          </w:p>
        </w:tc>
        <w:tc>
          <w:tcPr>
            <w:tcW w:w="243" w:type="pct"/>
            <w:tcBorders>
              <w:top w:val="nil"/>
              <w:left w:val="nil"/>
              <w:bottom w:val="single" w:sz="4" w:space="0" w:color="auto"/>
              <w:right w:val="single" w:sz="4" w:space="0" w:color="auto"/>
            </w:tcBorders>
            <w:shd w:val="clear" w:color="auto" w:fill="auto"/>
            <w:noWrap/>
            <w:vAlign w:val="center"/>
            <w:hideMark/>
          </w:tcPr>
          <w:p w14:paraId="07C2FAC2" w14:textId="44100101"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5E1AA5ED" w14:textId="35036AEA"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3F5C5532" w14:textId="5F296DE5" w:rsidR="003C6067" w:rsidRPr="00A52AEE" w:rsidRDefault="003C6067" w:rsidP="00A63CC4">
            <w:pPr>
              <w:jc w:val="center"/>
              <w:rPr>
                <w:lang w:eastAsia="en-GB"/>
              </w:rPr>
            </w:pPr>
            <w:r w:rsidRPr="00A52AEE">
              <w:rPr>
                <w:lang w:eastAsia="en-GB"/>
              </w:rPr>
              <w:t>0</w:t>
            </w:r>
          </w:p>
        </w:tc>
        <w:tc>
          <w:tcPr>
            <w:tcW w:w="309" w:type="pct"/>
            <w:tcBorders>
              <w:top w:val="nil"/>
              <w:left w:val="nil"/>
              <w:bottom w:val="single" w:sz="4" w:space="0" w:color="auto"/>
              <w:right w:val="single" w:sz="4" w:space="0" w:color="auto"/>
            </w:tcBorders>
            <w:shd w:val="clear" w:color="auto" w:fill="auto"/>
            <w:noWrap/>
            <w:vAlign w:val="center"/>
            <w:hideMark/>
          </w:tcPr>
          <w:p w14:paraId="543D2419" w14:textId="5369D0B1" w:rsidR="003C6067" w:rsidRPr="00A52AEE" w:rsidRDefault="003C6067" w:rsidP="00A63CC4">
            <w:pPr>
              <w:jc w:val="center"/>
              <w:rPr>
                <w:lang w:eastAsia="en-GB"/>
              </w:rPr>
            </w:pPr>
            <w:r w:rsidRPr="00A52AEE">
              <w:rPr>
                <w:lang w:eastAsia="en-GB"/>
              </w:rPr>
              <w:t>7</w:t>
            </w:r>
          </w:p>
        </w:tc>
        <w:tc>
          <w:tcPr>
            <w:tcW w:w="244" w:type="pct"/>
            <w:tcBorders>
              <w:top w:val="nil"/>
              <w:left w:val="nil"/>
              <w:bottom w:val="single" w:sz="4" w:space="0" w:color="auto"/>
              <w:right w:val="single" w:sz="4" w:space="0" w:color="auto"/>
            </w:tcBorders>
            <w:shd w:val="clear" w:color="auto" w:fill="auto"/>
            <w:noWrap/>
            <w:vAlign w:val="center"/>
            <w:hideMark/>
          </w:tcPr>
          <w:p w14:paraId="489EB11E" w14:textId="1D7802B9" w:rsidR="003C6067" w:rsidRPr="00A52AEE" w:rsidRDefault="003C6067" w:rsidP="00A63CC4">
            <w:pPr>
              <w:jc w:val="center"/>
              <w:rPr>
                <w:lang w:eastAsia="en-GB"/>
              </w:rPr>
            </w:pPr>
            <w:r w:rsidRPr="00A52AEE">
              <w:rPr>
                <w:lang w:eastAsia="en-GB"/>
              </w:rPr>
              <w:t>0</w:t>
            </w:r>
          </w:p>
        </w:tc>
        <w:tc>
          <w:tcPr>
            <w:tcW w:w="309" w:type="pct"/>
            <w:tcBorders>
              <w:top w:val="nil"/>
              <w:left w:val="nil"/>
              <w:bottom w:val="single" w:sz="4" w:space="0" w:color="auto"/>
              <w:right w:val="single" w:sz="4" w:space="0" w:color="auto"/>
            </w:tcBorders>
            <w:shd w:val="clear" w:color="auto" w:fill="auto"/>
            <w:noWrap/>
            <w:vAlign w:val="center"/>
            <w:hideMark/>
          </w:tcPr>
          <w:p w14:paraId="0AFDA42B" w14:textId="200D46AE" w:rsidR="003C6067" w:rsidRPr="00A52AEE" w:rsidRDefault="003C6067" w:rsidP="00A63CC4">
            <w:pPr>
              <w:jc w:val="center"/>
              <w:rPr>
                <w:lang w:eastAsia="en-GB"/>
              </w:rPr>
            </w:pPr>
            <w:r w:rsidRPr="00A52AEE">
              <w:rPr>
                <w:lang w:eastAsia="en-GB"/>
              </w:rPr>
              <w:t>5</w:t>
            </w:r>
          </w:p>
        </w:tc>
        <w:tc>
          <w:tcPr>
            <w:tcW w:w="309" w:type="pct"/>
            <w:tcBorders>
              <w:top w:val="nil"/>
              <w:left w:val="nil"/>
              <w:bottom w:val="single" w:sz="4" w:space="0" w:color="auto"/>
              <w:right w:val="single" w:sz="4" w:space="0" w:color="auto"/>
            </w:tcBorders>
            <w:shd w:val="clear" w:color="auto" w:fill="auto"/>
            <w:noWrap/>
            <w:vAlign w:val="center"/>
            <w:hideMark/>
          </w:tcPr>
          <w:p w14:paraId="3F8FB80C" w14:textId="385D4206" w:rsidR="003C6067" w:rsidRPr="00A52AEE" w:rsidRDefault="003C6067" w:rsidP="00A63CC4">
            <w:pPr>
              <w:jc w:val="center"/>
              <w:rPr>
                <w:lang w:eastAsia="en-GB"/>
              </w:rPr>
            </w:pPr>
            <w:r w:rsidRPr="00A52AEE">
              <w:rPr>
                <w:lang w:eastAsia="en-GB"/>
              </w:rPr>
              <w:t>16</w:t>
            </w:r>
          </w:p>
        </w:tc>
        <w:tc>
          <w:tcPr>
            <w:tcW w:w="242" w:type="pct"/>
            <w:tcBorders>
              <w:top w:val="nil"/>
              <w:left w:val="nil"/>
              <w:bottom w:val="single" w:sz="4" w:space="0" w:color="auto"/>
              <w:right w:val="single" w:sz="4" w:space="0" w:color="auto"/>
            </w:tcBorders>
            <w:shd w:val="clear" w:color="auto" w:fill="auto"/>
            <w:noWrap/>
            <w:vAlign w:val="center"/>
            <w:hideMark/>
          </w:tcPr>
          <w:p w14:paraId="07948791" w14:textId="6CBABE96"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68218C08" w14:textId="532E7B99" w:rsidR="003C6067" w:rsidRPr="00A52AEE" w:rsidRDefault="003C6067" w:rsidP="00A63CC4">
            <w:pPr>
              <w:jc w:val="center"/>
              <w:rPr>
                <w:lang w:eastAsia="en-GB"/>
              </w:rPr>
            </w:pPr>
            <w:r w:rsidRPr="00A52AEE">
              <w:rPr>
                <w:lang w:eastAsia="en-GB"/>
              </w:rPr>
              <w:t>8</w:t>
            </w:r>
          </w:p>
        </w:tc>
        <w:tc>
          <w:tcPr>
            <w:tcW w:w="243" w:type="pct"/>
            <w:tcBorders>
              <w:top w:val="nil"/>
              <w:left w:val="nil"/>
              <w:bottom w:val="single" w:sz="4" w:space="0" w:color="auto"/>
              <w:right w:val="single" w:sz="4" w:space="0" w:color="auto"/>
            </w:tcBorders>
            <w:shd w:val="clear" w:color="auto" w:fill="auto"/>
            <w:noWrap/>
            <w:vAlign w:val="center"/>
            <w:hideMark/>
          </w:tcPr>
          <w:p w14:paraId="6A05FE3F" w14:textId="39488735"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02F7B3F2" w14:textId="2E77C1F0"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73BF0475" w14:textId="4357EB2E"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021AE988" w14:textId="1EE61922" w:rsidR="003C6067" w:rsidRPr="00A52AEE" w:rsidRDefault="003C6067" w:rsidP="00A63CC4">
            <w:pPr>
              <w:jc w:val="center"/>
              <w:rPr>
                <w:lang w:eastAsia="en-GB"/>
              </w:rPr>
            </w:pPr>
            <w:r w:rsidRPr="00A52AEE">
              <w:rPr>
                <w:lang w:eastAsia="en-GB"/>
              </w:rPr>
              <w:t>21</w:t>
            </w:r>
          </w:p>
        </w:tc>
      </w:tr>
      <w:tr w:rsidR="00E30B41" w:rsidRPr="00A52AEE" w14:paraId="1E2945A3"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3AAA2C47" w14:textId="77777777" w:rsidR="003C6067" w:rsidRPr="00A52AEE" w:rsidRDefault="003C6067" w:rsidP="00A52AEE">
            <w:pPr>
              <w:rPr>
                <w:lang w:eastAsia="en-GB"/>
              </w:rPr>
            </w:pPr>
            <w:r w:rsidRPr="00A52AEE">
              <w:rPr>
                <w:lang w:eastAsia="en-GB"/>
              </w:rPr>
              <w:t>Black or Black British –Caribbean</w:t>
            </w:r>
          </w:p>
        </w:tc>
        <w:tc>
          <w:tcPr>
            <w:tcW w:w="310" w:type="pct"/>
            <w:tcBorders>
              <w:top w:val="nil"/>
              <w:left w:val="nil"/>
              <w:bottom w:val="single" w:sz="4" w:space="0" w:color="auto"/>
              <w:right w:val="single" w:sz="4" w:space="0" w:color="auto"/>
            </w:tcBorders>
            <w:shd w:val="clear" w:color="auto" w:fill="auto"/>
            <w:noWrap/>
            <w:vAlign w:val="center"/>
            <w:hideMark/>
          </w:tcPr>
          <w:p w14:paraId="2D7172AA" w14:textId="7C5EE385" w:rsidR="003C6067" w:rsidRPr="00A52AEE" w:rsidRDefault="003C6067" w:rsidP="00A63CC4">
            <w:pPr>
              <w:jc w:val="center"/>
              <w:rPr>
                <w:lang w:eastAsia="en-GB"/>
              </w:rPr>
            </w:pPr>
            <w:r w:rsidRPr="00A52AEE">
              <w:rPr>
                <w:lang w:eastAsia="en-GB"/>
              </w:rPr>
              <w:t>11</w:t>
            </w:r>
          </w:p>
        </w:tc>
        <w:tc>
          <w:tcPr>
            <w:tcW w:w="310" w:type="pct"/>
            <w:tcBorders>
              <w:top w:val="nil"/>
              <w:left w:val="nil"/>
              <w:bottom w:val="single" w:sz="4" w:space="0" w:color="auto"/>
              <w:right w:val="single" w:sz="4" w:space="0" w:color="auto"/>
            </w:tcBorders>
            <w:shd w:val="clear" w:color="auto" w:fill="auto"/>
            <w:noWrap/>
            <w:vAlign w:val="center"/>
            <w:hideMark/>
          </w:tcPr>
          <w:p w14:paraId="7448B98C" w14:textId="5F4B7208"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25032F3D" w14:textId="6C627B8A"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063808E9" w14:textId="192A46C9"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2EBA8CA4" w14:textId="05EA44FF"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45B239AF" w14:textId="0765920E" w:rsidR="003C6067" w:rsidRPr="00A52AEE" w:rsidRDefault="003C6067" w:rsidP="00A63CC4">
            <w:pPr>
              <w:jc w:val="center"/>
              <w:rPr>
                <w:lang w:eastAsia="en-GB"/>
              </w:rPr>
            </w:pPr>
            <w:r w:rsidRPr="00A52AEE">
              <w:rPr>
                <w:lang w:eastAsia="en-GB"/>
              </w:rPr>
              <w:t>6</w:t>
            </w:r>
          </w:p>
        </w:tc>
        <w:tc>
          <w:tcPr>
            <w:tcW w:w="244" w:type="pct"/>
            <w:tcBorders>
              <w:top w:val="nil"/>
              <w:left w:val="nil"/>
              <w:bottom w:val="single" w:sz="4" w:space="0" w:color="auto"/>
              <w:right w:val="single" w:sz="4" w:space="0" w:color="auto"/>
            </w:tcBorders>
            <w:shd w:val="clear" w:color="auto" w:fill="auto"/>
            <w:noWrap/>
            <w:vAlign w:val="center"/>
            <w:hideMark/>
          </w:tcPr>
          <w:p w14:paraId="615BBAB3" w14:textId="5EA0C507"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171653D9" w14:textId="58B3823F" w:rsidR="003C6067" w:rsidRPr="00A52AEE" w:rsidRDefault="003C6067" w:rsidP="00A63CC4">
            <w:pPr>
              <w:jc w:val="center"/>
              <w:rPr>
                <w:lang w:eastAsia="en-GB"/>
              </w:rPr>
            </w:pPr>
            <w:r w:rsidRPr="00A52AEE">
              <w:rPr>
                <w:lang w:eastAsia="en-GB"/>
              </w:rPr>
              <w:t>9</w:t>
            </w:r>
          </w:p>
        </w:tc>
        <w:tc>
          <w:tcPr>
            <w:tcW w:w="309" w:type="pct"/>
            <w:tcBorders>
              <w:top w:val="nil"/>
              <w:left w:val="nil"/>
              <w:bottom w:val="single" w:sz="4" w:space="0" w:color="auto"/>
              <w:right w:val="single" w:sz="4" w:space="0" w:color="auto"/>
            </w:tcBorders>
            <w:shd w:val="clear" w:color="auto" w:fill="auto"/>
            <w:noWrap/>
            <w:vAlign w:val="center"/>
            <w:hideMark/>
          </w:tcPr>
          <w:p w14:paraId="4E9B781C" w14:textId="79988985" w:rsidR="003C6067" w:rsidRPr="00A52AEE" w:rsidRDefault="003C6067" w:rsidP="00A63CC4">
            <w:pPr>
              <w:jc w:val="center"/>
              <w:rPr>
                <w:lang w:eastAsia="en-GB"/>
              </w:rPr>
            </w:pPr>
            <w:r w:rsidRPr="00A52AEE">
              <w:rPr>
                <w:lang w:eastAsia="en-GB"/>
              </w:rPr>
              <w:t>28</w:t>
            </w:r>
          </w:p>
        </w:tc>
        <w:tc>
          <w:tcPr>
            <w:tcW w:w="242" w:type="pct"/>
            <w:tcBorders>
              <w:top w:val="nil"/>
              <w:left w:val="nil"/>
              <w:bottom w:val="single" w:sz="4" w:space="0" w:color="auto"/>
              <w:right w:val="single" w:sz="4" w:space="0" w:color="auto"/>
            </w:tcBorders>
            <w:shd w:val="clear" w:color="auto" w:fill="auto"/>
            <w:noWrap/>
            <w:vAlign w:val="center"/>
            <w:hideMark/>
          </w:tcPr>
          <w:p w14:paraId="3D5BA091" w14:textId="6BE09CF7" w:rsidR="003C6067" w:rsidRPr="00A52AEE" w:rsidRDefault="003C6067"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7F2B9EB5" w14:textId="22F28E11"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47748342" w14:textId="4E40F007"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5BDC5E68" w14:textId="2C450BD2"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301E970C" w14:textId="6FE33181"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209563FB" w14:textId="79EF273C" w:rsidR="003C6067" w:rsidRPr="00A52AEE" w:rsidRDefault="003C6067" w:rsidP="00A63CC4">
            <w:pPr>
              <w:jc w:val="center"/>
              <w:rPr>
                <w:lang w:eastAsia="en-GB"/>
              </w:rPr>
            </w:pPr>
            <w:r w:rsidRPr="00A52AEE">
              <w:rPr>
                <w:lang w:eastAsia="en-GB"/>
              </w:rPr>
              <w:t>16</w:t>
            </w:r>
          </w:p>
        </w:tc>
      </w:tr>
      <w:tr w:rsidR="00E30B41" w:rsidRPr="00A52AEE" w14:paraId="1C979889"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3061538F" w14:textId="77777777" w:rsidR="003C6067" w:rsidRPr="00A52AEE" w:rsidRDefault="003C6067" w:rsidP="00A52AEE">
            <w:pPr>
              <w:rPr>
                <w:lang w:eastAsia="en-GB"/>
              </w:rPr>
            </w:pPr>
            <w:r w:rsidRPr="00A52AEE">
              <w:rPr>
                <w:lang w:eastAsia="en-GB"/>
              </w:rPr>
              <w:t>Chinese</w:t>
            </w:r>
          </w:p>
        </w:tc>
        <w:tc>
          <w:tcPr>
            <w:tcW w:w="310" w:type="pct"/>
            <w:tcBorders>
              <w:top w:val="nil"/>
              <w:left w:val="nil"/>
              <w:bottom w:val="single" w:sz="4" w:space="0" w:color="auto"/>
              <w:right w:val="single" w:sz="4" w:space="0" w:color="auto"/>
            </w:tcBorders>
            <w:shd w:val="clear" w:color="auto" w:fill="auto"/>
            <w:noWrap/>
            <w:vAlign w:val="center"/>
            <w:hideMark/>
          </w:tcPr>
          <w:p w14:paraId="20CF6A85" w14:textId="66C10EEC" w:rsidR="003C6067" w:rsidRPr="00A52AEE" w:rsidRDefault="003C6067" w:rsidP="00A63CC4">
            <w:pPr>
              <w:jc w:val="center"/>
              <w:rPr>
                <w:lang w:eastAsia="en-GB"/>
              </w:rPr>
            </w:pPr>
            <w:r w:rsidRPr="00A52AEE">
              <w:rPr>
                <w:lang w:eastAsia="en-GB"/>
              </w:rPr>
              <w:t>1</w:t>
            </w:r>
          </w:p>
        </w:tc>
        <w:tc>
          <w:tcPr>
            <w:tcW w:w="310" w:type="pct"/>
            <w:tcBorders>
              <w:top w:val="nil"/>
              <w:left w:val="nil"/>
              <w:bottom w:val="single" w:sz="4" w:space="0" w:color="auto"/>
              <w:right w:val="single" w:sz="4" w:space="0" w:color="auto"/>
            </w:tcBorders>
            <w:shd w:val="clear" w:color="auto" w:fill="auto"/>
            <w:noWrap/>
            <w:vAlign w:val="center"/>
            <w:hideMark/>
          </w:tcPr>
          <w:p w14:paraId="5036346D" w14:textId="176663C1" w:rsidR="003C6067" w:rsidRPr="00A52AEE" w:rsidRDefault="003C6067" w:rsidP="00A63CC4">
            <w:pPr>
              <w:jc w:val="center"/>
              <w:rPr>
                <w:lang w:eastAsia="en-GB"/>
              </w:rPr>
            </w:pPr>
            <w:r w:rsidRPr="00A52AEE">
              <w:rPr>
                <w:lang w:eastAsia="en-GB"/>
              </w:rPr>
              <w:t>28</w:t>
            </w:r>
          </w:p>
        </w:tc>
        <w:tc>
          <w:tcPr>
            <w:tcW w:w="243" w:type="pct"/>
            <w:tcBorders>
              <w:top w:val="nil"/>
              <w:left w:val="nil"/>
              <w:bottom w:val="single" w:sz="4" w:space="0" w:color="auto"/>
              <w:right w:val="single" w:sz="4" w:space="0" w:color="auto"/>
            </w:tcBorders>
            <w:shd w:val="clear" w:color="auto" w:fill="auto"/>
            <w:noWrap/>
            <w:vAlign w:val="center"/>
            <w:hideMark/>
          </w:tcPr>
          <w:p w14:paraId="4A8617B5" w14:textId="4E0DABCB"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154859FE" w14:textId="7D846BED"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13B11395" w14:textId="5C2D537D" w:rsidR="003C6067" w:rsidRPr="00A52AEE" w:rsidRDefault="003C6067" w:rsidP="00A63CC4">
            <w:pPr>
              <w:jc w:val="center"/>
              <w:rPr>
                <w:lang w:eastAsia="en-GB"/>
              </w:rPr>
            </w:pPr>
            <w:r w:rsidRPr="00A52AEE">
              <w:rPr>
                <w:lang w:eastAsia="en-GB"/>
              </w:rPr>
              <w:t>0</w:t>
            </w:r>
          </w:p>
        </w:tc>
        <w:tc>
          <w:tcPr>
            <w:tcW w:w="309" w:type="pct"/>
            <w:tcBorders>
              <w:top w:val="nil"/>
              <w:left w:val="nil"/>
              <w:bottom w:val="single" w:sz="4" w:space="0" w:color="auto"/>
              <w:right w:val="single" w:sz="4" w:space="0" w:color="auto"/>
            </w:tcBorders>
            <w:shd w:val="clear" w:color="auto" w:fill="auto"/>
            <w:noWrap/>
            <w:vAlign w:val="center"/>
            <w:hideMark/>
          </w:tcPr>
          <w:p w14:paraId="0B48F859" w14:textId="51E8CDEE" w:rsidR="003C6067" w:rsidRPr="00A52AEE" w:rsidRDefault="003C6067" w:rsidP="00A63CC4">
            <w:pPr>
              <w:jc w:val="center"/>
              <w:rPr>
                <w:lang w:eastAsia="en-GB"/>
              </w:rPr>
            </w:pPr>
            <w:r w:rsidRPr="00A52AEE">
              <w:rPr>
                <w:lang w:eastAsia="en-GB"/>
              </w:rPr>
              <w:t>10</w:t>
            </w:r>
          </w:p>
        </w:tc>
        <w:tc>
          <w:tcPr>
            <w:tcW w:w="244" w:type="pct"/>
            <w:tcBorders>
              <w:top w:val="nil"/>
              <w:left w:val="nil"/>
              <w:bottom w:val="single" w:sz="4" w:space="0" w:color="auto"/>
              <w:right w:val="single" w:sz="4" w:space="0" w:color="auto"/>
            </w:tcBorders>
            <w:shd w:val="clear" w:color="auto" w:fill="auto"/>
            <w:noWrap/>
            <w:vAlign w:val="center"/>
            <w:hideMark/>
          </w:tcPr>
          <w:p w14:paraId="096C312C" w14:textId="6B311666"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16A7195D" w14:textId="55353952"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2384B6FD" w14:textId="75E4D8C6" w:rsidR="003C6067" w:rsidRPr="00A52AEE" w:rsidRDefault="003C6067" w:rsidP="00A63CC4">
            <w:pPr>
              <w:jc w:val="center"/>
              <w:rPr>
                <w:lang w:eastAsia="en-GB"/>
              </w:rPr>
            </w:pPr>
            <w:r w:rsidRPr="00A52AEE">
              <w:rPr>
                <w:lang w:eastAsia="en-GB"/>
              </w:rPr>
              <w:t>19</w:t>
            </w:r>
          </w:p>
        </w:tc>
        <w:tc>
          <w:tcPr>
            <w:tcW w:w="242" w:type="pct"/>
            <w:tcBorders>
              <w:top w:val="nil"/>
              <w:left w:val="nil"/>
              <w:bottom w:val="single" w:sz="4" w:space="0" w:color="auto"/>
              <w:right w:val="single" w:sz="4" w:space="0" w:color="auto"/>
            </w:tcBorders>
            <w:shd w:val="clear" w:color="auto" w:fill="auto"/>
            <w:noWrap/>
            <w:vAlign w:val="center"/>
            <w:hideMark/>
          </w:tcPr>
          <w:p w14:paraId="356CD636" w14:textId="675D29E6" w:rsidR="003C6067" w:rsidRPr="00A52AEE" w:rsidRDefault="003C6067"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2B62A857" w14:textId="7C1D5410" w:rsidR="003C6067" w:rsidRPr="00A52AEE" w:rsidRDefault="003C6067" w:rsidP="00A63CC4">
            <w:pPr>
              <w:jc w:val="center"/>
              <w:rPr>
                <w:lang w:eastAsia="en-GB"/>
              </w:rPr>
            </w:pPr>
            <w:r w:rsidRPr="00A52AEE">
              <w:rPr>
                <w:lang w:eastAsia="en-GB"/>
              </w:rPr>
              <w:t>8</w:t>
            </w:r>
          </w:p>
        </w:tc>
        <w:tc>
          <w:tcPr>
            <w:tcW w:w="243" w:type="pct"/>
            <w:tcBorders>
              <w:top w:val="nil"/>
              <w:left w:val="nil"/>
              <w:bottom w:val="single" w:sz="4" w:space="0" w:color="auto"/>
              <w:right w:val="single" w:sz="4" w:space="0" w:color="auto"/>
            </w:tcBorders>
            <w:shd w:val="clear" w:color="auto" w:fill="auto"/>
            <w:noWrap/>
            <w:vAlign w:val="center"/>
            <w:hideMark/>
          </w:tcPr>
          <w:p w14:paraId="02E0D977" w14:textId="0C2EDF27" w:rsidR="003C6067" w:rsidRPr="00A52AEE" w:rsidRDefault="003C6067" w:rsidP="00A63CC4">
            <w:pPr>
              <w:jc w:val="center"/>
              <w:rPr>
                <w:lang w:eastAsia="en-GB"/>
              </w:rPr>
            </w:pPr>
            <w:r w:rsidRPr="00A52AEE">
              <w:rPr>
                <w:lang w:eastAsia="en-GB"/>
              </w:rPr>
              <w:t>4</w:t>
            </w:r>
          </w:p>
        </w:tc>
        <w:tc>
          <w:tcPr>
            <w:tcW w:w="243" w:type="pct"/>
            <w:tcBorders>
              <w:top w:val="nil"/>
              <w:left w:val="nil"/>
              <w:bottom w:val="single" w:sz="4" w:space="0" w:color="auto"/>
              <w:right w:val="single" w:sz="4" w:space="0" w:color="auto"/>
            </w:tcBorders>
            <w:shd w:val="clear" w:color="auto" w:fill="auto"/>
            <w:noWrap/>
            <w:vAlign w:val="center"/>
            <w:hideMark/>
          </w:tcPr>
          <w:p w14:paraId="07036521" w14:textId="7D33A006"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284B4DA0" w14:textId="408F039C"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6BEDCB27" w14:textId="498A5435" w:rsidR="003C6067" w:rsidRPr="00A52AEE" w:rsidRDefault="003C6067" w:rsidP="00A63CC4">
            <w:pPr>
              <w:jc w:val="center"/>
              <w:rPr>
                <w:lang w:eastAsia="en-GB"/>
              </w:rPr>
            </w:pPr>
            <w:r w:rsidRPr="00A52AEE">
              <w:rPr>
                <w:lang w:eastAsia="en-GB"/>
              </w:rPr>
              <w:t>18</w:t>
            </w:r>
          </w:p>
        </w:tc>
      </w:tr>
      <w:tr w:rsidR="00E30B41" w:rsidRPr="00A52AEE" w14:paraId="00C8EEEC"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7EC3774A" w14:textId="77777777" w:rsidR="003C6067" w:rsidRPr="00A52AEE" w:rsidRDefault="003C6067" w:rsidP="00A52AEE">
            <w:pPr>
              <w:rPr>
                <w:lang w:eastAsia="en-GB"/>
              </w:rPr>
            </w:pPr>
            <w:r w:rsidRPr="00A52AEE">
              <w:rPr>
                <w:lang w:eastAsia="en-GB"/>
              </w:rPr>
              <w:t>Mixed - White and Asian</w:t>
            </w:r>
          </w:p>
        </w:tc>
        <w:tc>
          <w:tcPr>
            <w:tcW w:w="310" w:type="pct"/>
            <w:tcBorders>
              <w:top w:val="nil"/>
              <w:left w:val="nil"/>
              <w:bottom w:val="single" w:sz="4" w:space="0" w:color="auto"/>
              <w:right w:val="single" w:sz="4" w:space="0" w:color="auto"/>
            </w:tcBorders>
            <w:shd w:val="clear" w:color="auto" w:fill="auto"/>
            <w:noWrap/>
            <w:vAlign w:val="center"/>
            <w:hideMark/>
          </w:tcPr>
          <w:p w14:paraId="2BC44294" w14:textId="5ACD5B9B" w:rsidR="003C6067" w:rsidRPr="00A52AEE" w:rsidRDefault="003C6067" w:rsidP="00A63CC4">
            <w:pPr>
              <w:jc w:val="center"/>
              <w:rPr>
                <w:lang w:eastAsia="en-GB"/>
              </w:rPr>
            </w:pPr>
            <w:r w:rsidRPr="00A52AEE">
              <w:rPr>
                <w:lang w:eastAsia="en-GB"/>
              </w:rPr>
              <w:t>5</w:t>
            </w:r>
          </w:p>
        </w:tc>
        <w:tc>
          <w:tcPr>
            <w:tcW w:w="310" w:type="pct"/>
            <w:tcBorders>
              <w:top w:val="nil"/>
              <w:left w:val="nil"/>
              <w:bottom w:val="single" w:sz="4" w:space="0" w:color="auto"/>
              <w:right w:val="single" w:sz="4" w:space="0" w:color="auto"/>
            </w:tcBorders>
            <w:shd w:val="clear" w:color="auto" w:fill="auto"/>
            <w:noWrap/>
            <w:vAlign w:val="center"/>
            <w:hideMark/>
          </w:tcPr>
          <w:p w14:paraId="233AE270" w14:textId="134027CC" w:rsidR="003C6067" w:rsidRPr="00A52AEE" w:rsidRDefault="003C6067" w:rsidP="00A63CC4">
            <w:pPr>
              <w:jc w:val="center"/>
              <w:rPr>
                <w:lang w:eastAsia="en-GB"/>
              </w:rPr>
            </w:pPr>
            <w:r w:rsidRPr="00A52AEE">
              <w:rPr>
                <w:lang w:eastAsia="en-GB"/>
              </w:rPr>
              <w:t>14</w:t>
            </w:r>
          </w:p>
        </w:tc>
        <w:tc>
          <w:tcPr>
            <w:tcW w:w="243" w:type="pct"/>
            <w:tcBorders>
              <w:top w:val="nil"/>
              <w:left w:val="nil"/>
              <w:bottom w:val="single" w:sz="4" w:space="0" w:color="auto"/>
              <w:right w:val="single" w:sz="4" w:space="0" w:color="auto"/>
            </w:tcBorders>
            <w:shd w:val="clear" w:color="auto" w:fill="auto"/>
            <w:noWrap/>
            <w:vAlign w:val="center"/>
            <w:hideMark/>
          </w:tcPr>
          <w:p w14:paraId="250D9EC8" w14:textId="1F437276"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16912C0F" w14:textId="798AD8ED"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5A540746" w14:textId="5EB107EA"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64A801BD" w14:textId="488973C0" w:rsidR="003C6067" w:rsidRPr="00A52AEE" w:rsidRDefault="003C6067" w:rsidP="00A63CC4">
            <w:pPr>
              <w:jc w:val="center"/>
              <w:rPr>
                <w:lang w:eastAsia="en-GB"/>
              </w:rPr>
            </w:pPr>
            <w:r w:rsidRPr="00A52AEE">
              <w:rPr>
                <w:lang w:eastAsia="en-GB"/>
              </w:rPr>
              <w:t>8</w:t>
            </w:r>
          </w:p>
        </w:tc>
        <w:tc>
          <w:tcPr>
            <w:tcW w:w="244" w:type="pct"/>
            <w:tcBorders>
              <w:top w:val="nil"/>
              <w:left w:val="nil"/>
              <w:bottom w:val="single" w:sz="4" w:space="0" w:color="auto"/>
              <w:right w:val="single" w:sz="4" w:space="0" w:color="auto"/>
            </w:tcBorders>
            <w:shd w:val="clear" w:color="auto" w:fill="auto"/>
            <w:noWrap/>
            <w:vAlign w:val="center"/>
            <w:hideMark/>
          </w:tcPr>
          <w:p w14:paraId="1C578C6D" w14:textId="5C2A5B20"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65B2E020" w14:textId="5FF6B450" w:rsidR="003C6067" w:rsidRPr="00A52AEE" w:rsidRDefault="003C6067" w:rsidP="00A63CC4">
            <w:pPr>
              <w:jc w:val="center"/>
              <w:rPr>
                <w:lang w:eastAsia="en-GB"/>
              </w:rPr>
            </w:pPr>
            <w:r w:rsidRPr="00A52AEE">
              <w:rPr>
                <w:lang w:eastAsia="en-GB"/>
              </w:rPr>
              <w:t>6</w:t>
            </w:r>
          </w:p>
        </w:tc>
        <w:tc>
          <w:tcPr>
            <w:tcW w:w="309" w:type="pct"/>
            <w:tcBorders>
              <w:top w:val="nil"/>
              <w:left w:val="nil"/>
              <w:bottom w:val="single" w:sz="4" w:space="0" w:color="auto"/>
              <w:right w:val="single" w:sz="4" w:space="0" w:color="auto"/>
            </w:tcBorders>
            <w:shd w:val="clear" w:color="auto" w:fill="auto"/>
            <w:noWrap/>
            <w:vAlign w:val="center"/>
            <w:hideMark/>
          </w:tcPr>
          <w:p w14:paraId="1A4D241D" w14:textId="16704B2A" w:rsidR="003C6067" w:rsidRPr="00A52AEE" w:rsidRDefault="003C6067" w:rsidP="00A63CC4">
            <w:pPr>
              <w:jc w:val="center"/>
              <w:rPr>
                <w:lang w:eastAsia="en-GB"/>
              </w:rPr>
            </w:pPr>
            <w:r w:rsidRPr="00A52AEE">
              <w:rPr>
                <w:lang w:eastAsia="en-GB"/>
              </w:rPr>
              <w:t>25</w:t>
            </w:r>
          </w:p>
        </w:tc>
        <w:tc>
          <w:tcPr>
            <w:tcW w:w="242" w:type="pct"/>
            <w:tcBorders>
              <w:top w:val="nil"/>
              <w:left w:val="nil"/>
              <w:bottom w:val="single" w:sz="4" w:space="0" w:color="auto"/>
              <w:right w:val="single" w:sz="4" w:space="0" w:color="auto"/>
            </w:tcBorders>
            <w:shd w:val="clear" w:color="auto" w:fill="auto"/>
            <w:noWrap/>
            <w:vAlign w:val="center"/>
            <w:hideMark/>
          </w:tcPr>
          <w:p w14:paraId="1C6F2303" w14:textId="6D004586" w:rsidR="003C6067" w:rsidRPr="00A52AEE" w:rsidRDefault="003C6067" w:rsidP="00A63CC4">
            <w:pPr>
              <w:jc w:val="center"/>
              <w:rPr>
                <w:lang w:eastAsia="en-GB"/>
              </w:rPr>
            </w:pPr>
            <w:r w:rsidRPr="00A52AEE">
              <w:rPr>
                <w:lang w:eastAsia="en-GB"/>
              </w:rPr>
              <w:t>5</w:t>
            </w:r>
          </w:p>
        </w:tc>
        <w:tc>
          <w:tcPr>
            <w:tcW w:w="308" w:type="pct"/>
            <w:tcBorders>
              <w:top w:val="nil"/>
              <w:left w:val="nil"/>
              <w:bottom w:val="single" w:sz="4" w:space="0" w:color="auto"/>
              <w:right w:val="single" w:sz="4" w:space="0" w:color="auto"/>
            </w:tcBorders>
            <w:shd w:val="clear" w:color="auto" w:fill="auto"/>
            <w:noWrap/>
            <w:vAlign w:val="center"/>
            <w:hideMark/>
          </w:tcPr>
          <w:p w14:paraId="6E9EDF96" w14:textId="3E781985"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5FF471DB" w14:textId="2077D644" w:rsidR="003C6067" w:rsidRPr="00A52AEE" w:rsidRDefault="003C6067" w:rsidP="00A63CC4">
            <w:pPr>
              <w:jc w:val="center"/>
              <w:rPr>
                <w:lang w:eastAsia="en-GB"/>
              </w:rPr>
            </w:pPr>
            <w:r w:rsidRPr="00A52AEE">
              <w:rPr>
                <w:lang w:eastAsia="en-GB"/>
              </w:rPr>
              <w:t>8</w:t>
            </w:r>
          </w:p>
        </w:tc>
        <w:tc>
          <w:tcPr>
            <w:tcW w:w="243" w:type="pct"/>
            <w:tcBorders>
              <w:top w:val="nil"/>
              <w:left w:val="nil"/>
              <w:bottom w:val="single" w:sz="4" w:space="0" w:color="auto"/>
              <w:right w:val="single" w:sz="4" w:space="0" w:color="auto"/>
            </w:tcBorders>
            <w:shd w:val="clear" w:color="auto" w:fill="auto"/>
            <w:noWrap/>
            <w:vAlign w:val="center"/>
            <w:hideMark/>
          </w:tcPr>
          <w:p w14:paraId="3FC0BBD8" w14:textId="3063A51A"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5FF32CC7" w14:textId="79C1AB56"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0F09A9EF" w14:textId="15D6FABB" w:rsidR="003C6067" w:rsidRPr="00A52AEE" w:rsidRDefault="003C6067" w:rsidP="00A63CC4">
            <w:pPr>
              <w:jc w:val="center"/>
              <w:rPr>
                <w:lang w:eastAsia="en-GB"/>
              </w:rPr>
            </w:pPr>
            <w:r w:rsidRPr="00A52AEE">
              <w:rPr>
                <w:lang w:eastAsia="en-GB"/>
              </w:rPr>
              <w:t>13</w:t>
            </w:r>
          </w:p>
        </w:tc>
      </w:tr>
      <w:tr w:rsidR="00E30B41" w:rsidRPr="00A52AEE" w14:paraId="11342CFD"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09E37AFC" w14:textId="77777777" w:rsidR="003C6067" w:rsidRDefault="003C6067" w:rsidP="00A52AEE">
            <w:pPr>
              <w:rPr>
                <w:lang w:eastAsia="en-GB"/>
              </w:rPr>
            </w:pPr>
            <w:r w:rsidRPr="00A52AEE">
              <w:rPr>
                <w:lang w:eastAsia="en-GB"/>
              </w:rPr>
              <w:t>Mixed - White and Black African</w:t>
            </w:r>
          </w:p>
          <w:p w14:paraId="378296F2" w14:textId="77777777" w:rsidR="009A2373" w:rsidRPr="00A52AEE" w:rsidRDefault="009A2373" w:rsidP="00A52AEE">
            <w:pPr>
              <w:rPr>
                <w:lang w:eastAsia="en-GB"/>
              </w:rPr>
            </w:pPr>
          </w:p>
        </w:tc>
        <w:tc>
          <w:tcPr>
            <w:tcW w:w="310" w:type="pct"/>
            <w:tcBorders>
              <w:top w:val="nil"/>
              <w:left w:val="nil"/>
              <w:bottom w:val="single" w:sz="4" w:space="0" w:color="auto"/>
              <w:right w:val="single" w:sz="4" w:space="0" w:color="auto"/>
            </w:tcBorders>
            <w:shd w:val="clear" w:color="auto" w:fill="auto"/>
            <w:noWrap/>
            <w:vAlign w:val="center"/>
            <w:hideMark/>
          </w:tcPr>
          <w:p w14:paraId="27E59922" w14:textId="735D8E67" w:rsidR="003C6067" w:rsidRPr="00A52AEE" w:rsidRDefault="003C6067" w:rsidP="00A63CC4">
            <w:pPr>
              <w:jc w:val="center"/>
              <w:rPr>
                <w:lang w:eastAsia="en-GB"/>
              </w:rPr>
            </w:pPr>
            <w:r w:rsidRPr="00A52AEE">
              <w:rPr>
                <w:lang w:eastAsia="en-GB"/>
              </w:rPr>
              <w:t>9</w:t>
            </w:r>
          </w:p>
        </w:tc>
        <w:tc>
          <w:tcPr>
            <w:tcW w:w="310" w:type="pct"/>
            <w:tcBorders>
              <w:top w:val="nil"/>
              <w:left w:val="nil"/>
              <w:bottom w:val="single" w:sz="4" w:space="0" w:color="auto"/>
              <w:right w:val="single" w:sz="4" w:space="0" w:color="auto"/>
            </w:tcBorders>
            <w:shd w:val="clear" w:color="auto" w:fill="auto"/>
            <w:noWrap/>
            <w:vAlign w:val="center"/>
            <w:hideMark/>
          </w:tcPr>
          <w:p w14:paraId="2E307CC7" w14:textId="672D07A4" w:rsidR="003C6067" w:rsidRPr="00A52AEE" w:rsidRDefault="003C6067" w:rsidP="00A63CC4">
            <w:pPr>
              <w:jc w:val="center"/>
              <w:rPr>
                <w:lang w:eastAsia="en-GB"/>
              </w:rPr>
            </w:pPr>
            <w:r w:rsidRPr="00A52AEE">
              <w:rPr>
                <w:lang w:eastAsia="en-GB"/>
              </w:rPr>
              <w:t>11</w:t>
            </w:r>
          </w:p>
        </w:tc>
        <w:tc>
          <w:tcPr>
            <w:tcW w:w="243" w:type="pct"/>
            <w:tcBorders>
              <w:top w:val="nil"/>
              <w:left w:val="nil"/>
              <w:bottom w:val="single" w:sz="4" w:space="0" w:color="auto"/>
              <w:right w:val="single" w:sz="4" w:space="0" w:color="auto"/>
            </w:tcBorders>
            <w:shd w:val="clear" w:color="auto" w:fill="auto"/>
            <w:noWrap/>
            <w:vAlign w:val="center"/>
            <w:hideMark/>
          </w:tcPr>
          <w:p w14:paraId="152FA674" w14:textId="458B1317"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6011608B" w14:textId="03684482"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15B19B60" w14:textId="5218D8F6"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59A27469" w14:textId="1E4835E1" w:rsidR="003C6067" w:rsidRPr="00A52AEE" w:rsidRDefault="003C6067" w:rsidP="00A63CC4">
            <w:pPr>
              <w:jc w:val="center"/>
              <w:rPr>
                <w:lang w:eastAsia="en-GB"/>
              </w:rPr>
            </w:pPr>
            <w:r w:rsidRPr="00A52AEE">
              <w:rPr>
                <w:lang w:eastAsia="en-GB"/>
              </w:rPr>
              <w:t>8</w:t>
            </w:r>
          </w:p>
        </w:tc>
        <w:tc>
          <w:tcPr>
            <w:tcW w:w="244" w:type="pct"/>
            <w:tcBorders>
              <w:top w:val="nil"/>
              <w:left w:val="nil"/>
              <w:bottom w:val="single" w:sz="4" w:space="0" w:color="auto"/>
              <w:right w:val="single" w:sz="4" w:space="0" w:color="auto"/>
            </w:tcBorders>
            <w:shd w:val="clear" w:color="auto" w:fill="auto"/>
            <w:noWrap/>
            <w:vAlign w:val="center"/>
            <w:hideMark/>
          </w:tcPr>
          <w:p w14:paraId="4858C55F" w14:textId="5347AA6A"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1098B690" w14:textId="7F618EC1" w:rsidR="003C6067" w:rsidRPr="00A52AEE" w:rsidRDefault="003C6067" w:rsidP="00A63CC4">
            <w:pPr>
              <w:jc w:val="center"/>
              <w:rPr>
                <w:lang w:eastAsia="en-GB"/>
              </w:rPr>
            </w:pPr>
            <w:r w:rsidRPr="00A52AEE">
              <w:rPr>
                <w:lang w:eastAsia="en-GB"/>
              </w:rPr>
              <w:t>8</w:t>
            </w:r>
          </w:p>
        </w:tc>
        <w:tc>
          <w:tcPr>
            <w:tcW w:w="309" w:type="pct"/>
            <w:tcBorders>
              <w:top w:val="nil"/>
              <w:left w:val="nil"/>
              <w:bottom w:val="single" w:sz="4" w:space="0" w:color="auto"/>
              <w:right w:val="single" w:sz="4" w:space="0" w:color="auto"/>
            </w:tcBorders>
            <w:shd w:val="clear" w:color="auto" w:fill="auto"/>
            <w:noWrap/>
            <w:vAlign w:val="center"/>
            <w:hideMark/>
          </w:tcPr>
          <w:p w14:paraId="4DA07F1D" w14:textId="5CAE71AE" w:rsidR="003C6067" w:rsidRPr="00A52AEE" w:rsidRDefault="003C6067" w:rsidP="00A63CC4">
            <w:pPr>
              <w:jc w:val="center"/>
              <w:rPr>
                <w:lang w:eastAsia="en-GB"/>
              </w:rPr>
            </w:pPr>
            <w:r w:rsidRPr="00A52AEE">
              <w:rPr>
                <w:lang w:eastAsia="en-GB"/>
              </w:rPr>
              <w:t>26</w:t>
            </w:r>
          </w:p>
        </w:tc>
        <w:tc>
          <w:tcPr>
            <w:tcW w:w="242" w:type="pct"/>
            <w:tcBorders>
              <w:top w:val="nil"/>
              <w:left w:val="nil"/>
              <w:bottom w:val="single" w:sz="4" w:space="0" w:color="auto"/>
              <w:right w:val="single" w:sz="4" w:space="0" w:color="auto"/>
            </w:tcBorders>
            <w:shd w:val="clear" w:color="auto" w:fill="auto"/>
            <w:noWrap/>
            <w:vAlign w:val="center"/>
            <w:hideMark/>
          </w:tcPr>
          <w:p w14:paraId="21395C58" w14:textId="2B4C0BE2"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30986985" w14:textId="1F70B79E" w:rsidR="003C6067" w:rsidRPr="00A52AEE" w:rsidRDefault="003C6067" w:rsidP="00A63CC4">
            <w:pPr>
              <w:jc w:val="center"/>
              <w:rPr>
                <w:lang w:eastAsia="en-GB"/>
              </w:rPr>
            </w:pPr>
            <w:r w:rsidRPr="00A52AEE">
              <w:rPr>
                <w:lang w:eastAsia="en-GB"/>
              </w:rPr>
              <w:t>5</w:t>
            </w:r>
          </w:p>
        </w:tc>
        <w:tc>
          <w:tcPr>
            <w:tcW w:w="243" w:type="pct"/>
            <w:tcBorders>
              <w:top w:val="nil"/>
              <w:left w:val="nil"/>
              <w:bottom w:val="single" w:sz="4" w:space="0" w:color="auto"/>
              <w:right w:val="single" w:sz="4" w:space="0" w:color="auto"/>
            </w:tcBorders>
            <w:shd w:val="clear" w:color="auto" w:fill="auto"/>
            <w:noWrap/>
            <w:vAlign w:val="center"/>
            <w:hideMark/>
          </w:tcPr>
          <w:p w14:paraId="6214ED14" w14:textId="4240EC0F"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57D80955" w14:textId="4FACD61D"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15EADF64" w14:textId="349EE822"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6E88CD2D" w14:textId="4F3C32C6" w:rsidR="003C6067" w:rsidRPr="00A52AEE" w:rsidRDefault="003C6067" w:rsidP="00A63CC4">
            <w:pPr>
              <w:jc w:val="center"/>
              <w:rPr>
                <w:lang w:eastAsia="en-GB"/>
              </w:rPr>
            </w:pPr>
            <w:r w:rsidRPr="00A52AEE">
              <w:rPr>
                <w:lang w:eastAsia="en-GB"/>
              </w:rPr>
              <w:t>16</w:t>
            </w:r>
          </w:p>
        </w:tc>
      </w:tr>
      <w:tr w:rsidR="00E30B41" w:rsidRPr="00A52AEE" w14:paraId="14CDF3C3"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19AEA048" w14:textId="77777777" w:rsidR="003C6067" w:rsidRPr="00A52AEE" w:rsidRDefault="003C6067" w:rsidP="00A52AEE">
            <w:pPr>
              <w:rPr>
                <w:lang w:eastAsia="en-GB"/>
              </w:rPr>
            </w:pPr>
            <w:r w:rsidRPr="00A52AEE">
              <w:rPr>
                <w:lang w:eastAsia="en-GB"/>
              </w:rPr>
              <w:t>Mixed - White and Black Caribbean</w:t>
            </w:r>
          </w:p>
        </w:tc>
        <w:tc>
          <w:tcPr>
            <w:tcW w:w="310" w:type="pct"/>
            <w:tcBorders>
              <w:top w:val="nil"/>
              <w:left w:val="nil"/>
              <w:bottom w:val="single" w:sz="4" w:space="0" w:color="auto"/>
              <w:right w:val="single" w:sz="4" w:space="0" w:color="auto"/>
            </w:tcBorders>
            <w:shd w:val="clear" w:color="auto" w:fill="auto"/>
            <w:noWrap/>
            <w:vAlign w:val="center"/>
            <w:hideMark/>
          </w:tcPr>
          <w:p w14:paraId="5B47B0BD" w14:textId="5374A846" w:rsidR="003C6067" w:rsidRPr="00A52AEE" w:rsidRDefault="003C6067" w:rsidP="00A63CC4">
            <w:pPr>
              <w:jc w:val="center"/>
              <w:rPr>
                <w:lang w:eastAsia="en-GB"/>
              </w:rPr>
            </w:pPr>
            <w:r w:rsidRPr="00A52AEE">
              <w:rPr>
                <w:lang w:eastAsia="en-GB"/>
              </w:rPr>
              <w:t>11</w:t>
            </w:r>
          </w:p>
        </w:tc>
        <w:tc>
          <w:tcPr>
            <w:tcW w:w="310" w:type="pct"/>
            <w:tcBorders>
              <w:top w:val="nil"/>
              <w:left w:val="nil"/>
              <w:bottom w:val="single" w:sz="4" w:space="0" w:color="auto"/>
              <w:right w:val="single" w:sz="4" w:space="0" w:color="auto"/>
            </w:tcBorders>
            <w:shd w:val="clear" w:color="auto" w:fill="auto"/>
            <w:noWrap/>
            <w:vAlign w:val="center"/>
            <w:hideMark/>
          </w:tcPr>
          <w:p w14:paraId="6854208B" w14:textId="3D68772C"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7E71652F" w14:textId="6BB0A27B"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5F43C378" w14:textId="72563E2B"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45AEB520" w14:textId="719BF0A1"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5A6760FE" w14:textId="066B37D1"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4B00DE58" w14:textId="5A4912FC" w:rsidR="003C6067" w:rsidRPr="00A52AEE" w:rsidRDefault="003C6067" w:rsidP="00A63CC4">
            <w:pPr>
              <w:jc w:val="center"/>
              <w:rPr>
                <w:lang w:eastAsia="en-GB"/>
              </w:rPr>
            </w:pPr>
            <w:r w:rsidRPr="00A52AEE">
              <w:rPr>
                <w:lang w:eastAsia="en-GB"/>
              </w:rPr>
              <w:t>4</w:t>
            </w:r>
          </w:p>
        </w:tc>
        <w:tc>
          <w:tcPr>
            <w:tcW w:w="309" w:type="pct"/>
            <w:tcBorders>
              <w:top w:val="nil"/>
              <w:left w:val="nil"/>
              <w:bottom w:val="single" w:sz="4" w:space="0" w:color="auto"/>
              <w:right w:val="single" w:sz="4" w:space="0" w:color="auto"/>
            </w:tcBorders>
            <w:shd w:val="clear" w:color="auto" w:fill="auto"/>
            <w:noWrap/>
            <w:vAlign w:val="center"/>
            <w:hideMark/>
          </w:tcPr>
          <w:p w14:paraId="7B5EA949" w14:textId="406A2104" w:rsidR="003C6067" w:rsidRPr="00A52AEE" w:rsidRDefault="003C6067" w:rsidP="00A63CC4">
            <w:pPr>
              <w:jc w:val="center"/>
              <w:rPr>
                <w:lang w:eastAsia="en-GB"/>
              </w:rPr>
            </w:pPr>
            <w:r w:rsidRPr="00A52AEE">
              <w:rPr>
                <w:lang w:eastAsia="en-GB"/>
              </w:rPr>
              <w:t>10</w:t>
            </w:r>
          </w:p>
        </w:tc>
        <w:tc>
          <w:tcPr>
            <w:tcW w:w="309" w:type="pct"/>
            <w:tcBorders>
              <w:top w:val="nil"/>
              <w:left w:val="nil"/>
              <w:bottom w:val="single" w:sz="4" w:space="0" w:color="auto"/>
              <w:right w:val="single" w:sz="4" w:space="0" w:color="auto"/>
            </w:tcBorders>
            <w:shd w:val="clear" w:color="auto" w:fill="auto"/>
            <w:noWrap/>
            <w:vAlign w:val="center"/>
            <w:hideMark/>
          </w:tcPr>
          <w:p w14:paraId="7991551F" w14:textId="42817DA1" w:rsidR="003C6067" w:rsidRPr="00A52AEE" w:rsidRDefault="003C6067" w:rsidP="00A63CC4">
            <w:pPr>
              <w:jc w:val="center"/>
              <w:rPr>
                <w:lang w:eastAsia="en-GB"/>
              </w:rPr>
            </w:pPr>
            <w:r w:rsidRPr="00A52AEE">
              <w:rPr>
                <w:lang w:eastAsia="en-GB"/>
              </w:rPr>
              <w:t>31</w:t>
            </w:r>
          </w:p>
        </w:tc>
        <w:tc>
          <w:tcPr>
            <w:tcW w:w="242" w:type="pct"/>
            <w:tcBorders>
              <w:top w:val="nil"/>
              <w:left w:val="nil"/>
              <w:bottom w:val="single" w:sz="4" w:space="0" w:color="auto"/>
              <w:right w:val="single" w:sz="4" w:space="0" w:color="auto"/>
            </w:tcBorders>
            <w:shd w:val="clear" w:color="auto" w:fill="auto"/>
            <w:noWrap/>
            <w:vAlign w:val="center"/>
            <w:hideMark/>
          </w:tcPr>
          <w:p w14:paraId="577B6CFD" w14:textId="7CBD67E5"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351100F3" w14:textId="0947B74D" w:rsidR="003C6067" w:rsidRPr="00A52AEE" w:rsidRDefault="003C6067" w:rsidP="00A63CC4">
            <w:pPr>
              <w:jc w:val="center"/>
              <w:rPr>
                <w:lang w:eastAsia="en-GB"/>
              </w:rPr>
            </w:pPr>
            <w:r w:rsidRPr="00A52AEE">
              <w:rPr>
                <w:lang w:eastAsia="en-GB"/>
              </w:rPr>
              <w:t>5</w:t>
            </w:r>
          </w:p>
        </w:tc>
        <w:tc>
          <w:tcPr>
            <w:tcW w:w="243" w:type="pct"/>
            <w:tcBorders>
              <w:top w:val="nil"/>
              <w:left w:val="nil"/>
              <w:bottom w:val="single" w:sz="4" w:space="0" w:color="auto"/>
              <w:right w:val="single" w:sz="4" w:space="0" w:color="auto"/>
            </w:tcBorders>
            <w:shd w:val="clear" w:color="auto" w:fill="auto"/>
            <w:noWrap/>
            <w:vAlign w:val="center"/>
            <w:hideMark/>
          </w:tcPr>
          <w:p w14:paraId="685E385A" w14:textId="1F4FC93C"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01A4B8E1" w14:textId="52E7C87B"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27553D99" w14:textId="2102EDAD"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0C28D05B" w14:textId="0864DB45" w:rsidR="003C6067" w:rsidRPr="00A52AEE" w:rsidRDefault="003C6067" w:rsidP="00A63CC4">
            <w:pPr>
              <w:jc w:val="center"/>
              <w:rPr>
                <w:lang w:eastAsia="en-GB"/>
              </w:rPr>
            </w:pPr>
            <w:r w:rsidRPr="00A52AEE">
              <w:rPr>
                <w:lang w:eastAsia="en-GB"/>
              </w:rPr>
              <w:t>11</w:t>
            </w:r>
          </w:p>
        </w:tc>
      </w:tr>
      <w:tr w:rsidR="00E30B41" w:rsidRPr="00A52AEE" w14:paraId="554481E4"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3C0D409E" w14:textId="77777777" w:rsidR="003C6067" w:rsidRPr="00A52AEE" w:rsidRDefault="003C6067" w:rsidP="00A52AEE">
            <w:pPr>
              <w:rPr>
                <w:lang w:eastAsia="en-GB"/>
              </w:rPr>
            </w:pPr>
            <w:r w:rsidRPr="00A52AEE">
              <w:rPr>
                <w:lang w:eastAsia="en-GB"/>
              </w:rPr>
              <w:t>not known/not provided</w:t>
            </w:r>
          </w:p>
        </w:tc>
        <w:tc>
          <w:tcPr>
            <w:tcW w:w="310" w:type="pct"/>
            <w:tcBorders>
              <w:top w:val="nil"/>
              <w:left w:val="nil"/>
              <w:bottom w:val="single" w:sz="4" w:space="0" w:color="auto"/>
              <w:right w:val="single" w:sz="4" w:space="0" w:color="auto"/>
            </w:tcBorders>
            <w:shd w:val="clear" w:color="auto" w:fill="auto"/>
            <w:noWrap/>
            <w:vAlign w:val="center"/>
            <w:hideMark/>
          </w:tcPr>
          <w:p w14:paraId="6374B524" w14:textId="203C9C3E" w:rsidR="003C6067" w:rsidRPr="00A52AEE" w:rsidRDefault="003C6067" w:rsidP="00A63CC4">
            <w:pPr>
              <w:jc w:val="center"/>
              <w:rPr>
                <w:lang w:eastAsia="en-GB"/>
              </w:rPr>
            </w:pPr>
            <w:r w:rsidRPr="00A52AEE">
              <w:rPr>
                <w:lang w:eastAsia="en-GB"/>
              </w:rPr>
              <w:t>6</w:t>
            </w:r>
          </w:p>
        </w:tc>
        <w:tc>
          <w:tcPr>
            <w:tcW w:w="310" w:type="pct"/>
            <w:tcBorders>
              <w:top w:val="nil"/>
              <w:left w:val="nil"/>
              <w:bottom w:val="single" w:sz="4" w:space="0" w:color="auto"/>
              <w:right w:val="single" w:sz="4" w:space="0" w:color="auto"/>
            </w:tcBorders>
            <w:shd w:val="clear" w:color="auto" w:fill="auto"/>
            <w:noWrap/>
            <w:vAlign w:val="center"/>
            <w:hideMark/>
          </w:tcPr>
          <w:p w14:paraId="0F561008" w14:textId="5042B683" w:rsidR="003C6067" w:rsidRPr="00A52AEE" w:rsidRDefault="003C6067" w:rsidP="00A63CC4">
            <w:pPr>
              <w:jc w:val="center"/>
              <w:rPr>
                <w:lang w:eastAsia="en-GB"/>
              </w:rPr>
            </w:pPr>
            <w:r w:rsidRPr="00A52AEE">
              <w:rPr>
                <w:lang w:eastAsia="en-GB"/>
              </w:rPr>
              <w:t>13</w:t>
            </w:r>
          </w:p>
        </w:tc>
        <w:tc>
          <w:tcPr>
            <w:tcW w:w="243" w:type="pct"/>
            <w:tcBorders>
              <w:top w:val="nil"/>
              <w:left w:val="nil"/>
              <w:bottom w:val="single" w:sz="4" w:space="0" w:color="auto"/>
              <w:right w:val="single" w:sz="4" w:space="0" w:color="auto"/>
            </w:tcBorders>
            <w:shd w:val="clear" w:color="auto" w:fill="auto"/>
            <w:noWrap/>
            <w:vAlign w:val="center"/>
            <w:hideMark/>
          </w:tcPr>
          <w:p w14:paraId="73B1B03C" w14:textId="2A609E13"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02C2E9E2" w14:textId="579D1A9D"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0A932ECA" w14:textId="4112DF76"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4B76AAE4" w14:textId="0C139753" w:rsidR="003C6067" w:rsidRPr="00A52AEE" w:rsidRDefault="003C6067" w:rsidP="00A63CC4">
            <w:pPr>
              <w:jc w:val="center"/>
              <w:rPr>
                <w:lang w:eastAsia="en-GB"/>
              </w:rPr>
            </w:pPr>
            <w:r w:rsidRPr="00A52AEE">
              <w:rPr>
                <w:lang w:eastAsia="en-GB"/>
              </w:rPr>
              <w:t>7</w:t>
            </w:r>
          </w:p>
        </w:tc>
        <w:tc>
          <w:tcPr>
            <w:tcW w:w="244" w:type="pct"/>
            <w:tcBorders>
              <w:top w:val="nil"/>
              <w:left w:val="nil"/>
              <w:bottom w:val="single" w:sz="4" w:space="0" w:color="auto"/>
              <w:right w:val="single" w:sz="4" w:space="0" w:color="auto"/>
            </w:tcBorders>
            <w:shd w:val="clear" w:color="auto" w:fill="auto"/>
            <w:noWrap/>
            <w:vAlign w:val="center"/>
            <w:hideMark/>
          </w:tcPr>
          <w:p w14:paraId="2286BD72" w14:textId="66A0FC61"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261E73B1" w14:textId="48FEFC0A" w:rsidR="003C6067" w:rsidRPr="00A52AEE" w:rsidRDefault="003C6067" w:rsidP="00A63CC4">
            <w:pPr>
              <w:jc w:val="center"/>
              <w:rPr>
                <w:lang w:eastAsia="en-GB"/>
              </w:rPr>
            </w:pPr>
            <w:r w:rsidRPr="00A52AEE">
              <w:rPr>
                <w:lang w:eastAsia="en-GB"/>
              </w:rPr>
              <w:t>7</w:t>
            </w:r>
          </w:p>
        </w:tc>
        <w:tc>
          <w:tcPr>
            <w:tcW w:w="309" w:type="pct"/>
            <w:tcBorders>
              <w:top w:val="nil"/>
              <w:left w:val="nil"/>
              <w:bottom w:val="single" w:sz="4" w:space="0" w:color="auto"/>
              <w:right w:val="single" w:sz="4" w:space="0" w:color="auto"/>
            </w:tcBorders>
            <w:shd w:val="clear" w:color="auto" w:fill="auto"/>
            <w:noWrap/>
            <w:vAlign w:val="center"/>
            <w:hideMark/>
          </w:tcPr>
          <w:p w14:paraId="79490665" w14:textId="7917ED90" w:rsidR="003C6067" w:rsidRPr="00A52AEE" w:rsidRDefault="003C6067" w:rsidP="00A63CC4">
            <w:pPr>
              <w:jc w:val="center"/>
              <w:rPr>
                <w:lang w:eastAsia="en-GB"/>
              </w:rPr>
            </w:pPr>
            <w:r w:rsidRPr="00A52AEE">
              <w:rPr>
                <w:lang w:eastAsia="en-GB"/>
              </w:rPr>
              <w:t>23</w:t>
            </w:r>
          </w:p>
        </w:tc>
        <w:tc>
          <w:tcPr>
            <w:tcW w:w="242" w:type="pct"/>
            <w:tcBorders>
              <w:top w:val="nil"/>
              <w:left w:val="nil"/>
              <w:bottom w:val="single" w:sz="4" w:space="0" w:color="auto"/>
              <w:right w:val="single" w:sz="4" w:space="0" w:color="auto"/>
            </w:tcBorders>
            <w:shd w:val="clear" w:color="auto" w:fill="auto"/>
            <w:noWrap/>
            <w:vAlign w:val="center"/>
            <w:hideMark/>
          </w:tcPr>
          <w:p w14:paraId="01873A45" w14:textId="260196AA"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3BD319FF" w14:textId="25FDBA39"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2C991691" w14:textId="11DDD49B"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08039032" w14:textId="0632051F" w:rsidR="003C6067" w:rsidRPr="00A52AEE" w:rsidRDefault="003C6067" w:rsidP="00A63CC4">
            <w:pPr>
              <w:jc w:val="center"/>
              <w:rPr>
                <w:lang w:eastAsia="en-GB"/>
              </w:rPr>
            </w:pPr>
            <w:r w:rsidRPr="00A52AEE">
              <w:rPr>
                <w:lang w:eastAsia="en-GB"/>
              </w:rPr>
              <w:t>1</w:t>
            </w:r>
          </w:p>
        </w:tc>
        <w:tc>
          <w:tcPr>
            <w:tcW w:w="243" w:type="pct"/>
            <w:tcBorders>
              <w:top w:val="nil"/>
              <w:left w:val="nil"/>
              <w:bottom w:val="single" w:sz="4" w:space="0" w:color="auto"/>
              <w:right w:val="single" w:sz="4" w:space="0" w:color="auto"/>
            </w:tcBorders>
            <w:shd w:val="clear" w:color="auto" w:fill="auto"/>
            <w:noWrap/>
            <w:vAlign w:val="center"/>
            <w:hideMark/>
          </w:tcPr>
          <w:p w14:paraId="0BBF87A3" w14:textId="47FB1C53"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4DC337E7" w14:textId="077A807C" w:rsidR="003C6067" w:rsidRPr="00A52AEE" w:rsidRDefault="003C6067" w:rsidP="00A63CC4">
            <w:pPr>
              <w:jc w:val="center"/>
              <w:rPr>
                <w:lang w:eastAsia="en-GB"/>
              </w:rPr>
            </w:pPr>
            <w:r w:rsidRPr="00A52AEE">
              <w:rPr>
                <w:lang w:eastAsia="en-GB"/>
              </w:rPr>
              <w:t>18</w:t>
            </w:r>
          </w:p>
        </w:tc>
      </w:tr>
      <w:tr w:rsidR="00E30B41" w:rsidRPr="00A52AEE" w14:paraId="2719F814"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4037F406" w14:textId="77777777" w:rsidR="003C6067" w:rsidRPr="00A52AEE" w:rsidRDefault="003C6067" w:rsidP="00A52AEE">
            <w:pPr>
              <w:rPr>
                <w:lang w:eastAsia="en-GB"/>
              </w:rPr>
            </w:pPr>
            <w:r w:rsidRPr="00A52AEE">
              <w:rPr>
                <w:lang w:eastAsia="en-GB"/>
              </w:rPr>
              <w:t>Other ethnic group</w:t>
            </w:r>
          </w:p>
        </w:tc>
        <w:tc>
          <w:tcPr>
            <w:tcW w:w="310" w:type="pct"/>
            <w:tcBorders>
              <w:top w:val="nil"/>
              <w:left w:val="nil"/>
              <w:bottom w:val="single" w:sz="4" w:space="0" w:color="auto"/>
              <w:right w:val="single" w:sz="4" w:space="0" w:color="auto"/>
            </w:tcBorders>
            <w:shd w:val="clear" w:color="auto" w:fill="auto"/>
            <w:noWrap/>
            <w:vAlign w:val="center"/>
            <w:hideMark/>
          </w:tcPr>
          <w:p w14:paraId="3D996F1C" w14:textId="019FD0D8" w:rsidR="003C6067" w:rsidRPr="00A52AEE" w:rsidRDefault="003C6067" w:rsidP="00A63CC4">
            <w:pPr>
              <w:jc w:val="center"/>
              <w:rPr>
                <w:lang w:eastAsia="en-GB"/>
              </w:rPr>
            </w:pPr>
            <w:r w:rsidRPr="00A52AEE">
              <w:rPr>
                <w:lang w:eastAsia="en-GB"/>
              </w:rPr>
              <w:t>7</w:t>
            </w:r>
          </w:p>
        </w:tc>
        <w:tc>
          <w:tcPr>
            <w:tcW w:w="310" w:type="pct"/>
            <w:tcBorders>
              <w:top w:val="nil"/>
              <w:left w:val="nil"/>
              <w:bottom w:val="single" w:sz="4" w:space="0" w:color="auto"/>
              <w:right w:val="single" w:sz="4" w:space="0" w:color="auto"/>
            </w:tcBorders>
            <w:shd w:val="clear" w:color="auto" w:fill="auto"/>
            <w:noWrap/>
            <w:vAlign w:val="center"/>
            <w:hideMark/>
          </w:tcPr>
          <w:p w14:paraId="42485259" w14:textId="6B1B9FFE" w:rsidR="003C6067" w:rsidRPr="00A52AEE" w:rsidRDefault="003C6067" w:rsidP="00A63CC4">
            <w:pPr>
              <w:jc w:val="center"/>
              <w:rPr>
                <w:lang w:eastAsia="en-GB"/>
              </w:rPr>
            </w:pPr>
            <w:r w:rsidRPr="00A52AEE">
              <w:rPr>
                <w:lang w:eastAsia="en-GB"/>
              </w:rPr>
              <w:t>15</w:t>
            </w:r>
          </w:p>
        </w:tc>
        <w:tc>
          <w:tcPr>
            <w:tcW w:w="243" w:type="pct"/>
            <w:tcBorders>
              <w:top w:val="nil"/>
              <w:left w:val="nil"/>
              <w:bottom w:val="single" w:sz="4" w:space="0" w:color="auto"/>
              <w:right w:val="single" w:sz="4" w:space="0" w:color="auto"/>
            </w:tcBorders>
            <w:shd w:val="clear" w:color="auto" w:fill="auto"/>
            <w:noWrap/>
            <w:vAlign w:val="center"/>
            <w:hideMark/>
          </w:tcPr>
          <w:p w14:paraId="6B8BFD9E" w14:textId="1DD5D5F4"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748D75B4" w14:textId="2F7DA844"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auto" w:fill="auto"/>
            <w:noWrap/>
            <w:vAlign w:val="center"/>
            <w:hideMark/>
          </w:tcPr>
          <w:p w14:paraId="71E97C63" w14:textId="02ACFC25"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2555E7DD" w14:textId="4151B6D6" w:rsidR="003C6067" w:rsidRPr="00A52AEE" w:rsidRDefault="003C6067" w:rsidP="00A63CC4">
            <w:pPr>
              <w:jc w:val="center"/>
              <w:rPr>
                <w:lang w:eastAsia="en-GB"/>
              </w:rPr>
            </w:pPr>
            <w:r w:rsidRPr="00A52AEE">
              <w:rPr>
                <w:lang w:eastAsia="en-GB"/>
              </w:rPr>
              <w:t>9</w:t>
            </w:r>
          </w:p>
        </w:tc>
        <w:tc>
          <w:tcPr>
            <w:tcW w:w="244" w:type="pct"/>
            <w:tcBorders>
              <w:top w:val="nil"/>
              <w:left w:val="nil"/>
              <w:bottom w:val="single" w:sz="4" w:space="0" w:color="auto"/>
              <w:right w:val="single" w:sz="4" w:space="0" w:color="auto"/>
            </w:tcBorders>
            <w:shd w:val="clear" w:color="auto" w:fill="auto"/>
            <w:noWrap/>
            <w:vAlign w:val="center"/>
            <w:hideMark/>
          </w:tcPr>
          <w:p w14:paraId="6BACD389" w14:textId="76E00DB4"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603C2F32" w14:textId="0C7A9AB2" w:rsidR="003C6067" w:rsidRPr="00A52AEE" w:rsidRDefault="003C6067" w:rsidP="00A63CC4">
            <w:pPr>
              <w:jc w:val="center"/>
              <w:rPr>
                <w:lang w:eastAsia="en-GB"/>
              </w:rPr>
            </w:pPr>
            <w:r w:rsidRPr="00A52AEE">
              <w:rPr>
                <w:lang w:eastAsia="en-GB"/>
              </w:rPr>
              <w:t>6</w:t>
            </w:r>
          </w:p>
        </w:tc>
        <w:tc>
          <w:tcPr>
            <w:tcW w:w="309" w:type="pct"/>
            <w:tcBorders>
              <w:top w:val="nil"/>
              <w:left w:val="nil"/>
              <w:bottom w:val="single" w:sz="4" w:space="0" w:color="auto"/>
              <w:right w:val="single" w:sz="4" w:space="0" w:color="auto"/>
            </w:tcBorders>
            <w:shd w:val="clear" w:color="auto" w:fill="auto"/>
            <w:noWrap/>
            <w:vAlign w:val="center"/>
            <w:hideMark/>
          </w:tcPr>
          <w:p w14:paraId="7FEB77E3" w14:textId="568D4C25" w:rsidR="003C6067" w:rsidRPr="00A52AEE" w:rsidRDefault="003C6067" w:rsidP="00A63CC4">
            <w:pPr>
              <w:jc w:val="center"/>
              <w:rPr>
                <w:lang w:eastAsia="en-GB"/>
              </w:rPr>
            </w:pPr>
            <w:r w:rsidRPr="00A52AEE">
              <w:rPr>
                <w:lang w:eastAsia="en-GB"/>
              </w:rPr>
              <w:t>19</w:t>
            </w:r>
          </w:p>
        </w:tc>
        <w:tc>
          <w:tcPr>
            <w:tcW w:w="242" w:type="pct"/>
            <w:tcBorders>
              <w:top w:val="nil"/>
              <w:left w:val="nil"/>
              <w:bottom w:val="single" w:sz="4" w:space="0" w:color="auto"/>
              <w:right w:val="single" w:sz="4" w:space="0" w:color="auto"/>
            </w:tcBorders>
            <w:shd w:val="clear" w:color="auto" w:fill="auto"/>
            <w:noWrap/>
            <w:vAlign w:val="center"/>
            <w:hideMark/>
          </w:tcPr>
          <w:p w14:paraId="076340CB" w14:textId="05AF0B1A" w:rsidR="003C6067" w:rsidRPr="00A52AEE" w:rsidRDefault="003C6067" w:rsidP="00A63CC4">
            <w:pPr>
              <w:jc w:val="center"/>
              <w:rPr>
                <w:lang w:eastAsia="en-GB"/>
              </w:rPr>
            </w:pPr>
            <w:r w:rsidRPr="00A52AEE">
              <w:rPr>
                <w:lang w:eastAsia="en-GB"/>
              </w:rPr>
              <w:t>2</w:t>
            </w:r>
          </w:p>
        </w:tc>
        <w:tc>
          <w:tcPr>
            <w:tcW w:w="308" w:type="pct"/>
            <w:tcBorders>
              <w:top w:val="nil"/>
              <w:left w:val="nil"/>
              <w:bottom w:val="single" w:sz="4" w:space="0" w:color="auto"/>
              <w:right w:val="single" w:sz="4" w:space="0" w:color="auto"/>
            </w:tcBorders>
            <w:shd w:val="clear" w:color="auto" w:fill="auto"/>
            <w:noWrap/>
            <w:vAlign w:val="center"/>
            <w:hideMark/>
          </w:tcPr>
          <w:p w14:paraId="05B97302" w14:textId="274987E3"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367DBD3D" w14:textId="4AEEE615" w:rsidR="003C6067" w:rsidRPr="00A52AEE" w:rsidRDefault="003C6067" w:rsidP="00A63CC4">
            <w:pPr>
              <w:jc w:val="center"/>
              <w:rPr>
                <w:lang w:eastAsia="en-GB"/>
              </w:rPr>
            </w:pPr>
            <w:r w:rsidRPr="00A52AEE">
              <w:rPr>
                <w:lang w:eastAsia="en-GB"/>
              </w:rPr>
              <w:t>9</w:t>
            </w:r>
          </w:p>
        </w:tc>
        <w:tc>
          <w:tcPr>
            <w:tcW w:w="243" w:type="pct"/>
            <w:tcBorders>
              <w:top w:val="nil"/>
              <w:left w:val="nil"/>
              <w:bottom w:val="single" w:sz="4" w:space="0" w:color="auto"/>
              <w:right w:val="single" w:sz="4" w:space="0" w:color="auto"/>
            </w:tcBorders>
            <w:shd w:val="clear" w:color="auto" w:fill="auto"/>
            <w:noWrap/>
            <w:vAlign w:val="center"/>
            <w:hideMark/>
          </w:tcPr>
          <w:p w14:paraId="10D198C4" w14:textId="49FD8C92"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53DE553E" w14:textId="1F0687D2"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137914A7" w14:textId="58954167" w:rsidR="003C6067" w:rsidRPr="00A52AEE" w:rsidRDefault="003C6067" w:rsidP="00A63CC4">
            <w:pPr>
              <w:jc w:val="center"/>
              <w:rPr>
                <w:lang w:eastAsia="en-GB"/>
              </w:rPr>
            </w:pPr>
            <w:r w:rsidRPr="00A52AEE">
              <w:rPr>
                <w:lang w:eastAsia="en-GB"/>
              </w:rPr>
              <w:t>18</w:t>
            </w:r>
          </w:p>
        </w:tc>
      </w:tr>
      <w:tr w:rsidR="00E30B41" w:rsidRPr="00A52AEE" w14:paraId="08D44636"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2A4ECD97" w14:textId="77777777" w:rsidR="003C6067" w:rsidRPr="00A52AEE" w:rsidRDefault="003C6067" w:rsidP="00A52AEE">
            <w:pPr>
              <w:rPr>
                <w:lang w:eastAsia="en-GB"/>
              </w:rPr>
            </w:pPr>
            <w:r w:rsidRPr="00A52AEE">
              <w:rPr>
                <w:lang w:eastAsia="en-GB"/>
              </w:rPr>
              <w:t>Other Mixed / multiple ethnic background</w:t>
            </w:r>
          </w:p>
        </w:tc>
        <w:tc>
          <w:tcPr>
            <w:tcW w:w="310" w:type="pct"/>
            <w:tcBorders>
              <w:top w:val="nil"/>
              <w:left w:val="nil"/>
              <w:bottom w:val="single" w:sz="4" w:space="0" w:color="auto"/>
              <w:right w:val="single" w:sz="4" w:space="0" w:color="auto"/>
            </w:tcBorders>
            <w:shd w:val="clear" w:color="auto" w:fill="auto"/>
            <w:noWrap/>
            <w:vAlign w:val="center"/>
            <w:hideMark/>
          </w:tcPr>
          <w:p w14:paraId="2C31E7C8" w14:textId="70FAFC82" w:rsidR="003C6067" w:rsidRPr="00A52AEE" w:rsidRDefault="003C6067" w:rsidP="00A63CC4">
            <w:pPr>
              <w:jc w:val="center"/>
              <w:rPr>
                <w:lang w:eastAsia="en-GB"/>
              </w:rPr>
            </w:pPr>
            <w:r w:rsidRPr="00A52AEE">
              <w:rPr>
                <w:lang w:eastAsia="en-GB"/>
              </w:rPr>
              <w:t>7</w:t>
            </w:r>
          </w:p>
        </w:tc>
        <w:tc>
          <w:tcPr>
            <w:tcW w:w="310" w:type="pct"/>
            <w:tcBorders>
              <w:top w:val="nil"/>
              <w:left w:val="nil"/>
              <w:bottom w:val="single" w:sz="4" w:space="0" w:color="auto"/>
              <w:right w:val="single" w:sz="4" w:space="0" w:color="auto"/>
            </w:tcBorders>
            <w:shd w:val="clear" w:color="auto" w:fill="auto"/>
            <w:noWrap/>
            <w:vAlign w:val="center"/>
            <w:hideMark/>
          </w:tcPr>
          <w:p w14:paraId="1195B9E7" w14:textId="67B5FD3D" w:rsidR="003C6067" w:rsidRPr="00A52AEE" w:rsidRDefault="003C6067" w:rsidP="00A63CC4">
            <w:pPr>
              <w:jc w:val="center"/>
              <w:rPr>
                <w:lang w:eastAsia="en-GB"/>
              </w:rPr>
            </w:pPr>
            <w:r w:rsidRPr="00A52AEE">
              <w:rPr>
                <w:lang w:eastAsia="en-GB"/>
              </w:rPr>
              <w:t>11</w:t>
            </w:r>
          </w:p>
        </w:tc>
        <w:tc>
          <w:tcPr>
            <w:tcW w:w="243" w:type="pct"/>
            <w:tcBorders>
              <w:top w:val="nil"/>
              <w:left w:val="nil"/>
              <w:bottom w:val="single" w:sz="4" w:space="0" w:color="auto"/>
              <w:right w:val="single" w:sz="4" w:space="0" w:color="auto"/>
            </w:tcBorders>
            <w:shd w:val="clear" w:color="auto" w:fill="auto"/>
            <w:noWrap/>
            <w:vAlign w:val="center"/>
            <w:hideMark/>
          </w:tcPr>
          <w:p w14:paraId="38098904" w14:textId="4BC0EA4C"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60DA3DD6" w14:textId="42E936FB"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2F831D59" w14:textId="07EF1F11"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5409BAAB" w14:textId="7B878785" w:rsidR="003C6067" w:rsidRPr="00A52AEE" w:rsidRDefault="003C6067" w:rsidP="00A63CC4">
            <w:pPr>
              <w:jc w:val="center"/>
              <w:rPr>
                <w:lang w:eastAsia="en-GB"/>
              </w:rPr>
            </w:pPr>
            <w:r w:rsidRPr="00A52AEE">
              <w:rPr>
                <w:lang w:eastAsia="en-GB"/>
              </w:rPr>
              <w:t>6</w:t>
            </w:r>
          </w:p>
        </w:tc>
        <w:tc>
          <w:tcPr>
            <w:tcW w:w="244" w:type="pct"/>
            <w:tcBorders>
              <w:top w:val="nil"/>
              <w:left w:val="nil"/>
              <w:bottom w:val="single" w:sz="4" w:space="0" w:color="auto"/>
              <w:right w:val="single" w:sz="4" w:space="0" w:color="auto"/>
            </w:tcBorders>
            <w:shd w:val="clear" w:color="auto" w:fill="auto"/>
            <w:noWrap/>
            <w:vAlign w:val="center"/>
            <w:hideMark/>
          </w:tcPr>
          <w:p w14:paraId="144B1C13" w14:textId="1966E9F0"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2080B23C" w14:textId="1C294FF7" w:rsidR="003C6067" w:rsidRPr="00A52AEE" w:rsidRDefault="003C6067" w:rsidP="00A63CC4">
            <w:pPr>
              <w:jc w:val="center"/>
              <w:rPr>
                <w:lang w:eastAsia="en-GB"/>
              </w:rPr>
            </w:pPr>
            <w:r w:rsidRPr="00A52AEE">
              <w:rPr>
                <w:lang w:eastAsia="en-GB"/>
              </w:rPr>
              <w:t>7</w:t>
            </w:r>
          </w:p>
        </w:tc>
        <w:tc>
          <w:tcPr>
            <w:tcW w:w="309" w:type="pct"/>
            <w:tcBorders>
              <w:top w:val="nil"/>
              <w:left w:val="nil"/>
              <w:bottom w:val="single" w:sz="4" w:space="0" w:color="auto"/>
              <w:right w:val="single" w:sz="4" w:space="0" w:color="auto"/>
            </w:tcBorders>
            <w:shd w:val="clear" w:color="auto" w:fill="auto"/>
            <w:noWrap/>
            <w:vAlign w:val="center"/>
            <w:hideMark/>
          </w:tcPr>
          <w:p w14:paraId="04427D85" w14:textId="77ED7DE9" w:rsidR="003C6067" w:rsidRPr="00A52AEE" w:rsidRDefault="003C6067" w:rsidP="00A63CC4">
            <w:pPr>
              <w:jc w:val="center"/>
              <w:rPr>
                <w:lang w:eastAsia="en-GB"/>
              </w:rPr>
            </w:pPr>
            <w:r w:rsidRPr="00A52AEE">
              <w:rPr>
                <w:lang w:eastAsia="en-GB"/>
              </w:rPr>
              <w:t>28</w:t>
            </w:r>
          </w:p>
        </w:tc>
        <w:tc>
          <w:tcPr>
            <w:tcW w:w="242" w:type="pct"/>
            <w:tcBorders>
              <w:top w:val="nil"/>
              <w:left w:val="nil"/>
              <w:bottom w:val="single" w:sz="4" w:space="0" w:color="auto"/>
              <w:right w:val="single" w:sz="4" w:space="0" w:color="auto"/>
            </w:tcBorders>
            <w:shd w:val="clear" w:color="auto" w:fill="auto"/>
            <w:noWrap/>
            <w:vAlign w:val="center"/>
            <w:hideMark/>
          </w:tcPr>
          <w:p w14:paraId="05D60301" w14:textId="6D0442E9"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7E3DECDD" w14:textId="5787DACE"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auto" w:fill="auto"/>
            <w:noWrap/>
            <w:vAlign w:val="center"/>
            <w:hideMark/>
          </w:tcPr>
          <w:p w14:paraId="28B4E0A2" w14:textId="11E1FBE9" w:rsidR="003C6067" w:rsidRPr="00A52AEE" w:rsidRDefault="003C6067" w:rsidP="00A63CC4">
            <w:pPr>
              <w:jc w:val="center"/>
              <w:rPr>
                <w:lang w:eastAsia="en-GB"/>
              </w:rPr>
            </w:pPr>
            <w:r w:rsidRPr="00A52AEE">
              <w:rPr>
                <w:lang w:eastAsia="en-GB"/>
              </w:rPr>
              <w:t>9</w:t>
            </w:r>
          </w:p>
        </w:tc>
        <w:tc>
          <w:tcPr>
            <w:tcW w:w="243" w:type="pct"/>
            <w:tcBorders>
              <w:top w:val="nil"/>
              <w:left w:val="nil"/>
              <w:bottom w:val="single" w:sz="4" w:space="0" w:color="auto"/>
              <w:right w:val="single" w:sz="4" w:space="0" w:color="auto"/>
            </w:tcBorders>
            <w:shd w:val="clear" w:color="auto" w:fill="auto"/>
            <w:noWrap/>
            <w:vAlign w:val="center"/>
            <w:hideMark/>
          </w:tcPr>
          <w:p w14:paraId="3E1A748D" w14:textId="2589E2C7" w:rsidR="003C6067" w:rsidRPr="00A52AEE" w:rsidRDefault="003C6067" w:rsidP="00A63CC4">
            <w:pPr>
              <w:jc w:val="center"/>
              <w:rPr>
                <w:lang w:eastAsia="en-GB"/>
              </w:rPr>
            </w:pPr>
            <w:r w:rsidRPr="00A52AEE">
              <w:rPr>
                <w:lang w:eastAsia="en-GB"/>
              </w:rPr>
              <w:t>1</w:t>
            </w:r>
          </w:p>
        </w:tc>
        <w:tc>
          <w:tcPr>
            <w:tcW w:w="243" w:type="pct"/>
            <w:tcBorders>
              <w:top w:val="nil"/>
              <w:left w:val="nil"/>
              <w:bottom w:val="single" w:sz="4" w:space="0" w:color="auto"/>
              <w:right w:val="single" w:sz="4" w:space="0" w:color="auto"/>
            </w:tcBorders>
            <w:shd w:val="clear" w:color="auto" w:fill="auto"/>
            <w:noWrap/>
            <w:vAlign w:val="center"/>
            <w:hideMark/>
          </w:tcPr>
          <w:p w14:paraId="17F62CED" w14:textId="35CDAA8F"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5A26428F" w14:textId="2E15079E" w:rsidR="003C6067" w:rsidRPr="00A52AEE" w:rsidRDefault="003C6067" w:rsidP="00A63CC4">
            <w:pPr>
              <w:jc w:val="center"/>
              <w:rPr>
                <w:lang w:eastAsia="en-GB"/>
              </w:rPr>
            </w:pPr>
            <w:r w:rsidRPr="00A52AEE">
              <w:rPr>
                <w:lang w:eastAsia="en-GB"/>
              </w:rPr>
              <w:t>13</w:t>
            </w:r>
          </w:p>
        </w:tc>
      </w:tr>
      <w:tr w:rsidR="00E30B41" w:rsidRPr="00A52AEE" w14:paraId="2CE1DA7F"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52964C6C" w14:textId="77777777" w:rsidR="003C6067" w:rsidRPr="00A52AEE" w:rsidRDefault="003C6067" w:rsidP="00A52AEE">
            <w:pPr>
              <w:rPr>
                <w:lang w:eastAsia="en-GB"/>
              </w:rPr>
            </w:pPr>
            <w:r w:rsidRPr="00A52AEE">
              <w:rPr>
                <w:lang w:eastAsia="en-GB"/>
              </w:rPr>
              <w:t>White - any other White background</w:t>
            </w:r>
          </w:p>
        </w:tc>
        <w:tc>
          <w:tcPr>
            <w:tcW w:w="310" w:type="pct"/>
            <w:tcBorders>
              <w:top w:val="nil"/>
              <w:left w:val="nil"/>
              <w:bottom w:val="single" w:sz="4" w:space="0" w:color="auto"/>
              <w:right w:val="single" w:sz="4" w:space="0" w:color="auto"/>
            </w:tcBorders>
            <w:shd w:val="clear" w:color="auto" w:fill="auto"/>
            <w:noWrap/>
            <w:vAlign w:val="center"/>
            <w:hideMark/>
          </w:tcPr>
          <w:p w14:paraId="6AFEBE06" w14:textId="77D1FFCD" w:rsidR="003C6067" w:rsidRPr="00A52AEE" w:rsidRDefault="003C6067" w:rsidP="00A63CC4">
            <w:pPr>
              <w:jc w:val="center"/>
              <w:rPr>
                <w:lang w:eastAsia="en-GB"/>
              </w:rPr>
            </w:pPr>
            <w:r w:rsidRPr="00A52AEE">
              <w:rPr>
                <w:lang w:eastAsia="en-GB"/>
              </w:rPr>
              <w:t>6</w:t>
            </w:r>
          </w:p>
        </w:tc>
        <w:tc>
          <w:tcPr>
            <w:tcW w:w="310" w:type="pct"/>
            <w:tcBorders>
              <w:top w:val="nil"/>
              <w:left w:val="nil"/>
              <w:bottom w:val="single" w:sz="4" w:space="0" w:color="auto"/>
              <w:right w:val="single" w:sz="4" w:space="0" w:color="auto"/>
            </w:tcBorders>
            <w:shd w:val="clear" w:color="auto" w:fill="auto"/>
            <w:noWrap/>
            <w:vAlign w:val="center"/>
            <w:hideMark/>
          </w:tcPr>
          <w:p w14:paraId="49CCD082" w14:textId="4E4F5FA5" w:rsidR="003C6067" w:rsidRPr="00A52AEE" w:rsidRDefault="003C6067" w:rsidP="00A63CC4">
            <w:pPr>
              <w:jc w:val="center"/>
              <w:rPr>
                <w:lang w:eastAsia="en-GB"/>
              </w:rPr>
            </w:pPr>
            <w:r w:rsidRPr="00A52AEE">
              <w:rPr>
                <w:lang w:eastAsia="en-GB"/>
              </w:rPr>
              <w:t>11</w:t>
            </w:r>
          </w:p>
        </w:tc>
        <w:tc>
          <w:tcPr>
            <w:tcW w:w="243" w:type="pct"/>
            <w:tcBorders>
              <w:top w:val="nil"/>
              <w:left w:val="nil"/>
              <w:bottom w:val="single" w:sz="4" w:space="0" w:color="auto"/>
              <w:right w:val="single" w:sz="4" w:space="0" w:color="auto"/>
            </w:tcBorders>
            <w:shd w:val="clear" w:color="auto" w:fill="auto"/>
            <w:noWrap/>
            <w:vAlign w:val="center"/>
            <w:hideMark/>
          </w:tcPr>
          <w:p w14:paraId="5167ED75" w14:textId="561526AA"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auto" w:fill="auto"/>
            <w:noWrap/>
            <w:vAlign w:val="center"/>
            <w:hideMark/>
          </w:tcPr>
          <w:p w14:paraId="1B0D805E" w14:textId="04792CEA" w:rsidR="003C6067" w:rsidRPr="00A52AEE" w:rsidRDefault="003C6067" w:rsidP="00A63CC4">
            <w:pPr>
              <w:jc w:val="center"/>
              <w:rPr>
                <w:lang w:eastAsia="en-GB"/>
              </w:rPr>
            </w:pPr>
            <w:r w:rsidRPr="00A52AEE">
              <w:rPr>
                <w:lang w:eastAsia="en-GB"/>
              </w:rPr>
              <w:t>3</w:t>
            </w:r>
          </w:p>
        </w:tc>
        <w:tc>
          <w:tcPr>
            <w:tcW w:w="244" w:type="pct"/>
            <w:tcBorders>
              <w:top w:val="nil"/>
              <w:left w:val="nil"/>
              <w:bottom w:val="single" w:sz="4" w:space="0" w:color="auto"/>
              <w:right w:val="single" w:sz="4" w:space="0" w:color="auto"/>
            </w:tcBorders>
            <w:shd w:val="clear" w:color="auto" w:fill="auto"/>
            <w:noWrap/>
            <w:vAlign w:val="center"/>
            <w:hideMark/>
          </w:tcPr>
          <w:p w14:paraId="700247F9" w14:textId="37BCC8BA"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auto" w:fill="auto"/>
            <w:noWrap/>
            <w:vAlign w:val="center"/>
            <w:hideMark/>
          </w:tcPr>
          <w:p w14:paraId="229013A5" w14:textId="606D587E" w:rsidR="003C6067" w:rsidRPr="00A52AEE" w:rsidRDefault="003C6067" w:rsidP="00A63CC4">
            <w:pPr>
              <w:jc w:val="center"/>
              <w:rPr>
                <w:lang w:eastAsia="en-GB"/>
              </w:rPr>
            </w:pPr>
            <w:r w:rsidRPr="00A52AEE">
              <w:rPr>
                <w:lang w:eastAsia="en-GB"/>
              </w:rPr>
              <w:t>10</w:t>
            </w:r>
          </w:p>
        </w:tc>
        <w:tc>
          <w:tcPr>
            <w:tcW w:w="244" w:type="pct"/>
            <w:tcBorders>
              <w:top w:val="nil"/>
              <w:left w:val="nil"/>
              <w:bottom w:val="single" w:sz="4" w:space="0" w:color="auto"/>
              <w:right w:val="single" w:sz="4" w:space="0" w:color="auto"/>
            </w:tcBorders>
            <w:shd w:val="clear" w:color="auto" w:fill="auto"/>
            <w:noWrap/>
            <w:vAlign w:val="center"/>
            <w:hideMark/>
          </w:tcPr>
          <w:p w14:paraId="0C4E61E8" w14:textId="5DE8BA34"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360EC744" w14:textId="443C5454" w:rsidR="003C6067" w:rsidRPr="00A52AEE" w:rsidRDefault="003C6067" w:rsidP="00A63CC4">
            <w:pPr>
              <w:jc w:val="center"/>
              <w:rPr>
                <w:lang w:eastAsia="en-GB"/>
              </w:rPr>
            </w:pPr>
            <w:r w:rsidRPr="00A52AEE">
              <w:rPr>
                <w:lang w:eastAsia="en-GB"/>
              </w:rPr>
              <w:t>8</w:t>
            </w:r>
          </w:p>
        </w:tc>
        <w:tc>
          <w:tcPr>
            <w:tcW w:w="309" w:type="pct"/>
            <w:tcBorders>
              <w:top w:val="nil"/>
              <w:left w:val="nil"/>
              <w:bottom w:val="single" w:sz="4" w:space="0" w:color="auto"/>
              <w:right w:val="single" w:sz="4" w:space="0" w:color="auto"/>
            </w:tcBorders>
            <w:shd w:val="clear" w:color="auto" w:fill="auto"/>
            <w:noWrap/>
            <w:vAlign w:val="center"/>
            <w:hideMark/>
          </w:tcPr>
          <w:p w14:paraId="6FFF4834" w14:textId="597BE285" w:rsidR="003C6067" w:rsidRPr="00A52AEE" w:rsidRDefault="003C6067" w:rsidP="00A63CC4">
            <w:pPr>
              <w:jc w:val="center"/>
              <w:rPr>
                <w:lang w:eastAsia="en-GB"/>
              </w:rPr>
            </w:pPr>
            <w:r w:rsidRPr="00A52AEE">
              <w:rPr>
                <w:lang w:eastAsia="en-GB"/>
              </w:rPr>
              <w:t>23</w:t>
            </w:r>
          </w:p>
        </w:tc>
        <w:tc>
          <w:tcPr>
            <w:tcW w:w="242" w:type="pct"/>
            <w:tcBorders>
              <w:top w:val="nil"/>
              <w:left w:val="nil"/>
              <w:bottom w:val="single" w:sz="4" w:space="0" w:color="auto"/>
              <w:right w:val="single" w:sz="4" w:space="0" w:color="auto"/>
            </w:tcBorders>
            <w:shd w:val="clear" w:color="auto" w:fill="auto"/>
            <w:noWrap/>
            <w:vAlign w:val="center"/>
            <w:hideMark/>
          </w:tcPr>
          <w:p w14:paraId="2F81DE30" w14:textId="00ADF784"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auto" w:fill="auto"/>
            <w:noWrap/>
            <w:vAlign w:val="center"/>
            <w:hideMark/>
          </w:tcPr>
          <w:p w14:paraId="2435B579" w14:textId="2CFD2559" w:rsidR="003C6067" w:rsidRPr="00A52AEE" w:rsidRDefault="003C6067" w:rsidP="00A63CC4">
            <w:pPr>
              <w:jc w:val="center"/>
              <w:rPr>
                <w:lang w:eastAsia="en-GB"/>
              </w:rPr>
            </w:pPr>
            <w:r w:rsidRPr="00A52AEE">
              <w:rPr>
                <w:lang w:eastAsia="en-GB"/>
              </w:rPr>
              <w:t>5</w:t>
            </w:r>
          </w:p>
        </w:tc>
        <w:tc>
          <w:tcPr>
            <w:tcW w:w="243" w:type="pct"/>
            <w:tcBorders>
              <w:top w:val="nil"/>
              <w:left w:val="nil"/>
              <w:bottom w:val="single" w:sz="4" w:space="0" w:color="auto"/>
              <w:right w:val="single" w:sz="4" w:space="0" w:color="auto"/>
            </w:tcBorders>
            <w:shd w:val="clear" w:color="auto" w:fill="auto"/>
            <w:noWrap/>
            <w:vAlign w:val="center"/>
            <w:hideMark/>
          </w:tcPr>
          <w:p w14:paraId="3B7FBB39" w14:textId="068E8920" w:rsidR="003C6067" w:rsidRPr="00A52AEE" w:rsidRDefault="003C6067" w:rsidP="00A63CC4">
            <w:pPr>
              <w:jc w:val="center"/>
              <w:rPr>
                <w:lang w:eastAsia="en-GB"/>
              </w:rPr>
            </w:pPr>
            <w:r w:rsidRPr="00A52AEE">
              <w:rPr>
                <w:lang w:eastAsia="en-GB"/>
              </w:rPr>
              <w:t>8</w:t>
            </w:r>
          </w:p>
        </w:tc>
        <w:tc>
          <w:tcPr>
            <w:tcW w:w="243" w:type="pct"/>
            <w:tcBorders>
              <w:top w:val="nil"/>
              <w:left w:val="nil"/>
              <w:bottom w:val="single" w:sz="4" w:space="0" w:color="auto"/>
              <w:right w:val="single" w:sz="4" w:space="0" w:color="auto"/>
            </w:tcBorders>
            <w:shd w:val="clear" w:color="auto" w:fill="auto"/>
            <w:noWrap/>
            <w:vAlign w:val="center"/>
            <w:hideMark/>
          </w:tcPr>
          <w:p w14:paraId="2E3E5280" w14:textId="252F3BAC"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27EFB558" w14:textId="201109AB"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320CB754" w14:textId="48ACAE97" w:rsidR="003C6067" w:rsidRPr="00A52AEE" w:rsidRDefault="003C6067" w:rsidP="00A63CC4">
            <w:pPr>
              <w:jc w:val="center"/>
              <w:rPr>
                <w:lang w:eastAsia="en-GB"/>
              </w:rPr>
            </w:pPr>
            <w:r w:rsidRPr="00A52AEE">
              <w:rPr>
                <w:lang w:eastAsia="en-GB"/>
              </w:rPr>
              <w:t>17</w:t>
            </w:r>
          </w:p>
        </w:tc>
      </w:tr>
      <w:tr w:rsidR="00E30B41" w:rsidRPr="00A52AEE" w14:paraId="15BD352F" w14:textId="77777777" w:rsidTr="00A63CC4">
        <w:trPr>
          <w:trHeight w:val="30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6F8810D4" w14:textId="77777777" w:rsidR="003C6067" w:rsidRPr="00A52AEE" w:rsidRDefault="003C6067" w:rsidP="00A52AEE">
            <w:pPr>
              <w:rPr>
                <w:lang w:eastAsia="en-GB"/>
              </w:rPr>
            </w:pPr>
            <w:r w:rsidRPr="00A52AEE">
              <w:rPr>
                <w:lang w:eastAsia="en-GB"/>
              </w:rPr>
              <w:t>White –British</w:t>
            </w:r>
          </w:p>
        </w:tc>
        <w:tc>
          <w:tcPr>
            <w:tcW w:w="310" w:type="pct"/>
            <w:tcBorders>
              <w:top w:val="nil"/>
              <w:left w:val="nil"/>
              <w:bottom w:val="single" w:sz="4" w:space="0" w:color="auto"/>
              <w:right w:val="single" w:sz="4" w:space="0" w:color="auto"/>
            </w:tcBorders>
            <w:shd w:val="clear" w:color="auto" w:fill="auto"/>
            <w:noWrap/>
            <w:vAlign w:val="center"/>
            <w:hideMark/>
          </w:tcPr>
          <w:p w14:paraId="51FA74EC" w14:textId="23B2A14C" w:rsidR="003C6067" w:rsidRPr="00A52AEE" w:rsidRDefault="003C6067" w:rsidP="00A63CC4">
            <w:pPr>
              <w:jc w:val="center"/>
              <w:rPr>
                <w:lang w:eastAsia="en-GB"/>
              </w:rPr>
            </w:pPr>
            <w:r w:rsidRPr="00A52AEE">
              <w:rPr>
                <w:lang w:eastAsia="en-GB"/>
              </w:rPr>
              <w:t>10</w:t>
            </w:r>
          </w:p>
        </w:tc>
        <w:tc>
          <w:tcPr>
            <w:tcW w:w="310" w:type="pct"/>
            <w:tcBorders>
              <w:top w:val="nil"/>
              <w:left w:val="nil"/>
              <w:bottom w:val="single" w:sz="4" w:space="0" w:color="auto"/>
              <w:right w:val="single" w:sz="4" w:space="0" w:color="auto"/>
            </w:tcBorders>
            <w:shd w:val="clear" w:color="auto" w:fill="auto"/>
            <w:noWrap/>
            <w:vAlign w:val="center"/>
            <w:hideMark/>
          </w:tcPr>
          <w:p w14:paraId="10646EC2" w14:textId="16E2B8E1"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77F9C6F7" w14:textId="12DB422B" w:rsidR="003C6067" w:rsidRPr="00A52AEE" w:rsidRDefault="003C6067" w:rsidP="00A63CC4">
            <w:pPr>
              <w:jc w:val="center"/>
              <w:rPr>
                <w:lang w:eastAsia="en-GB"/>
              </w:rPr>
            </w:pPr>
            <w:r w:rsidRPr="00A52AEE">
              <w:rPr>
                <w:lang w:eastAsia="en-GB"/>
              </w:rPr>
              <w:t>1</w:t>
            </w:r>
          </w:p>
        </w:tc>
        <w:tc>
          <w:tcPr>
            <w:tcW w:w="244" w:type="pct"/>
            <w:tcBorders>
              <w:top w:val="nil"/>
              <w:left w:val="nil"/>
              <w:bottom w:val="single" w:sz="4" w:space="0" w:color="auto"/>
              <w:right w:val="single" w:sz="4" w:space="0" w:color="auto"/>
            </w:tcBorders>
            <w:shd w:val="clear" w:color="auto" w:fill="auto"/>
            <w:noWrap/>
            <w:vAlign w:val="center"/>
            <w:hideMark/>
          </w:tcPr>
          <w:p w14:paraId="4452DE4D" w14:textId="00862878" w:rsidR="003C6067" w:rsidRPr="00A52AEE" w:rsidRDefault="003C6067" w:rsidP="00A63CC4">
            <w:pPr>
              <w:jc w:val="center"/>
              <w:rPr>
                <w:lang w:eastAsia="en-GB"/>
              </w:rPr>
            </w:pPr>
            <w:r w:rsidRPr="00A52AEE">
              <w:rPr>
                <w:lang w:eastAsia="en-GB"/>
              </w:rPr>
              <w:t>6</w:t>
            </w:r>
          </w:p>
        </w:tc>
        <w:tc>
          <w:tcPr>
            <w:tcW w:w="244" w:type="pct"/>
            <w:tcBorders>
              <w:top w:val="nil"/>
              <w:left w:val="nil"/>
              <w:bottom w:val="single" w:sz="4" w:space="0" w:color="auto"/>
              <w:right w:val="single" w:sz="4" w:space="0" w:color="auto"/>
            </w:tcBorders>
            <w:shd w:val="clear" w:color="auto" w:fill="auto"/>
            <w:noWrap/>
            <w:vAlign w:val="center"/>
            <w:hideMark/>
          </w:tcPr>
          <w:p w14:paraId="3A271174" w14:textId="35CB2397" w:rsidR="003C6067" w:rsidRPr="00A52AEE" w:rsidRDefault="003C6067" w:rsidP="00A63CC4">
            <w:pPr>
              <w:jc w:val="center"/>
              <w:rPr>
                <w:lang w:eastAsia="en-GB"/>
              </w:rPr>
            </w:pPr>
            <w:r w:rsidRPr="00A52AEE">
              <w:rPr>
                <w:lang w:eastAsia="en-GB"/>
              </w:rPr>
              <w:t>3</w:t>
            </w:r>
          </w:p>
        </w:tc>
        <w:tc>
          <w:tcPr>
            <w:tcW w:w="309" w:type="pct"/>
            <w:tcBorders>
              <w:top w:val="nil"/>
              <w:left w:val="nil"/>
              <w:bottom w:val="single" w:sz="4" w:space="0" w:color="auto"/>
              <w:right w:val="single" w:sz="4" w:space="0" w:color="auto"/>
            </w:tcBorders>
            <w:shd w:val="clear" w:color="auto" w:fill="auto"/>
            <w:noWrap/>
            <w:vAlign w:val="center"/>
            <w:hideMark/>
          </w:tcPr>
          <w:p w14:paraId="07D5750C" w14:textId="4D2120D6" w:rsidR="003C6067" w:rsidRPr="00A52AEE" w:rsidRDefault="003C6067" w:rsidP="00A63CC4">
            <w:pPr>
              <w:jc w:val="center"/>
              <w:rPr>
                <w:lang w:eastAsia="en-GB"/>
              </w:rPr>
            </w:pPr>
            <w:r w:rsidRPr="00A52AEE">
              <w:rPr>
                <w:lang w:eastAsia="en-GB"/>
              </w:rPr>
              <w:t>5</w:t>
            </w:r>
          </w:p>
        </w:tc>
        <w:tc>
          <w:tcPr>
            <w:tcW w:w="244" w:type="pct"/>
            <w:tcBorders>
              <w:top w:val="nil"/>
              <w:left w:val="nil"/>
              <w:bottom w:val="single" w:sz="4" w:space="0" w:color="auto"/>
              <w:right w:val="single" w:sz="4" w:space="0" w:color="auto"/>
            </w:tcBorders>
            <w:shd w:val="clear" w:color="auto" w:fill="auto"/>
            <w:noWrap/>
            <w:vAlign w:val="center"/>
            <w:hideMark/>
          </w:tcPr>
          <w:p w14:paraId="22F80209" w14:textId="0AF593E7" w:rsidR="003C6067" w:rsidRPr="00A52AEE" w:rsidRDefault="003C6067" w:rsidP="00A63CC4">
            <w:pPr>
              <w:jc w:val="center"/>
              <w:rPr>
                <w:lang w:eastAsia="en-GB"/>
              </w:rPr>
            </w:pPr>
            <w:r w:rsidRPr="00A52AEE">
              <w:rPr>
                <w:lang w:eastAsia="en-GB"/>
              </w:rPr>
              <w:t>5</w:t>
            </w:r>
          </w:p>
        </w:tc>
        <w:tc>
          <w:tcPr>
            <w:tcW w:w="309" w:type="pct"/>
            <w:tcBorders>
              <w:top w:val="nil"/>
              <w:left w:val="nil"/>
              <w:bottom w:val="single" w:sz="4" w:space="0" w:color="auto"/>
              <w:right w:val="single" w:sz="4" w:space="0" w:color="auto"/>
            </w:tcBorders>
            <w:shd w:val="clear" w:color="auto" w:fill="auto"/>
            <w:noWrap/>
            <w:vAlign w:val="center"/>
            <w:hideMark/>
          </w:tcPr>
          <w:p w14:paraId="1F72E159" w14:textId="0A37B673" w:rsidR="003C6067" w:rsidRPr="00A52AEE" w:rsidRDefault="003C6067" w:rsidP="00A63CC4">
            <w:pPr>
              <w:jc w:val="center"/>
              <w:rPr>
                <w:lang w:eastAsia="en-GB"/>
              </w:rPr>
            </w:pPr>
            <w:r w:rsidRPr="00A52AEE">
              <w:rPr>
                <w:lang w:eastAsia="en-GB"/>
              </w:rPr>
              <w:t>8</w:t>
            </w:r>
          </w:p>
        </w:tc>
        <w:tc>
          <w:tcPr>
            <w:tcW w:w="309" w:type="pct"/>
            <w:tcBorders>
              <w:top w:val="nil"/>
              <w:left w:val="nil"/>
              <w:bottom w:val="single" w:sz="4" w:space="0" w:color="auto"/>
              <w:right w:val="single" w:sz="4" w:space="0" w:color="auto"/>
            </w:tcBorders>
            <w:shd w:val="clear" w:color="auto" w:fill="auto"/>
            <w:noWrap/>
            <w:vAlign w:val="center"/>
            <w:hideMark/>
          </w:tcPr>
          <w:p w14:paraId="153BD127" w14:textId="165F0FBB" w:rsidR="003C6067" w:rsidRPr="00A52AEE" w:rsidRDefault="003C6067" w:rsidP="00A63CC4">
            <w:pPr>
              <w:jc w:val="center"/>
              <w:rPr>
                <w:lang w:eastAsia="en-GB"/>
              </w:rPr>
            </w:pPr>
            <w:r w:rsidRPr="00A52AEE">
              <w:rPr>
                <w:lang w:eastAsia="en-GB"/>
              </w:rPr>
              <w:t>26</w:t>
            </w:r>
          </w:p>
        </w:tc>
        <w:tc>
          <w:tcPr>
            <w:tcW w:w="242" w:type="pct"/>
            <w:tcBorders>
              <w:top w:val="nil"/>
              <w:left w:val="nil"/>
              <w:bottom w:val="single" w:sz="4" w:space="0" w:color="auto"/>
              <w:right w:val="single" w:sz="4" w:space="0" w:color="auto"/>
            </w:tcBorders>
            <w:shd w:val="clear" w:color="auto" w:fill="auto"/>
            <w:noWrap/>
            <w:vAlign w:val="center"/>
            <w:hideMark/>
          </w:tcPr>
          <w:p w14:paraId="32D37306" w14:textId="57EB2404" w:rsidR="003C6067" w:rsidRPr="00A52AEE" w:rsidRDefault="003C6067" w:rsidP="00A63CC4">
            <w:pPr>
              <w:jc w:val="center"/>
              <w:rPr>
                <w:lang w:eastAsia="en-GB"/>
              </w:rPr>
            </w:pPr>
            <w:r w:rsidRPr="00A52AEE">
              <w:rPr>
                <w:lang w:eastAsia="en-GB"/>
              </w:rPr>
              <w:t>4</w:t>
            </w:r>
          </w:p>
        </w:tc>
        <w:tc>
          <w:tcPr>
            <w:tcW w:w="308" w:type="pct"/>
            <w:tcBorders>
              <w:top w:val="nil"/>
              <w:left w:val="nil"/>
              <w:bottom w:val="single" w:sz="4" w:space="0" w:color="auto"/>
              <w:right w:val="single" w:sz="4" w:space="0" w:color="auto"/>
            </w:tcBorders>
            <w:shd w:val="clear" w:color="auto" w:fill="auto"/>
            <w:noWrap/>
            <w:vAlign w:val="center"/>
            <w:hideMark/>
          </w:tcPr>
          <w:p w14:paraId="74F08D4F" w14:textId="72D1984C" w:rsidR="003C6067" w:rsidRPr="00A52AEE" w:rsidRDefault="003C6067" w:rsidP="00A63CC4">
            <w:pPr>
              <w:jc w:val="center"/>
              <w:rPr>
                <w:lang w:eastAsia="en-GB"/>
              </w:rPr>
            </w:pPr>
            <w:r w:rsidRPr="00A52AEE">
              <w:rPr>
                <w:lang w:eastAsia="en-GB"/>
              </w:rPr>
              <w:t>4</w:t>
            </w:r>
          </w:p>
        </w:tc>
        <w:tc>
          <w:tcPr>
            <w:tcW w:w="243" w:type="pct"/>
            <w:tcBorders>
              <w:top w:val="nil"/>
              <w:left w:val="nil"/>
              <w:bottom w:val="single" w:sz="4" w:space="0" w:color="auto"/>
              <w:right w:val="single" w:sz="4" w:space="0" w:color="auto"/>
            </w:tcBorders>
            <w:shd w:val="clear" w:color="auto" w:fill="auto"/>
            <w:noWrap/>
            <w:vAlign w:val="center"/>
            <w:hideMark/>
          </w:tcPr>
          <w:p w14:paraId="4B6A11A0" w14:textId="6DCC9C8F"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auto" w:fill="auto"/>
            <w:noWrap/>
            <w:vAlign w:val="center"/>
            <w:hideMark/>
          </w:tcPr>
          <w:p w14:paraId="3F32FFC4" w14:textId="5D9F0B04"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auto" w:fill="auto"/>
            <w:noWrap/>
            <w:vAlign w:val="center"/>
            <w:hideMark/>
          </w:tcPr>
          <w:p w14:paraId="228AD779" w14:textId="3976760A"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auto" w:fill="auto"/>
            <w:noWrap/>
            <w:vAlign w:val="center"/>
            <w:hideMark/>
          </w:tcPr>
          <w:p w14:paraId="43790B8F" w14:textId="109B3274" w:rsidR="003C6067" w:rsidRPr="00A52AEE" w:rsidRDefault="003C6067" w:rsidP="00A63CC4">
            <w:pPr>
              <w:jc w:val="center"/>
              <w:rPr>
                <w:lang w:eastAsia="en-GB"/>
              </w:rPr>
            </w:pPr>
            <w:r w:rsidRPr="00A52AEE">
              <w:rPr>
                <w:lang w:eastAsia="en-GB"/>
              </w:rPr>
              <w:t>10</w:t>
            </w:r>
          </w:p>
        </w:tc>
      </w:tr>
      <w:tr w:rsidR="00E30B41" w:rsidRPr="00A52AEE" w14:paraId="50700679" w14:textId="77777777" w:rsidTr="00A63CC4">
        <w:trPr>
          <w:trHeight w:val="300"/>
        </w:trPr>
        <w:tc>
          <w:tcPr>
            <w:tcW w:w="891" w:type="pct"/>
            <w:tcBorders>
              <w:top w:val="nil"/>
              <w:left w:val="single" w:sz="4" w:space="0" w:color="auto"/>
              <w:bottom w:val="single" w:sz="4" w:space="0" w:color="auto"/>
              <w:right w:val="single" w:sz="4" w:space="0" w:color="auto"/>
            </w:tcBorders>
            <w:shd w:val="clear" w:color="DDEBF7" w:fill="F2F2F2"/>
            <w:noWrap/>
            <w:vAlign w:val="bottom"/>
            <w:hideMark/>
          </w:tcPr>
          <w:p w14:paraId="16AE0373" w14:textId="158384D6" w:rsidR="003C6067" w:rsidRPr="00A52AEE" w:rsidRDefault="003C6067" w:rsidP="00A52AEE">
            <w:pPr>
              <w:rPr>
                <w:lang w:eastAsia="en-GB"/>
              </w:rPr>
            </w:pPr>
            <w:r w:rsidRPr="00A52AEE">
              <w:rPr>
                <w:lang w:eastAsia="en-GB"/>
              </w:rPr>
              <w:t>Total</w:t>
            </w:r>
          </w:p>
        </w:tc>
        <w:tc>
          <w:tcPr>
            <w:tcW w:w="310" w:type="pct"/>
            <w:tcBorders>
              <w:top w:val="nil"/>
              <w:left w:val="nil"/>
              <w:bottom w:val="single" w:sz="4" w:space="0" w:color="auto"/>
              <w:right w:val="single" w:sz="4" w:space="0" w:color="auto"/>
            </w:tcBorders>
            <w:shd w:val="clear" w:color="DDEBF7" w:fill="F2F2F2"/>
            <w:noWrap/>
            <w:vAlign w:val="center"/>
            <w:hideMark/>
          </w:tcPr>
          <w:p w14:paraId="2CC70F2C" w14:textId="2CEB574C" w:rsidR="003C6067" w:rsidRPr="00A52AEE" w:rsidRDefault="003C6067" w:rsidP="00A63CC4">
            <w:pPr>
              <w:jc w:val="center"/>
              <w:rPr>
                <w:lang w:eastAsia="en-GB"/>
              </w:rPr>
            </w:pPr>
            <w:r w:rsidRPr="00A52AEE">
              <w:rPr>
                <w:lang w:eastAsia="en-GB"/>
              </w:rPr>
              <w:t>9</w:t>
            </w:r>
          </w:p>
        </w:tc>
        <w:tc>
          <w:tcPr>
            <w:tcW w:w="310" w:type="pct"/>
            <w:tcBorders>
              <w:top w:val="nil"/>
              <w:left w:val="nil"/>
              <w:bottom w:val="single" w:sz="4" w:space="0" w:color="auto"/>
              <w:right w:val="single" w:sz="4" w:space="0" w:color="auto"/>
            </w:tcBorders>
            <w:shd w:val="clear" w:color="DDEBF7" w:fill="F2F2F2"/>
            <w:noWrap/>
            <w:vAlign w:val="center"/>
            <w:hideMark/>
          </w:tcPr>
          <w:p w14:paraId="6B9DCDE5" w14:textId="5B80B934" w:rsidR="003C6067" w:rsidRPr="00A52AEE" w:rsidRDefault="003C6067" w:rsidP="00A63CC4">
            <w:pPr>
              <w:jc w:val="center"/>
              <w:rPr>
                <w:lang w:eastAsia="en-GB"/>
              </w:rPr>
            </w:pPr>
            <w:r w:rsidRPr="00A52AEE">
              <w:rPr>
                <w:lang w:eastAsia="en-GB"/>
              </w:rPr>
              <w:t>13</w:t>
            </w:r>
          </w:p>
        </w:tc>
        <w:tc>
          <w:tcPr>
            <w:tcW w:w="243" w:type="pct"/>
            <w:tcBorders>
              <w:top w:val="nil"/>
              <w:left w:val="nil"/>
              <w:bottom w:val="single" w:sz="4" w:space="0" w:color="auto"/>
              <w:right w:val="single" w:sz="4" w:space="0" w:color="auto"/>
            </w:tcBorders>
            <w:shd w:val="clear" w:color="DDEBF7" w:fill="F2F2F2"/>
            <w:noWrap/>
            <w:vAlign w:val="center"/>
            <w:hideMark/>
          </w:tcPr>
          <w:p w14:paraId="1FF0ABE6" w14:textId="744DDB60" w:rsidR="003C6067" w:rsidRPr="00A52AEE" w:rsidRDefault="003C6067" w:rsidP="00A63CC4">
            <w:pPr>
              <w:jc w:val="center"/>
              <w:rPr>
                <w:lang w:eastAsia="en-GB"/>
              </w:rPr>
            </w:pPr>
            <w:r w:rsidRPr="00A52AEE">
              <w:rPr>
                <w:lang w:eastAsia="en-GB"/>
              </w:rPr>
              <w:t>0</w:t>
            </w:r>
          </w:p>
        </w:tc>
        <w:tc>
          <w:tcPr>
            <w:tcW w:w="244" w:type="pct"/>
            <w:tcBorders>
              <w:top w:val="nil"/>
              <w:left w:val="nil"/>
              <w:bottom w:val="single" w:sz="4" w:space="0" w:color="auto"/>
              <w:right w:val="single" w:sz="4" w:space="0" w:color="auto"/>
            </w:tcBorders>
            <w:shd w:val="clear" w:color="DDEBF7" w:fill="F2F2F2"/>
            <w:noWrap/>
            <w:vAlign w:val="center"/>
            <w:hideMark/>
          </w:tcPr>
          <w:p w14:paraId="6EFF6AFF" w14:textId="69E5E9C2" w:rsidR="003C6067" w:rsidRPr="00A52AEE" w:rsidRDefault="003C6067" w:rsidP="00A63CC4">
            <w:pPr>
              <w:jc w:val="center"/>
              <w:rPr>
                <w:lang w:eastAsia="en-GB"/>
              </w:rPr>
            </w:pPr>
            <w:r w:rsidRPr="00A52AEE">
              <w:rPr>
                <w:lang w:eastAsia="en-GB"/>
              </w:rPr>
              <w:t>4</w:t>
            </w:r>
          </w:p>
        </w:tc>
        <w:tc>
          <w:tcPr>
            <w:tcW w:w="244" w:type="pct"/>
            <w:tcBorders>
              <w:top w:val="nil"/>
              <w:left w:val="nil"/>
              <w:bottom w:val="single" w:sz="4" w:space="0" w:color="auto"/>
              <w:right w:val="single" w:sz="4" w:space="0" w:color="auto"/>
            </w:tcBorders>
            <w:shd w:val="clear" w:color="DDEBF7" w:fill="F2F2F2"/>
            <w:noWrap/>
            <w:vAlign w:val="center"/>
            <w:hideMark/>
          </w:tcPr>
          <w:p w14:paraId="57B8ADAC" w14:textId="3445A94B" w:rsidR="003C6067" w:rsidRPr="00A52AEE" w:rsidRDefault="003C6067" w:rsidP="00A63CC4">
            <w:pPr>
              <w:jc w:val="center"/>
              <w:rPr>
                <w:lang w:eastAsia="en-GB"/>
              </w:rPr>
            </w:pPr>
            <w:r w:rsidRPr="00A52AEE">
              <w:rPr>
                <w:lang w:eastAsia="en-GB"/>
              </w:rPr>
              <w:t>1</w:t>
            </w:r>
          </w:p>
        </w:tc>
        <w:tc>
          <w:tcPr>
            <w:tcW w:w="309" w:type="pct"/>
            <w:tcBorders>
              <w:top w:val="nil"/>
              <w:left w:val="nil"/>
              <w:bottom w:val="single" w:sz="4" w:space="0" w:color="auto"/>
              <w:right w:val="single" w:sz="4" w:space="0" w:color="auto"/>
            </w:tcBorders>
            <w:shd w:val="clear" w:color="DDEBF7" w:fill="F2F2F2"/>
            <w:noWrap/>
            <w:vAlign w:val="center"/>
            <w:hideMark/>
          </w:tcPr>
          <w:p w14:paraId="62EB9532" w14:textId="6F7C78B6" w:rsidR="003C6067" w:rsidRPr="00A52AEE" w:rsidRDefault="003C6067" w:rsidP="00A63CC4">
            <w:pPr>
              <w:jc w:val="center"/>
              <w:rPr>
                <w:lang w:eastAsia="en-GB"/>
              </w:rPr>
            </w:pPr>
            <w:r w:rsidRPr="00A52AEE">
              <w:rPr>
                <w:lang w:eastAsia="en-GB"/>
              </w:rPr>
              <w:t>8</w:t>
            </w:r>
          </w:p>
        </w:tc>
        <w:tc>
          <w:tcPr>
            <w:tcW w:w="244" w:type="pct"/>
            <w:tcBorders>
              <w:top w:val="nil"/>
              <w:left w:val="nil"/>
              <w:bottom w:val="single" w:sz="4" w:space="0" w:color="auto"/>
              <w:right w:val="single" w:sz="4" w:space="0" w:color="auto"/>
            </w:tcBorders>
            <w:shd w:val="clear" w:color="DDEBF7" w:fill="F2F2F2"/>
            <w:noWrap/>
            <w:vAlign w:val="center"/>
            <w:hideMark/>
          </w:tcPr>
          <w:p w14:paraId="02C786B8" w14:textId="152FCF7D"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DDEBF7" w:fill="F2F2F2"/>
            <w:noWrap/>
            <w:vAlign w:val="center"/>
            <w:hideMark/>
          </w:tcPr>
          <w:p w14:paraId="3B87F55E" w14:textId="66379B24" w:rsidR="003C6067" w:rsidRPr="00A52AEE" w:rsidRDefault="003C6067" w:rsidP="00A63CC4">
            <w:pPr>
              <w:jc w:val="center"/>
              <w:rPr>
                <w:lang w:eastAsia="en-GB"/>
              </w:rPr>
            </w:pPr>
            <w:r w:rsidRPr="00A52AEE">
              <w:rPr>
                <w:lang w:eastAsia="en-GB"/>
              </w:rPr>
              <w:t>6</w:t>
            </w:r>
          </w:p>
        </w:tc>
        <w:tc>
          <w:tcPr>
            <w:tcW w:w="309" w:type="pct"/>
            <w:tcBorders>
              <w:top w:val="nil"/>
              <w:left w:val="nil"/>
              <w:bottom w:val="single" w:sz="4" w:space="0" w:color="auto"/>
              <w:right w:val="single" w:sz="4" w:space="0" w:color="auto"/>
            </w:tcBorders>
            <w:shd w:val="clear" w:color="DDEBF7" w:fill="F2F2F2"/>
            <w:noWrap/>
            <w:vAlign w:val="center"/>
            <w:hideMark/>
          </w:tcPr>
          <w:p w14:paraId="69DCFDA7" w14:textId="7E479EC6" w:rsidR="003C6067" w:rsidRPr="00A52AEE" w:rsidRDefault="003C6067" w:rsidP="00A63CC4">
            <w:pPr>
              <w:jc w:val="center"/>
              <w:rPr>
                <w:lang w:eastAsia="en-GB"/>
              </w:rPr>
            </w:pPr>
            <w:r w:rsidRPr="00A52AEE">
              <w:rPr>
                <w:lang w:eastAsia="en-GB"/>
              </w:rPr>
              <w:t>20</w:t>
            </w:r>
          </w:p>
        </w:tc>
        <w:tc>
          <w:tcPr>
            <w:tcW w:w="242" w:type="pct"/>
            <w:tcBorders>
              <w:top w:val="nil"/>
              <w:left w:val="nil"/>
              <w:bottom w:val="single" w:sz="4" w:space="0" w:color="auto"/>
              <w:right w:val="single" w:sz="4" w:space="0" w:color="auto"/>
            </w:tcBorders>
            <w:shd w:val="clear" w:color="DDEBF7" w:fill="F2F2F2"/>
            <w:noWrap/>
            <w:vAlign w:val="center"/>
            <w:hideMark/>
          </w:tcPr>
          <w:p w14:paraId="5DFBCCBA" w14:textId="1CA304F2" w:rsidR="003C6067" w:rsidRPr="00A52AEE" w:rsidRDefault="003C6067" w:rsidP="00A63CC4">
            <w:pPr>
              <w:jc w:val="center"/>
              <w:rPr>
                <w:lang w:eastAsia="en-GB"/>
              </w:rPr>
            </w:pPr>
            <w:r w:rsidRPr="00A52AEE">
              <w:rPr>
                <w:lang w:eastAsia="en-GB"/>
              </w:rPr>
              <w:t>3</w:t>
            </w:r>
          </w:p>
        </w:tc>
        <w:tc>
          <w:tcPr>
            <w:tcW w:w="308" w:type="pct"/>
            <w:tcBorders>
              <w:top w:val="nil"/>
              <w:left w:val="nil"/>
              <w:bottom w:val="single" w:sz="4" w:space="0" w:color="auto"/>
              <w:right w:val="single" w:sz="4" w:space="0" w:color="auto"/>
            </w:tcBorders>
            <w:shd w:val="clear" w:color="DDEBF7" w:fill="F2F2F2"/>
            <w:noWrap/>
            <w:vAlign w:val="center"/>
            <w:hideMark/>
          </w:tcPr>
          <w:p w14:paraId="1FE9EC57" w14:textId="35018ADC" w:rsidR="003C6067" w:rsidRPr="00A52AEE" w:rsidRDefault="003C6067" w:rsidP="00A63CC4">
            <w:pPr>
              <w:jc w:val="center"/>
              <w:rPr>
                <w:lang w:eastAsia="en-GB"/>
              </w:rPr>
            </w:pPr>
            <w:r w:rsidRPr="00A52AEE">
              <w:rPr>
                <w:lang w:eastAsia="en-GB"/>
              </w:rPr>
              <w:t>6</w:t>
            </w:r>
          </w:p>
        </w:tc>
        <w:tc>
          <w:tcPr>
            <w:tcW w:w="243" w:type="pct"/>
            <w:tcBorders>
              <w:top w:val="nil"/>
              <w:left w:val="nil"/>
              <w:bottom w:val="single" w:sz="4" w:space="0" w:color="auto"/>
              <w:right w:val="single" w:sz="4" w:space="0" w:color="auto"/>
            </w:tcBorders>
            <w:shd w:val="clear" w:color="DDEBF7" w:fill="F2F2F2"/>
            <w:noWrap/>
            <w:vAlign w:val="center"/>
            <w:hideMark/>
          </w:tcPr>
          <w:p w14:paraId="6C1C873E" w14:textId="1738F6B0" w:rsidR="003C6067" w:rsidRPr="00A52AEE" w:rsidRDefault="003C6067" w:rsidP="00A63CC4">
            <w:pPr>
              <w:jc w:val="center"/>
              <w:rPr>
                <w:lang w:eastAsia="en-GB"/>
              </w:rPr>
            </w:pPr>
            <w:r w:rsidRPr="00A52AEE">
              <w:rPr>
                <w:lang w:eastAsia="en-GB"/>
              </w:rPr>
              <w:t>7</w:t>
            </w:r>
          </w:p>
        </w:tc>
        <w:tc>
          <w:tcPr>
            <w:tcW w:w="243" w:type="pct"/>
            <w:tcBorders>
              <w:top w:val="nil"/>
              <w:left w:val="nil"/>
              <w:bottom w:val="single" w:sz="4" w:space="0" w:color="auto"/>
              <w:right w:val="single" w:sz="4" w:space="0" w:color="auto"/>
            </w:tcBorders>
            <w:shd w:val="clear" w:color="DDEBF7" w:fill="F2F2F2"/>
            <w:noWrap/>
            <w:vAlign w:val="center"/>
            <w:hideMark/>
          </w:tcPr>
          <w:p w14:paraId="1D7D33DC" w14:textId="7F5C6C77" w:rsidR="003C6067" w:rsidRPr="00A52AEE" w:rsidRDefault="003C6067" w:rsidP="00A63CC4">
            <w:pPr>
              <w:jc w:val="center"/>
              <w:rPr>
                <w:lang w:eastAsia="en-GB"/>
              </w:rPr>
            </w:pPr>
            <w:r w:rsidRPr="00A52AEE">
              <w:rPr>
                <w:lang w:eastAsia="en-GB"/>
              </w:rPr>
              <w:t>0</w:t>
            </w:r>
          </w:p>
        </w:tc>
        <w:tc>
          <w:tcPr>
            <w:tcW w:w="243" w:type="pct"/>
            <w:tcBorders>
              <w:top w:val="nil"/>
              <w:left w:val="nil"/>
              <w:bottom w:val="single" w:sz="4" w:space="0" w:color="auto"/>
              <w:right w:val="single" w:sz="4" w:space="0" w:color="auto"/>
            </w:tcBorders>
            <w:shd w:val="clear" w:color="DDEBF7" w:fill="F2F2F2"/>
            <w:noWrap/>
            <w:vAlign w:val="center"/>
            <w:hideMark/>
          </w:tcPr>
          <w:p w14:paraId="673B4CC5" w14:textId="17BA09B8" w:rsidR="003C6067" w:rsidRPr="00A52AEE" w:rsidRDefault="003C6067" w:rsidP="00A63CC4">
            <w:pPr>
              <w:jc w:val="center"/>
              <w:rPr>
                <w:lang w:eastAsia="en-GB"/>
              </w:rPr>
            </w:pPr>
            <w:r w:rsidRPr="00A52AEE">
              <w:rPr>
                <w:lang w:eastAsia="en-GB"/>
              </w:rPr>
              <w:t>2</w:t>
            </w:r>
          </w:p>
        </w:tc>
        <w:tc>
          <w:tcPr>
            <w:tcW w:w="309" w:type="pct"/>
            <w:tcBorders>
              <w:top w:val="nil"/>
              <w:left w:val="nil"/>
              <w:bottom w:val="single" w:sz="4" w:space="0" w:color="auto"/>
              <w:right w:val="single" w:sz="4" w:space="0" w:color="auto"/>
            </w:tcBorders>
            <w:shd w:val="clear" w:color="DDEBF7" w:fill="F2F2F2"/>
            <w:noWrap/>
            <w:vAlign w:val="center"/>
            <w:hideMark/>
          </w:tcPr>
          <w:p w14:paraId="68FD1734" w14:textId="57138E51" w:rsidR="003C6067" w:rsidRPr="00A52AEE" w:rsidRDefault="003C6067" w:rsidP="00A63CC4">
            <w:pPr>
              <w:jc w:val="center"/>
              <w:rPr>
                <w:lang w:eastAsia="en-GB"/>
              </w:rPr>
            </w:pPr>
            <w:r w:rsidRPr="00A52AEE">
              <w:rPr>
                <w:lang w:eastAsia="en-GB"/>
              </w:rPr>
              <w:t>17</w:t>
            </w:r>
          </w:p>
        </w:tc>
      </w:tr>
    </w:tbl>
    <w:p w14:paraId="0AC6EB49" w14:textId="789DFE17" w:rsidR="00AA46D0" w:rsidRPr="00A63CC4" w:rsidRDefault="00A63CC4" w:rsidP="00A63CC4">
      <w:pPr>
        <w:rPr>
          <w:noProof/>
        </w:rPr>
      </w:pPr>
      <w:r>
        <w:rPr>
          <w:noProof/>
        </w:rPr>
        <w:t>Percentages have been rounded</w:t>
      </w:r>
    </w:p>
    <w:p w14:paraId="3BE1F463" w14:textId="77777777" w:rsidR="00A63CC4" w:rsidRDefault="00A63CC4">
      <w:pPr>
        <w:spacing w:after="160" w:line="259" w:lineRule="auto"/>
        <w:rPr>
          <w:rFonts w:eastAsiaTheme="majorEastAsia" w:cstheme="majorBidi"/>
          <w:b/>
          <w:noProof/>
          <w:color w:val="323E4F" w:themeColor="text2" w:themeShade="BF"/>
          <w:sz w:val="56"/>
          <w:szCs w:val="32"/>
        </w:rPr>
      </w:pPr>
      <w:r>
        <w:br w:type="page"/>
      </w:r>
    </w:p>
    <w:p w14:paraId="07B9634E" w14:textId="6029BA6E" w:rsidR="00027430" w:rsidRPr="00A52AEE" w:rsidRDefault="00E30B41" w:rsidP="009443B2">
      <w:pPr>
        <w:pStyle w:val="Heading1"/>
      </w:pPr>
      <w:bookmarkStart w:id="101" w:name="_Toc429151324"/>
      <w:r w:rsidRPr="00A52AEE">
        <w:t>5.</w:t>
      </w:r>
      <w:r w:rsidRPr="00A52AEE">
        <w:tab/>
      </w:r>
      <w:r w:rsidR="001F1D4D" w:rsidRPr="00A52AEE">
        <w:t>Progression to higher e</w:t>
      </w:r>
      <w:r w:rsidR="00027430" w:rsidRPr="00A52AEE">
        <w:t>ducation</w:t>
      </w:r>
      <w:bookmarkEnd w:id="101"/>
      <w:r w:rsidR="00027430" w:rsidRPr="00A52AEE">
        <w:t xml:space="preserve"> </w:t>
      </w:r>
    </w:p>
    <w:p w14:paraId="0366E55B" w14:textId="77777777" w:rsidR="00027430" w:rsidRPr="00A52AEE" w:rsidRDefault="00027430" w:rsidP="00A52AEE"/>
    <w:p w14:paraId="7DE06BC9" w14:textId="2F3E9BFB" w:rsidR="00E30B41" w:rsidRPr="00A52AEE" w:rsidRDefault="00AA46D0" w:rsidP="00A52AEE">
      <w:bookmarkStart w:id="102" w:name="_Toc405201393"/>
      <w:r w:rsidRPr="00A52AEE">
        <w:t>An examination of progression trend</w:t>
      </w:r>
      <w:r w:rsidR="004F6F33" w:rsidRPr="00A52AEE">
        <w:t xml:space="preserve">s follows analysing patterns of progression to HE over time for each of the five tracked </w:t>
      </w:r>
      <w:r w:rsidR="0076166E" w:rsidRPr="00A52AEE">
        <w:t>London</w:t>
      </w:r>
      <w:r w:rsidR="004F6F33" w:rsidRPr="00A52AEE">
        <w:t xml:space="preserve"> college </w:t>
      </w:r>
      <w:r w:rsidR="0021637B" w:rsidRPr="00A52AEE">
        <w:t>Level</w:t>
      </w:r>
      <w:r w:rsidR="004F6F33" w:rsidRPr="00A52AEE">
        <w:t xml:space="preserve"> 3 cohorts. </w:t>
      </w:r>
      <w:r w:rsidRPr="00A52AEE">
        <w:t xml:space="preserve"> In Section 4, </w:t>
      </w:r>
      <w:r w:rsidR="00842186" w:rsidRPr="00A52AEE">
        <w:t>student</w:t>
      </w:r>
      <w:r w:rsidRPr="00A52AEE">
        <w:t xml:space="preserve"> characteristics for individual cohort years were examined to </w:t>
      </w:r>
      <w:r w:rsidR="004F6F33" w:rsidRPr="00A52AEE">
        <w:t>illustrate</w:t>
      </w:r>
      <w:r w:rsidRPr="00A52AEE">
        <w:t xml:space="preserve"> differences in population composition.  It is important that progression trends are considered in the context of such population changes in addition to other changes to the FE and HE landscape discussed in Section 2.  It is worth noting that rates for the latest cohort tracked in the study, 2011-12, reflect progression into higher education in 2012-13, the year that higher fees were introduced. </w:t>
      </w:r>
    </w:p>
    <w:p w14:paraId="34B2FEB8" w14:textId="2593F8AE" w:rsidR="00AA46D0" w:rsidRPr="00A52AEE" w:rsidRDefault="00AA46D0" w:rsidP="00A52AEE">
      <w:r w:rsidRPr="00A52AEE">
        <w:t xml:space="preserve">  </w:t>
      </w:r>
    </w:p>
    <w:p w14:paraId="51E2AE56" w14:textId="17C8653C" w:rsidR="00AA46D0" w:rsidRPr="007C17F7" w:rsidRDefault="00E30B41" w:rsidP="008D527A">
      <w:pPr>
        <w:pStyle w:val="Heading2"/>
      </w:pPr>
      <w:bookmarkStart w:id="103" w:name="_Toc411437025"/>
      <w:bookmarkStart w:id="104" w:name="_Toc429151325"/>
      <w:r w:rsidRPr="007C17F7">
        <w:t>5.1</w:t>
      </w:r>
      <w:r w:rsidRPr="007C17F7">
        <w:tab/>
      </w:r>
      <w:r w:rsidR="00AA46D0" w:rsidRPr="007C17F7">
        <w:t>Overall longitudinal progression across the cohorts</w:t>
      </w:r>
      <w:bookmarkEnd w:id="102"/>
      <w:bookmarkEnd w:id="103"/>
      <w:bookmarkEnd w:id="104"/>
    </w:p>
    <w:p w14:paraId="0046FCC0" w14:textId="14E58745" w:rsidR="00AA46D0" w:rsidRPr="00A52AEE" w:rsidRDefault="004F6F33" w:rsidP="00A52AEE">
      <w:r w:rsidRPr="00A52AEE">
        <w:t>I</w:t>
      </w:r>
      <w:r w:rsidR="00AA46D0" w:rsidRPr="00A52AEE">
        <w:t>mmediate progression</w:t>
      </w:r>
      <w:r w:rsidR="000D7228">
        <w:t xml:space="preserve"> (in the </w:t>
      </w:r>
      <w:r w:rsidRPr="00A52AEE">
        <w:t>academic year following completion of Level 3 qualification)</w:t>
      </w:r>
      <w:r w:rsidR="00AA46D0" w:rsidRPr="00A52AEE">
        <w:t>, patterns of progression and the final rates of progression for each cohort</w:t>
      </w:r>
      <w:r w:rsidR="00B03413">
        <w:t xml:space="preserve"> are provided in Table 20</w:t>
      </w:r>
      <w:r w:rsidR="00AA46D0" w:rsidRPr="00A52AEE">
        <w:t>.  Overall</w:t>
      </w:r>
      <w:r w:rsidRPr="00A52AEE">
        <w:t>, for all ages and across all qualification types</w:t>
      </w:r>
      <w:r w:rsidR="00AA46D0" w:rsidRPr="00A52AEE">
        <w:t xml:space="preserve">, the immediate HE progression rate of </w:t>
      </w:r>
      <w:r w:rsidR="0021637B" w:rsidRPr="00A52AEE">
        <w:t>Level</w:t>
      </w:r>
      <w:r w:rsidR="00AA46D0" w:rsidRPr="00A52AEE">
        <w:t xml:space="preserve"> 3 students in FE and Sixth Form Colleges has remained fairly stable</w:t>
      </w:r>
      <w:r w:rsidRPr="00A52AEE">
        <w:t xml:space="preserve"> fluctuating between 38%-43%</w:t>
      </w:r>
      <w:r w:rsidR="00AA46D0" w:rsidRPr="00A52AEE">
        <w:t>.</w:t>
      </w:r>
      <w:r w:rsidRPr="00A52AEE">
        <w:t xml:space="preserve">  The highest rate was in 2010 for the cohort who entered HE in 2011 and this may be due to the increase in students seen nationally who entered HE </w:t>
      </w:r>
      <w:r w:rsidR="00B47AF2">
        <w:t xml:space="preserve">in the year before fees increased in </w:t>
      </w:r>
      <w:r w:rsidRPr="00A52AEE">
        <w:t>2012. This may also explain the lower rate of 38% for the 2011 cohort who enter</w:t>
      </w:r>
      <w:r w:rsidR="00B47AF2">
        <w:t>ed in 2012</w:t>
      </w:r>
      <w:r w:rsidRPr="00A52AEE">
        <w:t xml:space="preserve">. </w:t>
      </w:r>
      <w:r w:rsidR="00AA46D0" w:rsidRPr="00A52AEE">
        <w:t xml:space="preserve">  </w:t>
      </w:r>
      <w:r w:rsidRPr="00A52AEE">
        <w:t>Overall, progression rates will also be affected by the cohort composition, such as the fact there are many more BTEC students than ever before</w:t>
      </w:r>
      <w:r w:rsidR="00A50583" w:rsidRPr="00A52AEE">
        <w:t xml:space="preserve">, there are less mature students and a significant </w:t>
      </w:r>
      <w:r w:rsidRPr="00A52AEE">
        <w:t>decrease in the number of students with Other Vocational qualifications</w:t>
      </w:r>
      <w:r w:rsidR="00A50583" w:rsidRPr="00A52AEE">
        <w:t>. All of these factors will have an impact on the overall progression rate and further analysis will help examine patterns of progression in more depth and in</w:t>
      </w:r>
      <w:r w:rsidR="00B47AF2">
        <w:t xml:space="preserve"> the</w:t>
      </w:r>
      <w:r w:rsidR="00A50583" w:rsidRPr="00A52AEE">
        <w:t xml:space="preserve"> context of the changing population.</w:t>
      </w:r>
    </w:p>
    <w:p w14:paraId="3E5B0D9E" w14:textId="77777777" w:rsidR="00AA46D0" w:rsidRPr="00A52AEE" w:rsidRDefault="00AA46D0" w:rsidP="00A52AEE"/>
    <w:p w14:paraId="46264542" w14:textId="1FADCB28" w:rsidR="00AA46D0" w:rsidRPr="00A52AEE" w:rsidRDefault="00AA46D0" w:rsidP="00A52AEE">
      <w:r w:rsidRPr="00A52AEE">
        <w:t>Longitudinal prog</w:t>
      </w:r>
      <w:r w:rsidR="00B03413">
        <w:t>ression is also shown in Table 20</w:t>
      </w:r>
      <w:r w:rsidRPr="00A52AEE">
        <w:t xml:space="preserve">, where the last column shows the number of years the FE </w:t>
      </w:r>
      <w:r w:rsidR="0021637B" w:rsidRPr="00A52AEE">
        <w:t>Level</w:t>
      </w:r>
      <w:r w:rsidRPr="00A52AEE">
        <w:t xml:space="preserve"> 3 cohort is tracked into HE</w:t>
      </w:r>
      <w:r w:rsidR="00A50583" w:rsidRPr="00A52AEE">
        <w:t>. The</w:t>
      </w:r>
      <w:r w:rsidRPr="00A52AEE">
        <w:t xml:space="preserve"> first cohort in 2007-08 is tracked for 5 years into HE datasets and the analysis shows that the progression rate of this cohort, for example, increases from an immediate rate of </w:t>
      </w:r>
      <w:r w:rsidR="00A50583" w:rsidRPr="00A52AEE">
        <w:t>4</w:t>
      </w:r>
      <w:r w:rsidRPr="00A52AEE">
        <w:t xml:space="preserve">2% to a rate of </w:t>
      </w:r>
      <w:r w:rsidR="00A50583" w:rsidRPr="00A52AEE">
        <w:t>55</w:t>
      </w:r>
      <w:r w:rsidRPr="00A52AEE">
        <w:t>% when tracked over time.</w:t>
      </w:r>
      <w:r w:rsidR="00A50583" w:rsidRPr="00A52AEE">
        <w:t xml:space="preserve"> This data shows the extent to which the cohort progresses to HE, one to five years following the completion of their entry qualification.</w:t>
      </w:r>
    </w:p>
    <w:p w14:paraId="453BDB8E" w14:textId="77777777" w:rsidR="00AA46D0" w:rsidRPr="00A52AEE" w:rsidRDefault="00AA46D0" w:rsidP="00A52AEE"/>
    <w:p w14:paraId="2462A39D" w14:textId="44211647" w:rsidR="00AA46D0" w:rsidRPr="00A52AEE" w:rsidRDefault="00AA46D0" w:rsidP="00A52AEE">
      <w:r w:rsidRPr="00A52AEE">
        <w:t xml:space="preserve">The figures show that there were </w:t>
      </w:r>
      <w:r w:rsidR="00A50583" w:rsidRPr="00A52AEE">
        <w:t>221,500</w:t>
      </w:r>
      <w:r w:rsidRPr="00A52AEE">
        <w:t xml:space="preserve"> </w:t>
      </w:r>
      <w:r w:rsidR="00B47AF2">
        <w:t xml:space="preserve">London </w:t>
      </w:r>
      <w:r w:rsidRPr="00A52AEE">
        <w:t xml:space="preserve">students </w:t>
      </w:r>
      <w:r w:rsidR="00A50583" w:rsidRPr="00A52AEE">
        <w:t xml:space="preserve">tracked </w:t>
      </w:r>
      <w:r w:rsidRPr="00A52AEE">
        <w:t xml:space="preserve">in the study, with </w:t>
      </w:r>
      <w:r w:rsidR="00A50583" w:rsidRPr="00A52AEE">
        <w:t>89,810</w:t>
      </w:r>
      <w:r w:rsidRPr="00A52AEE">
        <w:t xml:space="preserve"> of them progressing to higher education the year following attainment of their </w:t>
      </w:r>
      <w:r w:rsidR="0021637B" w:rsidRPr="00A52AEE">
        <w:t>Level</w:t>
      </w:r>
      <w:r w:rsidRPr="00A52AEE">
        <w:t xml:space="preserve"> 3 qualifications and </w:t>
      </w:r>
      <w:r w:rsidR="00A50583" w:rsidRPr="00A52AEE">
        <w:t>108,050</w:t>
      </w:r>
      <w:r w:rsidRPr="00A52AEE">
        <w:t>, or an average of 4</w:t>
      </w:r>
      <w:r w:rsidR="00A50583" w:rsidRPr="00A52AEE">
        <w:t>9</w:t>
      </w:r>
      <w:r w:rsidRPr="00A52AEE">
        <w:t xml:space="preserve">% of them progressing when tracked for the maximum number of years in this study.  Given the diverse make-up of the </w:t>
      </w:r>
      <w:r w:rsidR="00A50583" w:rsidRPr="00A52AEE">
        <w:t>FE student body, these progression patterns reflect the different journeys that people take to higher education and</w:t>
      </w:r>
      <w:r w:rsidRPr="00A52AEE">
        <w:t xml:space="preserve"> can be explained by a range of </w:t>
      </w:r>
      <w:r w:rsidR="00A50583" w:rsidRPr="00A52AEE">
        <w:t xml:space="preserve">social </w:t>
      </w:r>
      <w:r w:rsidRPr="00A52AEE">
        <w:t xml:space="preserve">factors </w:t>
      </w:r>
      <w:r w:rsidR="00A50583" w:rsidRPr="00A52AEE">
        <w:t xml:space="preserve">behind </w:t>
      </w:r>
      <w:r w:rsidRPr="00A52AEE">
        <w:t>these statistics – people in work holding down jobs, people whose employment has been affected by the recession, people having babies or with school age children, people being made redundant who are seeking a new start and young people heading straight for university for example.</w:t>
      </w:r>
    </w:p>
    <w:p w14:paraId="681FE393" w14:textId="2AEB0150" w:rsidR="00F60ABC" w:rsidRPr="00A52AEE" w:rsidRDefault="00F60ABC" w:rsidP="00A52AEE">
      <w:r w:rsidRPr="00A52AEE">
        <w:br w:type="page"/>
      </w:r>
    </w:p>
    <w:p w14:paraId="149E1DBA" w14:textId="77777777" w:rsidR="004F6F33" w:rsidRPr="00A52AEE" w:rsidRDefault="004F6F33" w:rsidP="00A52AEE"/>
    <w:p w14:paraId="2A6A6787" w14:textId="1CE55F62" w:rsidR="004F6F33" w:rsidRPr="00B47AF2" w:rsidRDefault="004D2866" w:rsidP="00A52AEE">
      <w:pPr>
        <w:rPr>
          <w:b/>
        </w:rPr>
      </w:pPr>
      <w:r>
        <w:rPr>
          <w:b/>
        </w:rPr>
        <w:t>Table 20</w:t>
      </w:r>
      <w:r w:rsidR="00E30B41" w:rsidRPr="00B47AF2">
        <w:rPr>
          <w:b/>
        </w:rPr>
        <w:t>:</w:t>
      </w:r>
      <w:r w:rsidR="004F6F33" w:rsidRPr="00B47AF2">
        <w:rPr>
          <w:b/>
        </w:rPr>
        <w:t xml:space="preserve"> </w:t>
      </w:r>
      <w:r w:rsidR="00893D03" w:rsidRPr="00B47AF2">
        <w:rPr>
          <w:b/>
        </w:rPr>
        <w:t>Time series progression data</w:t>
      </w:r>
      <w:r w:rsidR="004F6F33" w:rsidRPr="00B47AF2">
        <w:rPr>
          <w:b/>
        </w:rPr>
        <w:t xml:space="preserve"> for five </w:t>
      </w:r>
      <w:r w:rsidR="0076166E" w:rsidRPr="00B47AF2">
        <w:rPr>
          <w:b/>
        </w:rPr>
        <w:t>London</w:t>
      </w:r>
      <w:r w:rsidR="004F6F33" w:rsidRPr="00B47AF2">
        <w:rPr>
          <w:b/>
        </w:rPr>
        <w:t xml:space="preserve"> college </w:t>
      </w:r>
      <w:r w:rsidR="0021637B" w:rsidRPr="00B47AF2">
        <w:rPr>
          <w:b/>
        </w:rPr>
        <w:t>Level</w:t>
      </w:r>
      <w:r w:rsidR="004F6F33" w:rsidRPr="00B47AF2">
        <w:rPr>
          <w:b/>
        </w:rPr>
        <w:t xml:space="preserve"> 3 cohorts</w:t>
      </w:r>
    </w:p>
    <w:p w14:paraId="02E68098" w14:textId="77777777" w:rsidR="00E30B41" w:rsidRPr="00A52AEE" w:rsidRDefault="00E30B41" w:rsidP="00A52AEE"/>
    <w:tbl>
      <w:tblPr>
        <w:tblW w:w="5062" w:type="pct"/>
        <w:tblLook w:val="04A0" w:firstRow="1" w:lastRow="0" w:firstColumn="1" w:lastColumn="0" w:noHBand="0" w:noVBand="1"/>
      </w:tblPr>
      <w:tblGrid>
        <w:gridCol w:w="515"/>
        <w:gridCol w:w="1006"/>
        <w:gridCol w:w="887"/>
        <w:gridCol w:w="887"/>
        <w:gridCol w:w="887"/>
        <w:gridCol w:w="887"/>
        <w:gridCol w:w="887"/>
        <w:gridCol w:w="1034"/>
        <w:gridCol w:w="631"/>
        <w:gridCol w:w="1034"/>
        <w:gridCol w:w="631"/>
        <w:gridCol w:w="969"/>
      </w:tblGrid>
      <w:tr w:rsidR="00B47AF2" w:rsidRPr="00B47AF2" w14:paraId="3ED58B44" w14:textId="77777777" w:rsidTr="00DF4D4A">
        <w:trPr>
          <w:trHeight w:val="435"/>
        </w:trPr>
        <w:tc>
          <w:tcPr>
            <w:tcW w:w="238" w:type="pct"/>
            <w:vMerge w:val="restart"/>
            <w:tcBorders>
              <w:top w:val="single" w:sz="8" w:space="0" w:color="auto"/>
              <w:left w:val="single" w:sz="8" w:space="0" w:color="auto"/>
              <w:bottom w:val="single" w:sz="4" w:space="0" w:color="auto"/>
              <w:right w:val="single" w:sz="4" w:space="0" w:color="auto"/>
            </w:tcBorders>
            <w:shd w:val="clear" w:color="auto" w:fill="1F4E79" w:themeFill="accent1" w:themeFillShade="80"/>
            <w:textDirection w:val="btLr"/>
            <w:vAlign w:val="center"/>
            <w:hideMark/>
          </w:tcPr>
          <w:p w14:paraId="63A48144"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FE Cohort Year</w:t>
            </w:r>
          </w:p>
        </w:tc>
        <w:tc>
          <w:tcPr>
            <w:tcW w:w="530" w:type="pct"/>
            <w:vMerge w:val="restart"/>
            <w:tcBorders>
              <w:top w:val="single" w:sz="8" w:space="0" w:color="auto"/>
              <w:left w:val="single" w:sz="4" w:space="0" w:color="auto"/>
              <w:bottom w:val="single" w:sz="4" w:space="0" w:color="000000"/>
              <w:right w:val="single" w:sz="8" w:space="0" w:color="auto"/>
            </w:tcBorders>
            <w:shd w:val="clear" w:color="auto" w:fill="1F4E79" w:themeFill="accent1" w:themeFillShade="80"/>
            <w:textDirection w:val="btLr"/>
            <w:vAlign w:val="center"/>
            <w:hideMark/>
          </w:tcPr>
          <w:p w14:paraId="38FFFB66" w14:textId="44608CA4" w:rsidR="004F6F33" w:rsidRPr="00B47AF2" w:rsidRDefault="004F6F33" w:rsidP="00B47AF2">
            <w:pPr>
              <w:jc w:val="center"/>
              <w:rPr>
                <w:b/>
                <w:color w:val="FFFFFF" w:themeColor="background1"/>
                <w:lang w:eastAsia="en-GB"/>
              </w:rPr>
            </w:pPr>
            <w:r w:rsidRPr="00B47AF2">
              <w:rPr>
                <w:b/>
                <w:color w:val="FFFFFF" w:themeColor="background1"/>
                <w:lang w:eastAsia="en-GB"/>
              </w:rPr>
              <w:t>Population</w:t>
            </w:r>
          </w:p>
        </w:tc>
        <w:tc>
          <w:tcPr>
            <w:tcW w:w="414" w:type="pct"/>
            <w:vMerge w:val="restart"/>
            <w:tcBorders>
              <w:top w:val="single" w:sz="8" w:space="0" w:color="auto"/>
              <w:left w:val="single" w:sz="8" w:space="0" w:color="auto"/>
              <w:bottom w:val="single" w:sz="4" w:space="0" w:color="000000"/>
              <w:right w:val="single" w:sz="4" w:space="0" w:color="auto"/>
            </w:tcBorders>
            <w:shd w:val="clear" w:color="auto" w:fill="1F4E79" w:themeFill="accent1" w:themeFillShade="80"/>
            <w:vAlign w:val="center"/>
            <w:hideMark/>
          </w:tcPr>
          <w:p w14:paraId="4F5C4EE5"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Into HE 2008-09</w:t>
            </w:r>
          </w:p>
        </w:tc>
        <w:tc>
          <w:tcPr>
            <w:tcW w:w="414" w:type="pct"/>
            <w:vMerge w:val="restart"/>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234B950A"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Into HE   2009-10</w:t>
            </w:r>
          </w:p>
        </w:tc>
        <w:tc>
          <w:tcPr>
            <w:tcW w:w="414" w:type="pct"/>
            <w:vMerge w:val="restart"/>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25A15F0D"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Into HE   2010-11</w:t>
            </w:r>
          </w:p>
        </w:tc>
        <w:tc>
          <w:tcPr>
            <w:tcW w:w="414" w:type="pct"/>
            <w:vMerge w:val="restart"/>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3AC834F6"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Into HE   2011-12</w:t>
            </w:r>
          </w:p>
        </w:tc>
        <w:tc>
          <w:tcPr>
            <w:tcW w:w="414" w:type="pct"/>
            <w:vMerge w:val="restart"/>
            <w:tcBorders>
              <w:top w:val="single" w:sz="8" w:space="0" w:color="auto"/>
              <w:left w:val="single" w:sz="4" w:space="0" w:color="auto"/>
              <w:bottom w:val="single" w:sz="4" w:space="0" w:color="auto"/>
              <w:right w:val="single" w:sz="8" w:space="0" w:color="auto"/>
            </w:tcBorders>
            <w:shd w:val="clear" w:color="auto" w:fill="1F4E79" w:themeFill="accent1" w:themeFillShade="80"/>
            <w:vAlign w:val="center"/>
            <w:hideMark/>
          </w:tcPr>
          <w:p w14:paraId="2DA4A6E5"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Into HE   2012-13</w:t>
            </w:r>
          </w:p>
        </w:tc>
        <w:tc>
          <w:tcPr>
            <w:tcW w:w="832" w:type="pct"/>
            <w:gridSpan w:val="2"/>
            <w:vMerge w:val="restart"/>
            <w:tcBorders>
              <w:top w:val="single" w:sz="8" w:space="0" w:color="auto"/>
              <w:left w:val="single" w:sz="8" w:space="0" w:color="auto"/>
              <w:bottom w:val="single" w:sz="4" w:space="0" w:color="auto"/>
              <w:right w:val="single" w:sz="8" w:space="0" w:color="000000"/>
            </w:tcBorders>
            <w:shd w:val="clear" w:color="auto" w:fill="1F4E79" w:themeFill="accent1" w:themeFillShade="80"/>
            <w:vAlign w:val="center"/>
            <w:hideMark/>
          </w:tcPr>
          <w:p w14:paraId="20A37DC1"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Immediate entry to HE (following year)</w:t>
            </w:r>
          </w:p>
        </w:tc>
        <w:tc>
          <w:tcPr>
            <w:tcW w:w="1331" w:type="pct"/>
            <w:gridSpan w:val="3"/>
            <w:vMerge w:val="restart"/>
            <w:tcBorders>
              <w:top w:val="single" w:sz="8" w:space="0" w:color="auto"/>
              <w:left w:val="single" w:sz="8" w:space="0" w:color="auto"/>
              <w:bottom w:val="single" w:sz="4" w:space="0" w:color="auto"/>
              <w:right w:val="single" w:sz="8" w:space="0" w:color="000000"/>
            </w:tcBorders>
            <w:shd w:val="clear" w:color="auto" w:fill="1F4E79" w:themeFill="accent1" w:themeFillShade="80"/>
            <w:vAlign w:val="center"/>
            <w:hideMark/>
          </w:tcPr>
          <w:p w14:paraId="3B1C116E"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Progression to HE all tracked to date</w:t>
            </w:r>
          </w:p>
        </w:tc>
      </w:tr>
      <w:tr w:rsidR="00B47AF2" w:rsidRPr="00B47AF2" w14:paraId="3E073B81" w14:textId="77777777" w:rsidTr="00DF4D4A">
        <w:trPr>
          <w:trHeight w:val="300"/>
        </w:trPr>
        <w:tc>
          <w:tcPr>
            <w:tcW w:w="238" w:type="pct"/>
            <w:vMerge/>
            <w:tcBorders>
              <w:top w:val="single" w:sz="8" w:space="0" w:color="auto"/>
              <w:left w:val="single" w:sz="8" w:space="0" w:color="auto"/>
              <w:bottom w:val="single" w:sz="4" w:space="0" w:color="auto"/>
              <w:right w:val="single" w:sz="4" w:space="0" w:color="auto"/>
            </w:tcBorders>
            <w:shd w:val="clear" w:color="auto" w:fill="1F4E79" w:themeFill="accent1" w:themeFillShade="80"/>
            <w:vAlign w:val="center"/>
            <w:hideMark/>
          </w:tcPr>
          <w:p w14:paraId="214C9588" w14:textId="77777777" w:rsidR="004F6F33" w:rsidRPr="00B47AF2" w:rsidRDefault="004F6F33" w:rsidP="00A52AEE">
            <w:pPr>
              <w:rPr>
                <w:b/>
                <w:color w:val="FFFFFF" w:themeColor="background1"/>
                <w:lang w:eastAsia="en-GB"/>
              </w:rPr>
            </w:pPr>
          </w:p>
        </w:tc>
        <w:tc>
          <w:tcPr>
            <w:tcW w:w="530" w:type="pct"/>
            <w:vMerge/>
            <w:tcBorders>
              <w:top w:val="single" w:sz="8" w:space="0" w:color="auto"/>
              <w:left w:val="single" w:sz="4" w:space="0" w:color="auto"/>
              <w:bottom w:val="single" w:sz="4" w:space="0" w:color="000000"/>
              <w:right w:val="single" w:sz="8" w:space="0" w:color="auto"/>
            </w:tcBorders>
            <w:shd w:val="clear" w:color="auto" w:fill="1F4E79" w:themeFill="accent1" w:themeFillShade="80"/>
            <w:vAlign w:val="center"/>
            <w:hideMark/>
          </w:tcPr>
          <w:p w14:paraId="1211567B" w14:textId="77777777" w:rsidR="004F6F33" w:rsidRPr="00B47AF2" w:rsidRDefault="004F6F33" w:rsidP="00A52AEE">
            <w:pPr>
              <w:rPr>
                <w:b/>
                <w:color w:val="FFFFFF" w:themeColor="background1"/>
                <w:lang w:eastAsia="en-GB"/>
              </w:rPr>
            </w:pPr>
          </w:p>
        </w:tc>
        <w:tc>
          <w:tcPr>
            <w:tcW w:w="414" w:type="pct"/>
            <w:vMerge/>
            <w:tcBorders>
              <w:top w:val="single" w:sz="8" w:space="0" w:color="auto"/>
              <w:left w:val="single" w:sz="8" w:space="0" w:color="auto"/>
              <w:bottom w:val="single" w:sz="4" w:space="0" w:color="000000"/>
              <w:right w:val="single" w:sz="4" w:space="0" w:color="auto"/>
            </w:tcBorders>
            <w:shd w:val="clear" w:color="auto" w:fill="1F4E79" w:themeFill="accent1" w:themeFillShade="80"/>
            <w:vAlign w:val="center"/>
            <w:hideMark/>
          </w:tcPr>
          <w:p w14:paraId="3E2F5884" w14:textId="77777777" w:rsidR="004F6F33" w:rsidRPr="00B47AF2" w:rsidRDefault="004F6F33" w:rsidP="00A52AEE">
            <w:pPr>
              <w:rPr>
                <w:b/>
                <w:color w:val="FFFFFF" w:themeColor="background1"/>
                <w:lang w:eastAsia="en-GB"/>
              </w:rPr>
            </w:pPr>
          </w:p>
        </w:tc>
        <w:tc>
          <w:tcPr>
            <w:tcW w:w="414" w:type="pct"/>
            <w:vMerge/>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3963A3C2" w14:textId="77777777" w:rsidR="004F6F33" w:rsidRPr="00B47AF2" w:rsidRDefault="004F6F33" w:rsidP="00A52AEE">
            <w:pPr>
              <w:rPr>
                <w:b/>
                <w:color w:val="FFFFFF" w:themeColor="background1"/>
                <w:lang w:eastAsia="en-GB"/>
              </w:rPr>
            </w:pPr>
          </w:p>
        </w:tc>
        <w:tc>
          <w:tcPr>
            <w:tcW w:w="414" w:type="pct"/>
            <w:vMerge/>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3E8E2138" w14:textId="77777777" w:rsidR="004F6F33" w:rsidRPr="00B47AF2" w:rsidRDefault="004F6F33" w:rsidP="00A52AEE">
            <w:pPr>
              <w:rPr>
                <w:b/>
                <w:color w:val="FFFFFF" w:themeColor="background1"/>
                <w:lang w:eastAsia="en-GB"/>
              </w:rPr>
            </w:pPr>
          </w:p>
        </w:tc>
        <w:tc>
          <w:tcPr>
            <w:tcW w:w="414" w:type="pct"/>
            <w:vMerge/>
            <w:tcBorders>
              <w:top w:val="single" w:sz="8" w:space="0" w:color="auto"/>
              <w:left w:val="single" w:sz="4" w:space="0" w:color="auto"/>
              <w:bottom w:val="single" w:sz="4" w:space="0" w:color="auto"/>
              <w:right w:val="single" w:sz="4" w:space="0" w:color="auto"/>
            </w:tcBorders>
            <w:shd w:val="clear" w:color="auto" w:fill="1F4E79" w:themeFill="accent1" w:themeFillShade="80"/>
            <w:vAlign w:val="center"/>
            <w:hideMark/>
          </w:tcPr>
          <w:p w14:paraId="6D9D2FB7" w14:textId="77777777" w:rsidR="004F6F33" w:rsidRPr="00B47AF2" w:rsidRDefault="004F6F33" w:rsidP="00A52AEE">
            <w:pPr>
              <w:rPr>
                <w:b/>
                <w:color w:val="FFFFFF" w:themeColor="background1"/>
                <w:lang w:eastAsia="en-GB"/>
              </w:rPr>
            </w:pPr>
          </w:p>
        </w:tc>
        <w:tc>
          <w:tcPr>
            <w:tcW w:w="414" w:type="pct"/>
            <w:vMerge/>
            <w:tcBorders>
              <w:top w:val="single" w:sz="8" w:space="0" w:color="auto"/>
              <w:left w:val="single" w:sz="4" w:space="0" w:color="auto"/>
              <w:bottom w:val="single" w:sz="4" w:space="0" w:color="auto"/>
              <w:right w:val="single" w:sz="8" w:space="0" w:color="auto"/>
            </w:tcBorders>
            <w:shd w:val="clear" w:color="auto" w:fill="1F4E79" w:themeFill="accent1" w:themeFillShade="80"/>
            <w:vAlign w:val="center"/>
            <w:hideMark/>
          </w:tcPr>
          <w:p w14:paraId="423C7F88" w14:textId="77777777" w:rsidR="004F6F33" w:rsidRPr="00B47AF2" w:rsidRDefault="004F6F33" w:rsidP="00A52AEE">
            <w:pPr>
              <w:rPr>
                <w:b/>
                <w:color w:val="FFFFFF" w:themeColor="background1"/>
                <w:lang w:eastAsia="en-GB"/>
              </w:rPr>
            </w:pPr>
          </w:p>
        </w:tc>
        <w:tc>
          <w:tcPr>
            <w:tcW w:w="832" w:type="pct"/>
            <w:gridSpan w:val="2"/>
            <w:vMerge/>
            <w:tcBorders>
              <w:top w:val="single" w:sz="8" w:space="0" w:color="auto"/>
              <w:left w:val="single" w:sz="8" w:space="0" w:color="auto"/>
              <w:bottom w:val="single" w:sz="4" w:space="0" w:color="auto"/>
              <w:right w:val="single" w:sz="8" w:space="0" w:color="000000"/>
            </w:tcBorders>
            <w:shd w:val="clear" w:color="auto" w:fill="1F4E79" w:themeFill="accent1" w:themeFillShade="80"/>
            <w:vAlign w:val="center"/>
            <w:hideMark/>
          </w:tcPr>
          <w:p w14:paraId="25F56E95" w14:textId="77777777" w:rsidR="004F6F33" w:rsidRPr="00B47AF2" w:rsidRDefault="004F6F33" w:rsidP="00A52AEE">
            <w:pPr>
              <w:rPr>
                <w:b/>
                <w:color w:val="FFFFFF" w:themeColor="background1"/>
                <w:lang w:eastAsia="en-GB"/>
              </w:rPr>
            </w:pPr>
          </w:p>
        </w:tc>
        <w:tc>
          <w:tcPr>
            <w:tcW w:w="1331" w:type="pct"/>
            <w:gridSpan w:val="3"/>
            <w:vMerge/>
            <w:tcBorders>
              <w:top w:val="single" w:sz="8" w:space="0" w:color="auto"/>
              <w:left w:val="single" w:sz="8" w:space="0" w:color="auto"/>
              <w:bottom w:val="single" w:sz="4" w:space="0" w:color="auto"/>
              <w:right w:val="single" w:sz="8" w:space="0" w:color="000000"/>
            </w:tcBorders>
            <w:shd w:val="clear" w:color="auto" w:fill="1F4E79" w:themeFill="accent1" w:themeFillShade="80"/>
            <w:vAlign w:val="center"/>
            <w:hideMark/>
          </w:tcPr>
          <w:p w14:paraId="53A00C5D" w14:textId="77777777" w:rsidR="004F6F33" w:rsidRPr="00B47AF2" w:rsidRDefault="004F6F33" w:rsidP="00A52AEE">
            <w:pPr>
              <w:rPr>
                <w:b/>
                <w:color w:val="FFFFFF" w:themeColor="background1"/>
                <w:lang w:eastAsia="en-GB"/>
              </w:rPr>
            </w:pPr>
          </w:p>
        </w:tc>
      </w:tr>
      <w:tr w:rsidR="00B47AF2" w:rsidRPr="00B47AF2" w14:paraId="1287EEA0" w14:textId="77777777" w:rsidTr="00DF4D4A">
        <w:trPr>
          <w:trHeight w:val="967"/>
        </w:trPr>
        <w:tc>
          <w:tcPr>
            <w:tcW w:w="238" w:type="pct"/>
            <w:vMerge/>
            <w:tcBorders>
              <w:top w:val="single" w:sz="8" w:space="0" w:color="auto"/>
              <w:left w:val="single" w:sz="8" w:space="0" w:color="auto"/>
              <w:bottom w:val="single" w:sz="4" w:space="0" w:color="auto"/>
              <w:right w:val="single" w:sz="4" w:space="0" w:color="auto"/>
            </w:tcBorders>
            <w:shd w:val="clear" w:color="auto" w:fill="1F4E79" w:themeFill="accent1" w:themeFillShade="80"/>
            <w:vAlign w:val="center"/>
            <w:hideMark/>
          </w:tcPr>
          <w:p w14:paraId="36829709" w14:textId="77777777" w:rsidR="004F6F33" w:rsidRPr="00B47AF2" w:rsidRDefault="004F6F33" w:rsidP="00A52AEE">
            <w:pPr>
              <w:rPr>
                <w:b/>
                <w:color w:val="FFFFFF" w:themeColor="background1"/>
                <w:lang w:eastAsia="en-GB"/>
              </w:rPr>
            </w:pPr>
          </w:p>
        </w:tc>
        <w:tc>
          <w:tcPr>
            <w:tcW w:w="530" w:type="pct"/>
            <w:vMerge/>
            <w:tcBorders>
              <w:top w:val="single" w:sz="8" w:space="0" w:color="auto"/>
              <w:left w:val="single" w:sz="4" w:space="0" w:color="auto"/>
              <w:bottom w:val="single" w:sz="4" w:space="0" w:color="000000"/>
              <w:right w:val="single" w:sz="8" w:space="0" w:color="auto"/>
            </w:tcBorders>
            <w:shd w:val="clear" w:color="auto" w:fill="1F4E79" w:themeFill="accent1" w:themeFillShade="80"/>
            <w:vAlign w:val="center"/>
            <w:hideMark/>
          </w:tcPr>
          <w:p w14:paraId="4AE8FF92" w14:textId="77777777" w:rsidR="004F6F33" w:rsidRPr="00B47AF2" w:rsidRDefault="004F6F33" w:rsidP="00A52AEE">
            <w:pPr>
              <w:rPr>
                <w:b/>
                <w:color w:val="FFFFFF" w:themeColor="background1"/>
                <w:lang w:eastAsia="en-GB"/>
              </w:rPr>
            </w:pPr>
          </w:p>
        </w:tc>
        <w:tc>
          <w:tcPr>
            <w:tcW w:w="2069" w:type="pct"/>
            <w:gridSpan w:val="5"/>
            <w:tcBorders>
              <w:top w:val="single" w:sz="4" w:space="0" w:color="auto"/>
              <w:left w:val="nil"/>
              <w:bottom w:val="single" w:sz="4" w:space="0" w:color="auto"/>
              <w:right w:val="single" w:sz="8" w:space="0" w:color="000000"/>
            </w:tcBorders>
            <w:shd w:val="clear" w:color="auto" w:fill="1F4E79" w:themeFill="accent1" w:themeFillShade="80"/>
            <w:vAlign w:val="center"/>
            <w:hideMark/>
          </w:tcPr>
          <w:p w14:paraId="67A172EE"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Number progressing</w:t>
            </w:r>
          </w:p>
        </w:tc>
        <w:tc>
          <w:tcPr>
            <w:tcW w:w="523" w:type="pct"/>
            <w:tcBorders>
              <w:top w:val="nil"/>
              <w:left w:val="nil"/>
              <w:bottom w:val="single" w:sz="4" w:space="0" w:color="auto"/>
              <w:right w:val="single" w:sz="4" w:space="0" w:color="auto"/>
            </w:tcBorders>
            <w:shd w:val="clear" w:color="auto" w:fill="1F4E79" w:themeFill="accent1" w:themeFillShade="80"/>
            <w:vAlign w:val="center"/>
            <w:hideMark/>
          </w:tcPr>
          <w:p w14:paraId="37C30E12"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Number</w:t>
            </w:r>
          </w:p>
        </w:tc>
        <w:tc>
          <w:tcPr>
            <w:tcW w:w="309" w:type="pct"/>
            <w:tcBorders>
              <w:top w:val="nil"/>
              <w:left w:val="nil"/>
              <w:bottom w:val="single" w:sz="4" w:space="0" w:color="auto"/>
              <w:right w:val="single" w:sz="8" w:space="0" w:color="auto"/>
            </w:tcBorders>
            <w:shd w:val="clear" w:color="auto" w:fill="1F4E79" w:themeFill="accent1" w:themeFillShade="80"/>
            <w:vAlign w:val="center"/>
            <w:hideMark/>
          </w:tcPr>
          <w:p w14:paraId="50FF9ACF" w14:textId="77D753CA" w:rsidR="004F6F33" w:rsidRPr="00B47AF2" w:rsidRDefault="004F6F33" w:rsidP="00B47AF2">
            <w:pPr>
              <w:jc w:val="center"/>
              <w:rPr>
                <w:b/>
                <w:color w:val="FFFFFF" w:themeColor="background1"/>
                <w:lang w:eastAsia="en-GB"/>
              </w:rPr>
            </w:pPr>
            <w:r w:rsidRPr="00B47AF2">
              <w:rPr>
                <w:b/>
                <w:color w:val="FFFFFF" w:themeColor="background1"/>
                <w:lang w:eastAsia="en-GB"/>
              </w:rPr>
              <w:t>%</w:t>
            </w:r>
          </w:p>
        </w:tc>
        <w:tc>
          <w:tcPr>
            <w:tcW w:w="523" w:type="pct"/>
            <w:tcBorders>
              <w:top w:val="nil"/>
              <w:left w:val="nil"/>
              <w:bottom w:val="single" w:sz="4" w:space="0" w:color="auto"/>
              <w:right w:val="single" w:sz="4" w:space="0" w:color="auto"/>
            </w:tcBorders>
            <w:shd w:val="clear" w:color="auto" w:fill="1F4E79" w:themeFill="accent1" w:themeFillShade="80"/>
            <w:vAlign w:val="center"/>
            <w:hideMark/>
          </w:tcPr>
          <w:p w14:paraId="78E2E1F8"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Number</w:t>
            </w:r>
          </w:p>
        </w:tc>
        <w:tc>
          <w:tcPr>
            <w:tcW w:w="309" w:type="pct"/>
            <w:tcBorders>
              <w:top w:val="nil"/>
              <w:left w:val="nil"/>
              <w:bottom w:val="single" w:sz="4" w:space="0" w:color="auto"/>
              <w:right w:val="single" w:sz="4" w:space="0" w:color="auto"/>
            </w:tcBorders>
            <w:shd w:val="clear" w:color="auto" w:fill="1F4E79" w:themeFill="accent1" w:themeFillShade="80"/>
            <w:vAlign w:val="center"/>
            <w:hideMark/>
          </w:tcPr>
          <w:p w14:paraId="3303E114" w14:textId="1AB664CC" w:rsidR="004F6F33" w:rsidRPr="00B47AF2" w:rsidRDefault="004F6F33" w:rsidP="00B47AF2">
            <w:pPr>
              <w:jc w:val="center"/>
              <w:rPr>
                <w:b/>
                <w:color w:val="FFFFFF" w:themeColor="background1"/>
                <w:lang w:eastAsia="en-GB"/>
              </w:rPr>
            </w:pPr>
            <w:r w:rsidRPr="00B47AF2">
              <w:rPr>
                <w:b/>
                <w:color w:val="FFFFFF" w:themeColor="background1"/>
                <w:lang w:eastAsia="en-GB"/>
              </w:rPr>
              <w:t>%</w:t>
            </w:r>
          </w:p>
        </w:tc>
        <w:tc>
          <w:tcPr>
            <w:tcW w:w="499" w:type="pct"/>
            <w:tcBorders>
              <w:top w:val="nil"/>
              <w:left w:val="nil"/>
              <w:bottom w:val="single" w:sz="4" w:space="0" w:color="auto"/>
              <w:right w:val="single" w:sz="8" w:space="0" w:color="auto"/>
            </w:tcBorders>
            <w:shd w:val="clear" w:color="auto" w:fill="1F4E79" w:themeFill="accent1" w:themeFillShade="80"/>
            <w:vAlign w:val="center"/>
            <w:hideMark/>
          </w:tcPr>
          <w:p w14:paraId="36DE8B04" w14:textId="77777777" w:rsidR="004F6F33" w:rsidRPr="00B47AF2" w:rsidRDefault="004F6F33" w:rsidP="00B47AF2">
            <w:pPr>
              <w:jc w:val="center"/>
              <w:rPr>
                <w:b/>
                <w:color w:val="FFFFFF" w:themeColor="background1"/>
                <w:lang w:eastAsia="en-GB"/>
              </w:rPr>
            </w:pPr>
            <w:r w:rsidRPr="00B47AF2">
              <w:rPr>
                <w:b/>
                <w:color w:val="FFFFFF" w:themeColor="background1"/>
                <w:lang w:eastAsia="en-GB"/>
              </w:rPr>
              <w:t>Years tracked</w:t>
            </w:r>
          </w:p>
        </w:tc>
      </w:tr>
      <w:tr w:rsidR="004F6F33" w:rsidRPr="00A52AEE" w14:paraId="7B0581BB" w14:textId="77777777" w:rsidTr="00DF4D4A">
        <w:trPr>
          <w:trHeight w:val="730"/>
        </w:trPr>
        <w:tc>
          <w:tcPr>
            <w:tcW w:w="238" w:type="pct"/>
            <w:tcBorders>
              <w:top w:val="nil"/>
              <w:left w:val="single" w:sz="8" w:space="0" w:color="auto"/>
              <w:bottom w:val="single" w:sz="4" w:space="0" w:color="auto"/>
              <w:right w:val="single" w:sz="4" w:space="0" w:color="auto"/>
            </w:tcBorders>
            <w:shd w:val="clear" w:color="000000" w:fill="FFFFFF"/>
            <w:textDirection w:val="btLr"/>
            <w:vAlign w:val="center"/>
            <w:hideMark/>
          </w:tcPr>
          <w:p w14:paraId="03DA1F42" w14:textId="77777777" w:rsidR="004F6F33" w:rsidRPr="00A52AEE" w:rsidRDefault="004F6F33" w:rsidP="00A52AEE">
            <w:pPr>
              <w:rPr>
                <w:lang w:eastAsia="en-GB"/>
              </w:rPr>
            </w:pPr>
            <w:r w:rsidRPr="00A52AEE">
              <w:rPr>
                <w:lang w:eastAsia="en-GB"/>
              </w:rPr>
              <w:t>2007</w:t>
            </w:r>
          </w:p>
        </w:tc>
        <w:tc>
          <w:tcPr>
            <w:tcW w:w="530" w:type="pct"/>
            <w:tcBorders>
              <w:top w:val="nil"/>
              <w:left w:val="nil"/>
              <w:bottom w:val="single" w:sz="4" w:space="0" w:color="auto"/>
              <w:right w:val="single" w:sz="8" w:space="0" w:color="auto"/>
            </w:tcBorders>
            <w:shd w:val="clear" w:color="000000" w:fill="FFFFFF"/>
            <w:noWrap/>
            <w:vAlign w:val="center"/>
            <w:hideMark/>
          </w:tcPr>
          <w:p w14:paraId="61EDE41E" w14:textId="77777777" w:rsidR="004F6F33" w:rsidRPr="00A52AEE" w:rsidRDefault="004F6F33" w:rsidP="009A2373">
            <w:pPr>
              <w:jc w:val="right"/>
              <w:rPr>
                <w:lang w:eastAsia="en-GB"/>
              </w:rPr>
            </w:pPr>
            <w:r w:rsidRPr="00A52AEE">
              <w:rPr>
                <w:lang w:eastAsia="en-GB"/>
              </w:rPr>
              <w:t>42,060</w:t>
            </w:r>
          </w:p>
        </w:tc>
        <w:tc>
          <w:tcPr>
            <w:tcW w:w="414" w:type="pct"/>
            <w:tcBorders>
              <w:top w:val="nil"/>
              <w:left w:val="nil"/>
              <w:bottom w:val="single" w:sz="4" w:space="0" w:color="auto"/>
              <w:right w:val="single" w:sz="4" w:space="0" w:color="auto"/>
            </w:tcBorders>
            <w:shd w:val="clear" w:color="000000" w:fill="FFFFFF"/>
            <w:noWrap/>
            <w:vAlign w:val="center"/>
            <w:hideMark/>
          </w:tcPr>
          <w:p w14:paraId="7E553520" w14:textId="77777777" w:rsidR="004F6F33" w:rsidRPr="00A63CC4" w:rsidRDefault="004F6F33" w:rsidP="009A2373">
            <w:pPr>
              <w:jc w:val="right"/>
              <w:rPr>
                <w:b/>
                <w:lang w:eastAsia="en-GB"/>
              </w:rPr>
            </w:pPr>
            <w:r w:rsidRPr="00A63CC4">
              <w:rPr>
                <w:b/>
                <w:lang w:eastAsia="en-GB"/>
              </w:rPr>
              <w:t>17,715</w:t>
            </w:r>
          </w:p>
        </w:tc>
        <w:tc>
          <w:tcPr>
            <w:tcW w:w="414" w:type="pct"/>
            <w:tcBorders>
              <w:top w:val="nil"/>
              <w:left w:val="nil"/>
              <w:bottom w:val="single" w:sz="4" w:space="0" w:color="auto"/>
              <w:right w:val="single" w:sz="4" w:space="0" w:color="auto"/>
            </w:tcBorders>
            <w:shd w:val="clear" w:color="000000" w:fill="FFFFFF"/>
            <w:noWrap/>
            <w:vAlign w:val="center"/>
            <w:hideMark/>
          </w:tcPr>
          <w:p w14:paraId="25E411D9" w14:textId="77777777" w:rsidR="004F6F33" w:rsidRPr="00A52AEE" w:rsidRDefault="004F6F33" w:rsidP="009A2373">
            <w:pPr>
              <w:jc w:val="right"/>
              <w:rPr>
                <w:lang w:eastAsia="en-GB"/>
              </w:rPr>
            </w:pPr>
            <w:r w:rsidRPr="00A52AEE">
              <w:rPr>
                <w:lang w:eastAsia="en-GB"/>
              </w:rPr>
              <w:t>3,365</w:t>
            </w:r>
          </w:p>
        </w:tc>
        <w:tc>
          <w:tcPr>
            <w:tcW w:w="414" w:type="pct"/>
            <w:tcBorders>
              <w:top w:val="nil"/>
              <w:left w:val="nil"/>
              <w:bottom w:val="single" w:sz="4" w:space="0" w:color="auto"/>
              <w:right w:val="single" w:sz="4" w:space="0" w:color="auto"/>
            </w:tcBorders>
            <w:shd w:val="clear" w:color="000000" w:fill="FFFFFF"/>
            <w:noWrap/>
            <w:vAlign w:val="center"/>
            <w:hideMark/>
          </w:tcPr>
          <w:p w14:paraId="398D8A2C" w14:textId="77777777" w:rsidR="004F6F33" w:rsidRPr="00A52AEE" w:rsidRDefault="004F6F33" w:rsidP="009A2373">
            <w:pPr>
              <w:jc w:val="right"/>
              <w:rPr>
                <w:lang w:eastAsia="en-GB"/>
              </w:rPr>
            </w:pPr>
            <w:r w:rsidRPr="00A52AEE">
              <w:rPr>
                <w:lang w:eastAsia="en-GB"/>
              </w:rPr>
              <w:t>1,175</w:t>
            </w:r>
          </w:p>
        </w:tc>
        <w:tc>
          <w:tcPr>
            <w:tcW w:w="414" w:type="pct"/>
            <w:tcBorders>
              <w:top w:val="nil"/>
              <w:left w:val="nil"/>
              <w:bottom w:val="single" w:sz="4" w:space="0" w:color="auto"/>
              <w:right w:val="single" w:sz="4" w:space="0" w:color="auto"/>
            </w:tcBorders>
            <w:shd w:val="clear" w:color="000000" w:fill="FFFFFF"/>
            <w:noWrap/>
            <w:vAlign w:val="center"/>
            <w:hideMark/>
          </w:tcPr>
          <w:p w14:paraId="05FA99BF" w14:textId="77777777" w:rsidR="004F6F33" w:rsidRPr="00A52AEE" w:rsidRDefault="004F6F33" w:rsidP="009A2373">
            <w:pPr>
              <w:jc w:val="right"/>
              <w:rPr>
                <w:lang w:eastAsia="en-GB"/>
              </w:rPr>
            </w:pPr>
            <w:r w:rsidRPr="00A52AEE">
              <w:rPr>
                <w:lang w:eastAsia="en-GB"/>
              </w:rPr>
              <w:t>565</w:t>
            </w:r>
          </w:p>
        </w:tc>
        <w:tc>
          <w:tcPr>
            <w:tcW w:w="414" w:type="pct"/>
            <w:tcBorders>
              <w:top w:val="nil"/>
              <w:left w:val="nil"/>
              <w:bottom w:val="single" w:sz="4" w:space="0" w:color="auto"/>
              <w:right w:val="single" w:sz="8" w:space="0" w:color="auto"/>
            </w:tcBorders>
            <w:shd w:val="clear" w:color="000000" w:fill="FFFFFF"/>
            <w:noWrap/>
            <w:vAlign w:val="center"/>
            <w:hideMark/>
          </w:tcPr>
          <w:p w14:paraId="79E8ED1B" w14:textId="77777777" w:rsidR="004F6F33" w:rsidRPr="00A52AEE" w:rsidRDefault="004F6F33" w:rsidP="009A2373">
            <w:pPr>
              <w:jc w:val="right"/>
              <w:rPr>
                <w:lang w:eastAsia="en-GB"/>
              </w:rPr>
            </w:pPr>
            <w:r w:rsidRPr="00A52AEE">
              <w:rPr>
                <w:lang w:eastAsia="en-GB"/>
              </w:rPr>
              <w:t>505</w:t>
            </w:r>
          </w:p>
        </w:tc>
        <w:tc>
          <w:tcPr>
            <w:tcW w:w="523" w:type="pct"/>
            <w:tcBorders>
              <w:top w:val="nil"/>
              <w:left w:val="nil"/>
              <w:bottom w:val="single" w:sz="4" w:space="0" w:color="auto"/>
              <w:right w:val="single" w:sz="4" w:space="0" w:color="auto"/>
            </w:tcBorders>
            <w:shd w:val="clear" w:color="000000" w:fill="FFFFFF"/>
            <w:noWrap/>
            <w:vAlign w:val="center"/>
            <w:hideMark/>
          </w:tcPr>
          <w:p w14:paraId="77DD11E7" w14:textId="77777777" w:rsidR="004F6F33" w:rsidRPr="00A52AEE" w:rsidRDefault="004F6F33" w:rsidP="009A2373">
            <w:pPr>
              <w:jc w:val="right"/>
              <w:rPr>
                <w:lang w:eastAsia="en-GB"/>
              </w:rPr>
            </w:pPr>
            <w:r w:rsidRPr="00A52AEE">
              <w:rPr>
                <w:lang w:eastAsia="en-GB"/>
              </w:rPr>
              <w:t>17,715</w:t>
            </w:r>
          </w:p>
        </w:tc>
        <w:tc>
          <w:tcPr>
            <w:tcW w:w="309" w:type="pct"/>
            <w:tcBorders>
              <w:top w:val="nil"/>
              <w:left w:val="nil"/>
              <w:bottom w:val="single" w:sz="4" w:space="0" w:color="auto"/>
              <w:right w:val="single" w:sz="8" w:space="0" w:color="auto"/>
            </w:tcBorders>
            <w:shd w:val="clear" w:color="000000" w:fill="FFFFFF"/>
            <w:noWrap/>
            <w:vAlign w:val="center"/>
            <w:hideMark/>
          </w:tcPr>
          <w:p w14:paraId="7704B6BD" w14:textId="77777777" w:rsidR="004F6F33" w:rsidRPr="00A52AEE" w:rsidRDefault="004F6F33" w:rsidP="009A2373">
            <w:pPr>
              <w:jc w:val="right"/>
              <w:rPr>
                <w:lang w:eastAsia="en-GB"/>
              </w:rPr>
            </w:pPr>
            <w:r w:rsidRPr="00A52AEE">
              <w:rPr>
                <w:lang w:eastAsia="en-GB"/>
              </w:rPr>
              <w:t>42%</w:t>
            </w:r>
          </w:p>
        </w:tc>
        <w:tc>
          <w:tcPr>
            <w:tcW w:w="523" w:type="pct"/>
            <w:tcBorders>
              <w:top w:val="nil"/>
              <w:left w:val="nil"/>
              <w:bottom w:val="single" w:sz="4" w:space="0" w:color="auto"/>
              <w:right w:val="single" w:sz="4" w:space="0" w:color="auto"/>
            </w:tcBorders>
            <w:shd w:val="clear" w:color="000000" w:fill="FFFFFF"/>
            <w:noWrap/>
            <w:vAlign w:val="center"/>
            <w:hideMark/>
          </w:tcPr>
          <w:p w14:paraId="0AE35930" w14:textId="77777777" w:rsidR="004F6F33" w:rsidRPr="00A52AEE" w:rsidRDefault="004F6F33" w:rsidP="009A2373">
            <w:pPr>
              <w:jc w:val="right"/>
              <w:rPr>
                <w:lang w:eastAsia="en-GB"/>
              </w:rPr>
            </w:pPr>
            <w:r w:rsidRPr="00A52AEE">
              <w:rPr>
                <w:lang w:eastAsia="en-GB"/>
              </w:rPr>
              <w:t>23,325</w:t>
            </w:r>
          </w:p>
        </w:tc>
        <w:tc>
          <w:tcPr>
            <w:tcW w:w="309" w:type="pct"/>
            <w:tcBorders>
              <w:top w:val="nil"/>
              <w:left w:val="nil"/>
              <w:bottom w:val="single" w:sz="4" w:space="0" w:color="auto"/>
              <w:right w:val="single" w:sz="4" w:space="0" w:color="auto"/>
            </w:tcBorders>
            <w:shd w:val="clear" w:color="000000" w:fill="FFFFFF"/>
            <w:noWrap/>
            <w:vAlign w:val="center"/>
            <w:hideMark/>
          </w:tcPr>
          <w:p w14:paraId="4EE148E6" w14:textId="77777777" w:rsidR="004F6F33" w:rsidRPr="00A52AEE" w:rsidRDefault="004F6F33" w:rsidP="009A2373">
            <w:pPr>
              <w:jc w:val="right"/>
              <w:rPr>
                <w:lang w:eastAsia="en-GB"/>
              </w:rPr>
            </w:pPr>
            <w:r w:rsidRPr="00A52AEE">
              <w:rPr>
                <w:lang w:eastAsia="en-GB"/>
              </w:rPr>
              <w:t>55%</w:t>
            </w:r>
          </w:p>
        </w:tc>
        <w:tc>
          <w:tcPr>
            <w:tcW w:w="499" w:type="pct"/>
            <w:tcBorders>
              <w:top w:val="nil"/>
              <w:left w:val="nil"/>
              <w:bottom w:val="single" w:sz="4" w:space="0" w:color="auto"/>
              <w:right w:val="single" w:sz="8" w:space="0" w:color="auto"/>
            </w:tcBorders>
            <w:shd w:val="clear" w:color="000000" w:fill="FFFFFF"/>
            <w:vAlign w:val="center"/>
            <w:hideMark/>
          </w:tcPr>
          <w:p w14:paraId="33B67DD1" w14:textId="77777777" w:rsidR="004F6F33" w:rsidRPr="00A52AEE" w:rsidRDefault="004F6F33" w:rsidP="009A2373">
            <w:pPr>
              <w:jc w:val="right"/>
              <w:rPr>
                <w:lang w:eastAsia="en-GB"/>
              </w:rPr>
            </w:pPr>
            <w:r w:rsidRPr="00A52AEE">
              <w:rPr>
                <w:lang w:eastAsia="en-GB"/>
              </w:rPr>
              <w:t>5</w:t>
            </w:r>
          </w:p>
        </w:tc>
      </w:tr>
      <w:tr w:rsidR="004F6F33" w:rsidRPr="00A52AEE" w14:paraId="208325D3" w14:textId="77777777" w:rsidTr="00F243D2">
        <w:trPr>
          <w:trHeight w:val="684"/>
        </w:trPr>
        <w:tc>
          <w:tcPr>
            <w:tcW w:w="238" w:type="pct"/>
            <w:tcBorders>
              <w:top w:val="nil"/>
              <w:left w:val="single" w:sz="8" w:space="0" w:color="auto"/>
              <w:bottom w:val="single" w:sz="4" w:space="0" w:color="auto"/>
              <w:right w:val="single" w:sz="4" w:space="0" w:color="auto"/>
            </w:tcBorders>
            <w:shd w:val="clear" w:color="000000" w:fill="FFFFFF"/>
            <w:textDirection w:val="btLr"/>
            <w:vAlign w:val="center"/>
            <w:hideMark/>
          </w:tcPr>
          <w:p w14:paraId="1D4ED5BA" w14:textId="77777777" w:rsidR="004F6F33" w:rsidRPr="00A52AEE" w:rsidRDefault="004F6F33" w:rsidP="00A52AEE">
            <w:pPr>
              <w:rPr>
                <w:lang w:eastAsia="en-GB"/>
              </w:rPr>
            </w:pPr>
            <w:r w:rsidRPr="00A52AEE">
              <w:rPr>
                <w:lang w:eastAsia="en-GB"/>
              </w:rPr>
              <w:t>2008</w:t>
            </w:r>
          </w:p>
        </w:tc>
        <w:tc>
          <w:tcPr>
            <w:tcW w:w="530" w:type="pct"/>
            <w:tcBorders>
              <w:top w:val="nil"/>
              <w:left w:val="nil"/>
              <w:bottom w:val="single" w:sz="4" w:space="0" w:color="auto"/>
              <w:right w:val="single" w:sz="8" w:space="0" w:color="auto"/>
            </w:tcBorders>
            <w:shd w:val="clear" w:color="000000" w:fill="FFFFFF"/>
            <w:noWrap/>
            <w:vAlign w:val="center"/>
            <w:hideMark/>
          </w:tcPr>
          <w:p w14:paraId="7469FE88" w14:textId="77777777" w:rsidR="004F6F33" w:rsidRPr="00A52AEE" w:rsidRDefault="004F6F33" w:rsidP="009A2373">
            <w:pPr>
              <w:jc w:val="right"/>
              <w:rPr>
                <w:lang w:eastAsia="en-GB"/>
              </w:rPr>
            </w:pPr>
            <w:r w:rsidRPr="00A52AEE">
              <w:rPr>
                <w:lang w:eastAsia="en-GB"/>
              </w:rPr>
              <w:t>44,140</w:t>
            </w:r>
          </w:p>
        </w:tc>
        <w:tc>
          <w:tcPr>
            <w:tcW w:w="414" w:type="pct"/>
            <w:vMerge w:val="restart"/>
            <w:tcBorders>
              <w:top w:val="nil"/>
              <w:left w:val="single" w:sz="8" w:space="0" w:color="auto"/>
              <w:bottom w:val="single" w:sz="8" w:space="0" w:color="000000"/>
              <w:right w:val="nil"/>
            </w:tcBorders>
            <w:shd w:val="clear" w:color="auto" w:fill="BDD6EE" w:themeFill="accent1" w:themeFillTint="66"/>
            <w:noWrap/>
            <w:vAlign w:val="center"/>
            <w:hideMark/>
          </w:tcPr>
          <w:p w14:paraId="2156AFEE" w14:textId="77777777" w:rsidR="004F6F33" w:rsidRPr="00A52AEE" w:rsidRDefault="004F6F33" w:rsidP="009A2373">
            <w:pPr>
              <w:jc w:val="right"/>
              <w:rPr>
                <w:lang w:eastAsia="en-GB"/>
              </w:rPr>
            </w:pPr>
            <w:r w:rsidRPr="00A52AEE">
              <w:rPr>
                <w:lang w:eastAsia="en-GB"/>
              </w:rPr>
              <w:t> </w:t>
            </w:r>
          </w:p>
        </w:tc>
        <w:tc>
          <w:tcPr>
            <w:tcW w:w="414" w:type="pct"/>
            <w:tcBorders>
              <w:top w:val="nil"/>
              <w:left w:val="single" w:sz="4" w:space="0" w:color="auto"/>
              <w:bottom w:val="single" w:sz="4" w:space="0" w:color="auto"/>
              <w:right w:val="single" w:sz="4" w:space="0" w:color="auto"/>
            </w:tcBorders>
            <w:shd w:val="clear" w:color="000000" w:fill="FFFFFF"/>
            <w:noWrap/>
            <w:vAlign w:val="center"/>
            <w:hideMark/>
          </w:tcPr>
          <w:p w14:paraId="15A7EF24" w14:textId="77777777" w:rsidR="004F6F33" w:rsidRPr="00A63CC4" w:rsidRDefault="004F6F33" w:rsidP="009A2373">
            <w:pPr>
              <w:jc w:val="right"/>
              <w:rPr>
                <w:b/>
                <w:lang w:eastAsia="en-GB"/>
              </w:rPr>
            </w:pPr>
            <w:r w:rsidRPr="00A63CC4">
              <w:rPr>
                <w:b/>
                <w:lang w:eastAsia="en-GB"/>
              </w:rPr>
              <w:t>17,720</w:t>
            </w:r>
          </w:p>
        </w:tc>
        <w:tc>
          <w:tcPr>
            <w:tcW w:w="414" w:type="pct"/>
            <w:tcBorders>
              <w:top w:val="nil"/>
              <w:left w:val="nil"/>
              <w:bottom w:val="single" w:sz="4" w:space="0" w:color="auto"/>
              <w:right w:val="single" w:sz="4" w:space="0" w:color="auto"/>
            </w:tcBorders>
            <w:shd w:val="clear" w:color="000000" w:fill="FFFFFF"/>
            <w:noWrap/>
            <w:vAlign w:val="center"/>
            <w:hideMark/>
          </w:tcPr>
          <w:p w14:paraId="668DFBF6" w14:textId="77777777" w:rsidR="004F6F33" w:rsidRPr="00A52AEE" w:rsidRDefault="004F6F33" w:rsidP="009A2373">
            <w:pPr>
              <w:jc w:val="right"/>
              <w:rPr>
                <w:lang w:eastAsia="en-GB"/>
              </w:rPr>
            </w:pPr>
            <w:r w:rsidRPr="00A52AEE">
              <w:rPr>
                <w:lang w:eastAsia="en-GB"/>
              </w:rPr>
              <w:t>3,270</w:t>
            </w:r>
          </w:p>
        </w:tc>
        <w:tc>
          <w:tcPr>
            <w:tcW w:w="414" w:type="pct"/>
            <w:tcBorders>
              <w:top w:val="nil"/>
              <w:left w:val="nil"/>
              <w:bottom w:val="single" w:sz="4" w:space="0" w:color="auto"/>
              <w:right w:val="single" w:sz="4" w:space="0" w:color="auto"/>
            </w:tcBorders>
            <w:shd w:val="clear" w:color="000000" w:fill="FFFFFF"/>
            <w:noWrap/>
            <w:vAlign w:val="center"/>
            <w:hideMark/>
          </w:tcPr>
          <w:p w14:paraId="7007FBEF" w14:textId="77777777" w:rsidR="004F6F33" w:rsidRPr="00A52AEE" w:rsidRDefault="004F6F33" w:rsidP="009A2373">
            <w:pPr>
              <w:jc w:val="right"/>
              <w:rPr>
                <w:lang w:eastAsia="en-GB"/>
              </w:rPr>
            </w:pPr>
            <w:r w:rsidRPr="00A52AEE">
              <w:rPr>
                <w:lang w:eastAsia="en-GB"/>
              </w:rPr>
              <w:t>1,085</w:t>
            </w:r>
          </w:p>
        </w:tc>
        <w:tc>
          <w:tcPr>
            <w:tcW w:w="414" w:type="pct"/>
            <w:tcBorders>
              <w:top w:val="nil"/>
              <w:left w:val="nil"/>
              <w:bottom w:val="single" w:sz="4" w:space="0" w:color="auto"/>
              <w:right w:val="single" w:sz="8" w:space="0" w:color="auto"/>
            </w:tcBorders>
            <w:shd w:val="clear" w:color="000000" w:fill="FFFFFF"/>
            <w:noWrap/>
            <w:vAlign w:val="center"/>
            <w:hideMark/>
          </w:tcPr>
          <w:p w14:paraId="7D58EB6B" w14:textId="77777777" w:rsidR="004F6F33" w:rsidRPr="00A52AEE" w:rsidRDefault="004F6F33" w:rsidP="009A2373">
            <w:pPr>
              <w:jc w:val="right"/>
              <w:rPr>
                <w:lang w:eastAsia="en-GB"/>
              </w:rPr>
            </w:pPr>
            <w:r w:rsidRPr="00A52AEE">
              <w:rPr>
                <w:lang w:eastAsia="en-GB"/>
              </w:rPr>
              <w:t>675</w:t>
            </w:r>
          </w:p>
        </w:tc>
        <w:tc>
          <w:tcPr>
            <w:tcW w:w="523" w:type="pct"/>
            <w:tcBorders>
              <w:top w:val="nil"/>
              <w:left w:val="nil"/>
              <w:bottom w:val="single" w:sz="4" w:space="0" w:color="auto"/>
              <w:right w:val="single" w:sz="4" w:space="0" w:color="auto"/>
            </w:tcBorders>
            <w:shd w:val="clear" w:color="000000" w:fill="FFFFFF"/>
            <w:noWrap/>
            <w:vAlign w:val="center"/>
            <w:hideMark/>
          </w:tcPr>
          <w:p w14:paraId="574C61C7" w14:textId="77777777" w:rsidR="004F6F33" w:rsidRPr="00A52AEE" w:rsidRDefault="004F6F33" w:rsidP="009A2373">
            <w:pPr>
              <w:jc w:val="right"/>
              <w:rPr>
                <w:lang w:eastAsia="en-GB"/>
              </w:rPr>
            </w:pPr>
            <w:r w:rsidRPr="00A52AEE">
              <w:rPr>
                <w:lang w:eastAsia="en-GB"/>
              </w:rPr>
              <w:t>17,720</w:t>
            </w:r>
          </w:p>
        </w:tc>
        <w:tc>
          <w:tcPr>
            <w:tcW w:w="309" w:type="pct"/>
            <w:tcBorders>
              <w:top w:val="nil"/>
              <w:left w:val="nil"/>
              <w:bottom w:val="single" w:sz="4" w:space="0" w:color="auto"/>
              <w:right w:val="single" w:sz="8" w:space="0" w:color="auto"/>
            </w:tcBorders>
            <w:shd w:val="clear" w:color="000000" w:fill="FFFFFF"/>
            <w:noWrap/>
            <w:vAlign w:val="center"/>
            <w:hideMark/>
          </w:tcPr>
          <w:p w14:paraId="284FFD84" w14:textId="77777777" w:rsidR="004F6F33" w:rsidRPr="00A52AEE" w:rsidRDefault="004F6F33" w:rsidP="009A2373">
            <w:pPr>
              <w:jc w:val="right"/>
              <w:rPr>
                <w:lang w:eastAsia="en-GB"/>
              </w:rPr>
            </w:pPr>
            <w:r w:rsidRPr="00A52AEE">
              <w:rPr>
                <w:lang w:eastAsia="en-GB"/>
              </w:rPr>
              <w:t>40%</w:t>
            </w:r>
          </w:p>
        </w:tc>
        <w:tc>
          <w:tcPr>
            <w:tcW w:w="523" w:type="pct"/>
            <w:tcBorders>
              <w:top w:val="nil"/>
              <w:left w:val="nil"/>
              <w:bottom w:val="single" w:sz="4" w:space="0" w:color="auto"/>
              <w:right w:val="single" w:sz="4" w:space="0" w:color="auto"/>
            </w:tcBorders>
            <w:shd w:val="clear" w:color="000000" w:fill="FFFFFF"/>
            <w:noWrap/>
            <w:vAlign w:val="center"/>
            <w:hideMark/>
          </w:tcPr>
          <w:p w14:paraId="1FBD6BD9" w14:textId="77777777" w:rsidR="004F6F33" w:rsidRPr="00A52AEE" w:rsidRDefault="004F6F33" w:rsidP="009A2373">
            <w:pPr>
              <w:jc w:val="right"/>
              <w:rPr>
                <w:lang w:eastAsia="en-GB"/>
              </w:rPr>
            </w:pPr>
            <w:r w:rsidRPr="00A52AEE">
              <w:rPr>
                <w:lang w:eastAsia="en-GB"/>
              </w:rPr>
              <w:t>22,745</w:t>
            </w:r>
          </w:p>
        </w:tc>
        <w:tc>
          <w:tcPr>
            <w:tcW w:w="309" w:type="pct"/>
            <w:tcBorders>
              <w:top w:val="nil"/>
              <w:left w:val="nil"/>
              <w:bottom w:val="single" w:sz="4" w:space="0" w:color="auto"/>
              <w:right w:val="single" w:sz="4" w:space="0" w:color="auto"/>
            </w:tcBorders>
            <w:shd w:val="clear" w:color="000000" w:fill="FFFFFF"/>
            <w:noWrap/>
            <w:vAlign w:val="center"/>
            <w:hideMark/>
          </w:tcPr>
          <w:p w14:paraId="40DF34D4" w14:textId="77777777" w:rsidR="004F6F33" w:rsidRPr="00A52AEE" w:rsidRDefault="004F6F33" w:rsidP="009A2373">
            <w:pPr>
              <w:jc w:val="right"/>
              <w:rPr>
                <w:lang w:eastAsia="en-GB"/>
              </w:rPr>
            </w:pPr>
            <w:r w:rsidRPr="00A52AEE">
              <w:rPr>
                <w:lang w:eastAsia="en-GB"/>
              </w:rPr>
              <w:t>52%</w:t>
            </w:r>
          </w:p>
        </w:tc>
        <w:tc>
          <w:tcPr>
            <w:tcW w:w="499" w:type="pct"/>
            <w:tcBorders>
              <w:top w:val="nil"/>
              <w:left w:val="nil"/>
              <w:bottom w:val="single" w:sz="4" w:space="0" w:color="auto"/>
              <w:right w:val="single" w:sz="8" w:space="0" w:color="auto"/>
            </w:tcBorders>
            <w:shd w:val="clear" w:color="000000" w:fill="FFFFFF"/>
            <w:noWrap/>
            <w:vAlign w:val="center"/>
            <w:hideMark/>
          </w:tcPr>
          <w:p w14:paraId="4DFA906B" w14:textId="77777777" w:rsidR="004F6F33" w:rsidRPr="00A52AEE" w:rsidRDefault="004F6F33" w:rsidP="009A2373">
            <w:pPr>
              <w:jc w:val="right"/>
              <w:rPr>
                <w:lang w:eastAsia="en-GB"/>
              </w:rPr>
            </w:pPr>
            <w:r w:rsidRPr="00A52AEE">
              <w:rPr>
                <w:lang w:eastAsia="en-GB"/>
              </w:rPr>
              <w:t>4</w:t>
            </w:r>
          </w:p>
        </w:tc>
      </w:tr>
      <w:tr w:rsidR="004F6F33" w:rsidRPr="00A52AEE" w14:paraId="58F15977" w14:textId="77777777" w:rsidTr="00F243D2">
        <w:trPr>
          <w:trHeight w:val="698"/>
        </w:trPr>
        <w:tc>
          <w:tcPr>
            <w:tcW w:w="238" w:type="pct"/>
            <w:tcBorders>
              <w:top w:val="nil"/>
              <w:left w:val="single" w:sz="8" w:space="0" w:color="auto"/>
              <w:bottom w:val="single" w:sz="4" w:space="0" w:color="auto"/>
              <w:right w:val="single" w:sz="4" w:space="0" w:color="auto"/>
            </w:tcBorders>
            <w:shd w:val="clear" w:color="000000" w:fill="FFFFFF"/>
            <w:textDirection w:val="btLr"/>
            <w:vAlign w:val="center"/>
            <w:hideMark/>
          </w:tcPr>
          <w:p w14:paraId="624ED808" w14:textId="77777777" w:rsidR="004F6F33" w:rsidRPr="00A52AEE" w:rsidRDefault="004F6F33" w:rsidP="00A52AEE">
            <w:pPr>
              <w:rPr>
                <w:lang w:eastAsia="en-GB"/>
              </w:rPr>
            </w:pPr>
            <w:r w:rsidRPr="00A52AEE">
              <w:rPr>
                <w:lang w:eastAsia="en-GB"/>
              </w:rPr>
              <w:t>2009</w:t>
            </w:r>
          </w:p>
        </w:tc>
        <w:tc>
          <w:tcPr>
            <w:tcW w:w="530" w:type="pct"/>
            <w:tcBorders>
              <w:top w:val="nil"/>
              <w:left w:val="nil"/>
              <w:bottom w:val="single" w:sz="4" w:space="0" w:color="auto"/>
              <w:right w:val="single" w:sz="8" w:space="0" w:color="auto"/>
            </w:tcBorders>
            <w:shd w:val="clear" w:color="000000" w:fill="FFFFFF"/>
            <w:noWrap/>
            <w:vAlign w:val="center"/>
            <w:hideMark/>
          </w:tcPr>
          <w:p w14:paraId="05C29695" w14:textId="77777777" w:rsidR="004F6F33" w:rsidRPr="00A52AEE" w:rsidRDefault="004F6F33" w:rsidP="009A2373">
            <w:pPr>
              <w:jc w:val="right"/>
              <w:rPr>
                <w:lang w:eastAsia="en-GB"/>
              </w:rPr>
            </w:pPr>
            <w:r w:rsidRPr="00A52AEE">
              <w:rPr>
                <w:lang w:eastAsia="en-GB"/>
              </w:rPr>
              <w:t>46,085</w:t>
            </w:r>
          </w:p>
        </w:tc>
        <w:tc>
          <w:tcPr>
            <w:tcW w:w="414" w:type="pct"/>
            <w:vMerge/>
            <w:tcBorders>
              <w:top w:val="nil"/>
              <w:left w:val="single" w:sz="8" w:space="0" w:color="auto"/>
              <w:bottom w:val="single" w:sz="8" w:space="0" w:color="000000"/>
              <w:right w:val="nil"/>
            </w:tcBorders>
            <w:shd w:val="clear" w:color="auto" w:fill="BDD6EE" w:themeFill="accent1" w:themeFillTint="66"/>
            <w:vAlign w:val="center"/>
            <w:hideMark/>
          </w:tcPr>
          <w:p w14:paraId="15178648" w14:textId="77777777" w:rsidR="004F6F33" w:rsidRPr="00A52AEE" w:rsidRDefault="004F6F33" w:rsidP="009A2373">
            <w:pPr>
              <w:jc w:val="right"/>
              <w:rPr>
                <w:lang w:eastAsia="en-GB"/>
              </w:rPr>
            </w:pPr>
          </w:p>
        </w:tc>
        <w:tc>
          <w:tcPr>
            <w:tcW w:w="414" w:type="pct"/>
            <w:vMerge w:val="restart"/>
            <w:tcBorders>
              <w:top w:val="nil"/>
              <w:left w:val="nil"/>
              <w:bottom w:val="single" w:sz="8" w:space="0" w:color="000000"/>
              <w:right w:val="nil"/>
            </w:tcBorders>
            <w:shd w:val="clear" w:color="auto" w:fill="BDD6EE" w:themeFill="accent1" w:themeFillTint="66"/>
            <w:noWrap/>
            <w:vAlign w:val="center"/>
            <w:hideMark/>
          </w:tcPr>
          <w:p w14:paraId="42873BD1" w14:textId="77777777" w:rsidR="004F6F33" w:rsidRPr="00A52AEE" w:rsidRDefault="004F6F33" w:rsidP="009A2373">
            <w:pPr>
              <w:jc w:val="right"/>
              <w:rPr>
                <w:lang w:eastAsia="en-GB"/>
              </w:rPr>
            </w:pPr>
            <w:r w:rsidRPr="00A52AEE">
              <w:rPr>
                <w:lang w:eastAsia="en-GB"/>
              </w:rPr>
              <w:t> </w:t>
            </w:r>
          </w:p>
        </w:tc>
        <w:tc>
          <w:tcPr>
            <w:tcW w:w="414" w:type="pct"/>
            <w:tcBorders>
              <w:top w:val="nil"/>
              <w:left w:val="single" w:sz="4" w:space="0" w:color="auto"/>
              <w:bottom w:val="single" w:sz="4" w:space="0" w:color="auto"/>
              <w:right w:val="single" w:sz="4" w:space="0" w:color="auto"/>
            </w:tcBorders>
            <w:shd w:val="clear" w:color="000000" w:fill="FFFFFF"/>
            <w:noWrap/>
            <w:vAlign w:val="center"/>
            <w:hideMark/>
          </w:tcPr>
          <w:p w14:paraId="590E9B96" w14:textId="77777777" w:rsidR="004F6F33" w:rsidRPr="00A63CC4" w:rsidRDefault="004F6F33" w:rsidP="009A2373">
            <w:pPr>
              <w:jc w:val="right"/>
              <w:rPr>
                <w:b/>
                <w:lang w:eastAsia="en-GB"/>
              </w:rPr>
            </w:pPr>
            <w:r w:rsidRPr="00A63CC4">
              <w:rPr>
                <w:b/>
                <w:lang w:eastAsia="en-GB"/>
              </w:rPr>
              <w:t>18,115</w:t>
            </w:r>
          </w:p>
        </w:tc>
        <w:tc>
          <w:tcPr>
            <w:tcW w:w="414" w:type="pct"/>
            <w:tcBorders>
              <w:top w:val="nil"/>
              <w:left w:val="nil"/>
              <w:bottom w:val="single" w:sz="4" w:space="0" w:color="auto"/>
              <w:right w:val="single" w:sz="4" w:space="0" w:color="auto"/>
            </w:tcBorders>
            <w:shd w:val="clear" w:color="000000" w:fill="FFFFFF"/>
            <w:noWrap/>
            <w:vAlign w:val="center"/>
            <w:hideMark/>
          </w:tcPr>
          <w:p w14:paraId="2073C174" w14:textId="77777777" w:rsidR="004F6F33" w:rsidRPr="00A52AEE" w:rsidRDefault="004F6F33" w:rsidP="009A2373">
            <w:pPr>
              <w:jc w:val="right"/>
              <w:rPr>
                <w:lang w:eastAsia="en-GB"/>
              </w:rPr>
            </w:pPr>
            <w:r w:rsidRPr="00A52AEE">
              <w:rPr>
                <w:lang w:eastAsia="en-GB"/>
              </w:rPr>
              <w:t>3,300</w:t>
            </w:r>
          </w:p>
        </w:tc>
        <w:tc>
          <w:tcPr>
            <w:tcW w:w="414" w:type="pct"/>
            <w:tcBorders>
              <w:top w:val="nil"/>
              <w:left w:val="nil"/>
              <w:bottom w:val="single" w:sz="4" w:space="0" w:color="auto"/>
              <w:right w:val="single" w:sz="8" w:space="0" w:color="auto"/>
            </w:tcBorders>
            <w:shd w:val="clear" w:color="000000" w:fill="FFFFFF"/>
            <w:noWrap/>
            <w:vAlign w:val="center"/>
            <w:hideMark/>
          </w:tcPr>
          <w:p w14:paraId="13D15191" w14:textId="77777777" w:rsidR="004F6F33" w:rsidRPr="00A52AEE" w:rsidRDefault="004F6F33" w:rsidP="009A2373">
            <w:pPr>
              <w:jc w:val="right"/>
              <w:rPr>
                <w:lang w:eastAsia="en-GB"/>
              </w:rPr>
            </w:pPr>
            <w:r w:rsidRPr="00A52AEE">
              <w:rPr>
                <w:lang w:eastAsia="en-GB"/>
              </w:rPr>
              <w:t>1,285</w:t>
            </w:r>
          </w:p>
        </w:tc>
        <w:tc>
          <w:tcPr>
            <w:tcW w:w="523" w:type="pct"/>
            <w:tcBorders>
              <w:top w:val="nil"/>
              <w:left w:val="nil"/>
              <w:bottom w:val="single" w:sz="4" w:space="0" w:color="auto"/>
              <w:right w:val="single" w:sz="4" w:space="0" w:color="auto"/>
            </w:tcBorders>
            <w:shd w:val="clear" w:color="000000" w:fill="FFFFFF"/>
            <w:noWrap/>
            <w:vAlign w:val="center"/>
            <w:hideMark/>
          </w:tcPr>
          <w:p w14:paraId="6032D3A8" w14:textId="77777777" w:rsidR="004F6F33" w:rsidRPr="00A52AEE" w:rsidRDefault="004F6F33" w:rsidP="009A2373">
            <w:pPr>
              <w:jc w:val="right"/>
              <w:rPr>
                <w:lang w:eastAsia="en-GB"/>
              </w:rPr>
            </w:pPr>
            <w:r w:rsidRPr="00A52AEE">
              <w:rPr>
                <w:lang w:eastAsia="en-GB"/>
              </w:rPr>
              <w:t>18,115</w:t>
            </w:r>
          </w:p>
        </w:tc>
        <w:tc>
          <w:tcPr>
            <w:tcW w:w="309" w:type="pct"/>
            <w:tcBorders>
              <w:top w:val="nil"/>
              <w:left w:val="nil"/>
              <w:bottom w:val="single" w:sz="4" w:space="0" w:color="auto"/>
              <w:right w:val="single" w:sz="8" w:space="0" w:color="auto"/>
            </w:tcBorders>
            <w:shd w:val="clear" w:color="000000" w:fill="FFFFFF"/>
            <w:noWrap/>
            <w:vAlign w:val="center"/>
            <w:hideMark/>
          </w:tcPr>
          <w:p w14:paraId="18EEC5C6" w14:textId="77777777" w:rsidR="004F6F33" w:rsidRPr="00A52AEE" w:rsidRDefault="004F6F33" w:rsidP="009A2373">
            <w:pPr>
              <w:jc w:val="right"/>
              <w:rPr>
                <w:lang w:eastAsia="en-GB"/>
              </w:rPr>
            </w:pPr>
            <w:r w:rsidRPr="00A52AEE">
              <w:rPr>
                <w:lang w:eastAsia="en-GB"/>
              </w:rPr>
              <w:t>39%</w:t>
            </w:r>
          </w:p>
        </w:tc>
        <w:tc>
          <w:tcPr>
            <w:tcW w:w="523" w:type="pct"/>
            <w:tcBorders>
              <w:top w:val="nil"/>
              <w:left w:val="nil"/>
              <w:bottom w:val="single" w:sz="4" w:space="0" w:color="auto"/>
              <w:right w:val="single" w:sz="4" w:space="0" w:color="auto"/>
            </w:tcBorders>
            <w:shd w:val="clear" w:color="000000" w:fill="FFFFFF"/>
            <w:noWrap/>
            <w:vAlign w:val="center"/>
            <w:hideMark/>
          </w:tcPr>
          <w:p w14:paraId="1B260C6E" w14:textId="77777777" w:rsidR="004F6F33" w:rsidRPr="00A52AEE" w:rsidRDefault="004F6F33" w:rsidP="009A2373">
            <w:pPr>
              <w:jc w:val="right"/>
              <w:rPr>
                <w:lang w:eastAsia="en-GB"/>
              </w:rPr>
            </w:pPr>
            <w:r w:rsidRPr="00A52AEE">
              <w:rPr>
                <w:lang w:eastAsia="en-GB"/>
              </w:rPr>
              <w:t>22,700</w:t>
            </w:r>
          </w:p>
        </w:tc>
        <w:tc>
          <w:tcPr>
            <w:tcW w:w="309" w:type="pct"/>
            <w:tcBorders>
              <w:top w:val="nil"/>
              <w:left w:val="nil"/>
              <w:bottom w:val="single" w:sz="4" w:space="0" w:color="auto"/>
              <w:right w:val="single" w:sz="4" w:space="0" w:color="auto"/>
            </w:tcBorders>
            <w:shd w:val="clear" w:color="000000" w:fill="FFFFFF"/>
            <w:noWrap/>
            <w:vAlign w:val="center"/>
            <w:hideMark/>
          </w:tcPr>
          <w:p w14:paraId="1DB7A716" w14:textId="77777777" w:rsidR="004F6F33" w:rsidRPr="00A52AEE" w:rsidRDefault="004F6F33" w:rsidP="009A2373">
            <w:pPr>
              <w:jc w:val="right"/>
              <w:rPr>
                <w:lang w:eastAsia="en-GB"/>
              </w:rPr>
            </w:pPr>
            <w:r w:rsidRPr="00A52AEE">
              <w:rPr>
                <w:lang w:eastAsia="en-GB"/>
              </w:rPr>
              <w:t>49%</w:t>
            </w:r>
          </w:p>
        </w:tc>
        <w:tc>
          <w:tcPr>
            <w:tcW w:w="499" w:type="pct"/>
            <w:tcBorders>
              <w:top w:val="nil"/>
              <w:left w:val="nil"/>
              <w:bottom w:val="single" w:sz="4" w:space="0" w:color="auto"/>
              <w:right w:val="single" w:sz="8" w:space="0" w:color="auto"/>
            </w:tcBorders>
            <w:shd w:val="clear" w:color="000000" w:fill="FFFFFF"/>
            <w:noWrap/>
            <w:vAlign w:val="center"/>
            <w:hideMark/>
          </w:tcPr>
          <w:p w14:paraId="2991C9A4" w14:textId="77777777" w:rsidR="004F6F33" w:rsidRPr="00A52AEE" w:rsidRDefault="004F6F33" w:rsidP="009A2373">
            <w:pPr>
              <w:jc w:val="right"/>
              <w:rPr>
                <w:lang w:eastAsia="en-GB"/>
              </w:rPr>
            </w:pPr>
            <w:r w:rsidRPr="00A52AEE">
              <w:rPr>
                <w:lang w:eastAsia="en-GB"/>
              </w:rPr>
              <w:t>3</w:t>
            </w:r>
          </w:p>
        </w:tc>
      </w:tr>
      <w:tr w:rsidR="004F6F33" w:rsidRPr="00A52AEE" w14:paraId="694A6ABC" w14:textId="77777777" w:rsidTr="00F243D2">
        <w:trPr>
          <w:trHeight w:val="679"/>
        </w:trPr>
        <w:tc>
          <w:tcPr>
            <w:tcW w:w="238" w:type="pct"/>
            <w:tcBorders>
              <w:top w:val="nil"/>
              <w:left w:val="single" w:sz="8" w:space="0" w:color="auto"/>
              <w:bottom w:val="single" w:sz="4" w:space="0" w:color="auto"/>
              <w:right w:val="single" w:sz="4" w:space="0" w:color="auto"/>
            </w:tcBorders>
            <w:shd w:val="clear" w:color="000000" w:fill="FFFFFF"/>
            <w:textDirection w:val="btLr"/>
            <w:vAlign w:val="center"/>
            <w:hideMark/>
          </w:tcPr>
          <w:p w14:paraId="3E020F9C" w14:textId="77777777" w:rsidR="004F6F33" w:rsidRPr="00A52AEE" w:rsidRDefault="004F6F33" w:rsidP="00A52AEE">
            <w:pPr>
              <w:rPr>
                <w:lang w:eastAsia="en-GB"/>
              </w:rPr>
            </w:pPr>
            <w:r w:rsidRPr="00A52AEE">
              <w:rPr>
                <w:lang w:eastAsia="en-GB"/>
              </w:rPr>
              <w:t>2010</w:t>
            </w:r>
          </w:p>
        </w:tc>
        <w:tc>
          <w:tcPr>
            <w:tcW w:w="530" w:type="pct"/>
            <w:tcBorders>
              <w:top w:val="nil"/>
              <w:left w:val="nil"/>
              <w:bottom w:val="single" w:sz="4" w:space="0" w:color="auto"/>
              <w:right w:val="single" w:sz="8" w:space="0" w:color="auto"/>
            </w:tcBorders>
            <w:shd w:val="clear" w:color="000000" w:fill="FFFFFF"/>
            <w:noWrap/>
            <w:vAlign w:val="center"/>
            <w:hideMark/>
          </w:tcPr>
          <w:p w14:paraId="701DA44B" w14:textId="77777777" w:rsidR="004F6F33" w:rsidRPr="00A52AEE" w:rsidRDefault="004F6F33" w:rsidP="009A2373">
            <w:pPr>
              <w:jc w:val="right"/>
              <w:rPr>
                <w:lang w:eastAsia="en-GB"/>
              </w:rPr>
            </w:pPr>
            <w:r w:rsidRPr="00A52AEE">
              <w:rPr>
                <w:lang w:eastAsia="en-GB"/>
              </w:rPr>
              <w:t>42,835</w:t>
            </w:r>
          </w:p>
        </w:tc>
        <w:tc>
          <w:tcPr>
            <w:tcW w:w="414" w:type="pct"/>
            <w:vMerge/>
            <w:tcBorders>
              <w:top w:val="nil"/>
              <w:left w:val="single" w:sz="8" w:space="0" w:color="auto"/>
              <w:bottom w:val="single" w:sz="8" w:space="0" w:color="000000"/>
              <w:right w:val="nil"/>
            </w:tcBorders>
            <w:shd w:val="clear" w:color="auto" w:fill="BDD6EE" w:themeFill="accent1" w:themeFillTint="66"/>
            <w:vAlign w:val="center"/>
            <w:hideMark/>
          </w:tcPr>
          <w:p w14:paraId="3C34BC2B" w14:textId="77777777" w:rsidR="004F6F33" w:rsidRPr="00A52AEE" w:rsidRDefault="004F6F33" w:rsidP="009A2373">
            <w:pPr>
              <w:jc w:val="right"/>
              <w:rPr>
                <w:lang w:eastAsia="en-GB"/>
              </w:rPr>
            </w:pPr>
          </w:p>
        </w:tc>
        <w:tc>
          <w:tcPr>
            <w:tcW w:w="414" w:type="pct"/>
            <w:vMerge/>
            <w:tcBorders>
              <w:top w:val="nil"/>
              <w:left w:val="nil"/>
              <w:bottom w:val="single" w:sz="8" w:space="0" w:color="000000"/>
              <w:right w:val="nil"/>
            </w:tcBorders>
            <w:shd w:val="clear" w:color="auto" w:fill="BDD6EE" w:themeFill="accent1" w:themeFillTint="66"/>
            <w:vAlign w:val="center"/>
            <w:hideMark/>
          </w:tcPr>
          <w:p w14:paraId="4E239F41" w14:textId="77777777" w:rsidR="004F6F33" w:rsidRPr="00A52AEE" w:rsidRDefault="004F6F33" w:rsidP="009A2373">
            <w:pPr>
              <w:jc w:val="right"/>
              <w:rPr>
                <w:lang w:eastAsia="en-GB"/>
              </w:rPr>
            </w:pPr>
          </w:p>
        </w:tc>
        <w:tc>
          <w:tcPr>
            <w:tcW w:w="414" w:type="pct"/>
            <w:vMerge w:val="restart"/>
            <w:tcBorders>
              <w:top w:val="nil"/>
              <w:left w:val="nil"/>
              <w:bottom w:val="single" w:sz="8" w:space="0" w:color="000000"/>
              <w:right w:val="nil"/>
            </w:tcBorders>
            <w:shd w:val="clear" w:color="auto" w:fill="BDD6EE" w:themeFill="accent1" w:themeFillTint="66"/>
            <w:noWrap/>
            <w:vAlign w:val="center"/>
            <w:hideMark/>
          </w:tcPr>
          <w:p w14:paraId="47A14E17" w14:textId="77777777" w:rsidR="004F6F33" w:rsidRPr="00A52AEE" w:rsidRDefault="004F6F33" w:rsidP="009A2373">
            <w:pPr>
              <w:jc w:val="right"/>
              <w:rPr>
                <w:lang w:eastAsia="en-GB"/>
              </w:rPr>
            </w:pPr>
            <w:r w:rsidRPr="00A52AEE">
              <w:rPr>
                <w:lang w:eastAsia="en-GB"/>
              </w:rPr>
              <w:t> </w:t>
            </w:r>
          </w:p>
        </w:tc>
        <w:tc>
          <w:tcPr>
            <w:tcW w:w="414" w:type="pct"/>
            <w:tcBorders>
              <w:top w:val="nil"/>
              <w:left w:val="single" w:sz="4" w:space="0" w:color="auto"/>
              <w:bottom w:val="single" w:sz="4" w:space="0" w:color="auto"/>
              <w:right w:val="single" w:sz="4" w:space="0" w:color="auto"/>
            </w:tcBorders>
            <w:shd w:val="clear" w:color="000000" w:fill="FFFFFF"/>
            <w:noWrap/>
            <w:vAlign w:val="center"/>
            <w:hideMark/>
          </w:tcPr>
          <w:p w14:paraId="123D9B28" w14:textId="77777777" w:rsidR="004F6F33" w:rsidRPr="00A63CC4" w:rsidRDefault="004F6F33" w:rsidP="009A2373">
            <w:pPr>
              <w:jc w:val="right"/>
              <w:rPr>
                <w:b/>
                <w:lang w:eastAsia="en-GB"/>
              </w:rPr>
            </w:pPr>
            <w:r w:rsidRPr="00A63CC4">
              <w:rPr>
                <w:b/>
                <w:lang w:eastAsia="en-GB"/>
              </w:rPr>
              <w:t>18,490</w:t>
            </w:r>
          </w:p>
        </w:tc>
        <w:tc>
          <w:tcPr>
            <w:tcW w:w="414" w:type="pct"/>
            <w:tcBorders>
              <w:top w:val="nil"/>
              <w:left w:val="nil"/>
              <w:bottom w:val="single" w:sz="4" w:space="0" w:color="auto"/>
              <w:right w:val="single" w:sz="8" w:space="0" w:color="auto"/>
            </w:tcBorders>
            <w:shd w:val="clear" w:color="000000" w:fill="FFFFFF"/>
            <w:noWrap/>
            <w:vAlign w:val="center"/>
            <w:hideMark/>
          </w:tcPr>
          <w:p w14:paraId="6075F5FE" w14:textId="77777777" w:rsidR="004F6F33" w:rsidRPr="00A52AEE" w:rsidRDefault="004F6F33" w:rsidP="009A2373">
            <w:pPr>
              <w:jc w:val="right"/>
              <w:rPr>
                <w:lang w:eastAsia="en-GB"/>
              </w:rPr>
            </w:pPr>
            <w:r w:rsidRPr="00A52AEE">
              <w:rPr>
                <w:lang w:eastAsia="en-GB"/>
              </w:rPr>
              <w:t>3,015</w:t>
            </w:r>
          </w:p>
        </w:tc>
        <w:tc>
          <w:tcPr>
            <w:tcW w:w="523" w:type="pct"/>
            <w:tcBorders>
              <w:top w:val="nil"/>
              <w:left w:val="nil"/>
              <w:bottom w:val="single" w:sz="4" w:space="0" w:color="auto"/>
              <w:right w:val="single" w:sz="4" w:space="0" w:color="auto"/>
            </w:tcBorders>
            <w:shd w:val="clear" w:color="000000" w:fill="FFFFFF"/>
            <w:noWrap/>
            <w:vAlign w:val="center"/>
            <w:hideMark/>
          </w:tcPr>
          <w:p w14:paraId="286AEE69" w14:textId="77777777" w:rsidR="004F6F33" w:rsidRPr="00A52AEE" w:rsidRDefault="004F6F33" w:rsidP="009A2373">
            <w:pPr>
              <w:jc w:val="right"/>
              <w:rPr>
                <w:lang w:eastAsia="en-GB"/>
              </w:rPr>
            </w:pPr>
            <w:r w:rsidRPr="00A52AEE">
              <w:rPr>
                <w:lang w:eastAsia="en-GB"/>
              </w:rPr>
              <w:t>18,490</w:t>
            </w:r>
          </w:p>
        </w:tc>
        <w:tc>
          <w:tcPr>
            <w:tcW w:w="309" w:type="pct"/>
            <w:tcBorders>
              <w:top w:val="nil"/>
              <w:left w:val="nil"/>
              <w:bottom w:val="single" w:sz="4" w:space="0" w:color="auto"/>
              <w:right w:val="single" w:sz="8" w:space="0" w:color="auto"/>
            </w:tcBorders>
            <w:shd w:val="clear" w:color="000000" w:fill="FFFFFF"/>
            <w:noWrap/>
            <w:vAlign w:val="center"/>
            <w:hideMark/>
          </w:tcPr>
          <w:p w14:paraId="29490385" w14:textId="77777777" w:rsidR="004F6F33" w:rsidRPr="00A52AEE" w:rsidRDefault="004F6F33" w:rsidP="009A2373">
            <w:pPr>
              <w:jc w:val="right"/>
              <w:rPr>
                <w:lang w:eastAsia="en-GB"/>
              </w:rPr>
            </w:pPr>
            <w:r w:rsidRPr="00A52AEE">
              <w:rPr>
                <w:lang w:eastAsia="en-GB"/>
              </w:rPr>
              <w:t>43%</w:t>
            </w:r>
          </w:p>
        </w:tc>
        <w:tc>
          <w:tcPr>
            <w:tcW w:w="523" w:type="pct"/>
            <w:tcBorders>
              <w:top w:val="nil"/>
              <w:left w:val="nil"/>
              <w:bottom w:val="single" w:sz="4" w:space="0" w:color="auto"/>
              <w:right w:val="single" w:sz="4" w:space="0" w:color="auto"/>
            </w:tcBorders>
            <w:shd w:val="clear" w:color="000000" w:fill="FFFFFF"/>
            <w:noWrap/>
            <w:vAlign w:val="center"/>
            <w:hideMark/>
          </w:tcPr>
          <w:p w14:paraId="7118C2D4" w14:textId="61A7F0D0" w:rsidR="004F6F33" w:rsidRPr="00A52AEE" w:rsidRDefault="00BE09C2" w:rsidP="009A2373">
            <w:pPr>
              <w:jc w:val="right"/>
              <w:rPr>
                <w:lang w:eastAsia="en-GB"/>
              </w:rPr>
            </w:pPr>
            <w:r>
              <w:rPr>
                <w:lang w:eastAsia="en-GB"/>
              </w:rPr>
              <w:t>21,515</w:t>
            </w:r>
          </w:p>
        </w:tc>
        <w:tc>
          <w:tcPr>
            <w:tcW w:w="309" w:type="pct"/>
            <w:tcBorders>
              <w:top w:val="nil"/>
              <w:left w:val="nil"/>
              <w:bottom w:val="single" w:sz="4" w:space="0" w:color="auto"/>
              <w:right w:val="single" w:sz="4" w:space="0" w:color="auto"/>
            </w:tcBorders>
            <w:shd w:val="clear" w:color="000000" w:fill="FFFFFF"/>
            <w:noWrap/>
            <w:vAlign w:val="center"/>
            <w:hideMark/>
          </w:tcPr>
          <w:p w14:paraId="5DF74416" w14:textId="77777777" w:rsidR="004F6F33" w:rsidRPr="00A52AEE" w:rsidRDefault="004F6F33" w:rsidP="009A2373">
            <w:pPr>
              <w:jc w:val="right"/>
              <w:rPr>
                <w:lang w:eastAsia="en-GB"/>
              </w:rPr>
            </w:pPr>
            <w:r w:rsidRPr="00A52AEE">
              <w:rPr>
                <w:lang w:eastAsia="en-GB"/>
              </w:rPr>
              <w:t>50%</w:t>
            </w:r>
          </w:p>
        </w:tc>
        <w:tc>
          <w:tcPr>
            <w:tcW w:w="499" w:type="pct"/>
            <w:tcBorders>
              <w:top w:val="nil"/>
              <w:left w:val="nil"/>
              <w:bottom w:val="single" w:sz="4" w:space="0" w:color="auto"/>
              <w:right w:val="single" w:sz="8" w:space="0" w:color="auto"/>
            </w:tcBorders>
            <w:shd w:val="clear" w:color="000000" w:fill="FFFFFF"/>
            <w:noWrap/>
            <w:vAlign w:val="center"/>
            <w:hideMark/>
          </w:tcPr>
          <w:p w14:paraId="71FBF09B" w14:textId="77777777" w:rsidR="004F6F33" w:rsidRPr="00A52AEE" w:rsidRDefault="004F6F33" w:rsidP="009A2373">
            <w:pPr>
              <w:jc w:val="right"/>
              <w:rPr>
                <w:lang w:eastAsia="en-GB"/>
              </w:rPr>
            </w:pPr>
            <w:r w:rsidRPr="00A52AEE">
              <w:rPr>
                <w:lang w:eastAsia="en-GB"/>
              </w:rPr>
              <w:t>2</w:t>
            </w:r>
          </w:p>
        </w:tc>
      </w:tr>
      <w:tr w:rsidR="004F6F33" w:rsidRPr="00A52AEE" w14:paraId="606598C1" w14:textId="77777777" w:rsidTr="00F243D2">
        <w:trPr>
          <w:trHeight w:val="704"/>
        </w:trPr>
        <w:tc>
          <w:tcPr>
            <w:tcW w:w="238" w:type="pct"/>
            <w:tcBorders>
              <w:top w:val="nil"/>
              <w:left w:val="single" w:sz="8" w:space="0" w:color="auto"/>
              <w:bottom w:val="single" w:sz="4" w:space="0" w:color="auto"/>
              <w:right w:val="single" w:sz="4" w:space="0" w:color="auto"/>
            </w:tcBorders>
            <w:shd w:val="clear" w:color="000000" w:fill="FFFFFF"/>
            <w:textDirection w:val="btLr"/>
            <w:vAlign w:val="center"/>
            <w:hideMark/>
          </w:tcPr>
          <w:p w14:paraId="66ED9506" w14:textId="77777777" w:rsidR="004F6F33" w:rsidRPr="00A52AEE" w:rsidRDefault="004F6F33" w:rsidP="00A52AEE">
            <w:pPr>
              <w:rPr>
                <w:lang w:eastAsia="en-GB"/>
              </w:rPr>
            </w:pPr>
            <w:r w:rsidRPr="00A52AEE">
              <w:rPr>
                <w:lang w:eastAsia="en-GB"/>
              </w:rPr>
              <w:t>2011</w:t>
            </w:r>
          </w:p>
        </w:tc>
        <w:tc>
          <w:tcPr>
            <w:tcW w:w="530" w:type="pct"/>
            <w:tcBorders>
              <w:top w:val="nil"/>
              <w:left w:val="nil"/>
              <w:bottom w:val="single" w:sz="4" w:space="0" w:color="auto"/>
              <w:right w:val="single" w:sz="8" w:space="0" w:color="auto"/>
            </w:tcBorders>
            <w:shd w:val="clear" w:color="000000" w:fill="FFFFFF"/>
            <w:noWrap/>
            <w:vAlign w:val="center"/>
            <w:hideMark/>
          </w:tcPr>
          <w:p w14:paraId="437AE225" w14:textId="77777777" w:rsidR="004F6F33" w:rsidRPr="00A52AEE" w:rsidRDefault="004F6F33" w:rsidP="009A2373">
            <w:pPr>
              <w:jc w:val="right"/>
              <w:rPr>
                <w:lang w:eastAsia="en-GB"/>
              </w:rPr>
            </w:pPr>
            <w:r w:rsidRPr="00A52AEE">
              <w:rPr>
                <w:lang w:eastAsia="en-GB"/>
              </w:rPr>
              <w:t>46,380</w:t>
            </w:r>
          </w:p>
        </w:tc>
        <w:tc>
          <w:tcPr>
            <w:tcW w:w="414" w:type="pct"/>
            <w:vMerge/>
            <w:tcBorders>
              <w:top w:val="nil"/>
              <w:left w:val="single" w:sz="8" w:space="0" w:color="auto"/>
              <w:bottom w:val="single" w:sz="8" w:space="0" w:color="000000"/>
              <w:right w:val="nil"/>
            </w:tcBorders>
            <w:shd w:val="clear" w:color="auto" w:fill="BDD6EE" w:themeFill="accent1" w:themeFillTint="66"/>
            <w:vAlign w:val="center"/>
            <w:hideMark/>
          </w:tcPr>
          <w:p w14:paraId="5C426C8C" w14:textId="77777777" w:rsidR="004F6F33" w:rsidRPr="00A52AEE" w:rsidRDefault="004F6F33" w:rsidP="009A2373">
            <w:pPr>
              <w:jc w:val="right"/>
              <w:rPr>
                <w:lang w:eastAsia="en-GB"/>
              </w:rPr>
            </w:pPr>
          </w:p>
        </w:tc>
        <w:tc>
          <w:tcPr>
            <w:tcW w:w="414" w:type="pct"/>
            <w:vMerge/>
            <w:tcBorders>
              <w:top w:val="nil"/>
              <w:left w:val="nil"/>
              <w:bottom w:val="single" w:sz="8" w:space="0" w:color="000000"/>
              <w:right w:val="nil"/>
            </w:tcBorders>
            <w:shd w:val="clear" w:color="auto" w:fill="BDD6EE" w:themeFill="accent1" w:themeFillTint="66"/>
            <w:vAlign w:val="center"/>
            <w:hideMark/>
          </w:tcPr>
          <w:p w14:paraId="7B4B1F28" w14:textId="77777777" w:rsidR="004F6F33" w:rsidRPr="00A52AEE" w:rsidRDefault="004F6F33" w:rsidP="009A2373">
            <w:pPr>
              <w:jc w:val="right"/>
              <w:rPr>
                <w:lang w:eastAsia="en-GB"/>
              </w:rPr>
            </w:pPr>
          </w:p>
        </w:tc>
        <w:tc>
          <w:tcPr>
            <w:tcW w:w="414" w:type="pct"/>
            <w:vMerge/>
            <w:tcBorders>
              <w:top w:val="nil"/>
              <w:left w:val="nil"/>
              <w:bottom w:val="single" w:sz="8" w:space="0" w:color="000000"/>
              <w:right w:val="nil"/>
            </w:tcBorders>
            <w:shd w:val="clear" w:color="auto" w:fill="BDD6EE" w:themeFill="accent1" w:themeFillTint="66"/>
            <w:vAlign w:val="center"/>
            <w:hideMark/>
          </w:tcPr>
          <w:p w14:paraId="0BF73BBE" w14:textId="77777777" w:rsidR="004F6F33" w:rsidRPr="00A52AEE" w:rsidRDefault="004F6F33" w:rsidP="009A2373">
            <w:pPr>
              <w:jc w:val="right"/>
              <w:rPr>
                <w:lang w:eastAsia="en-GB"/>
              </w:rPr>
            </w:pPr>
          </w:p>
        </w:tc>
        <w:tc>
          <w:tcPr>
            <w:tcW w:w="414" w:type="pct"/>
            <w:tcBorders>
              <w:top w:val="nil"/>
              <w:left w:val="nil"/>
              <w:bottom w:val="nil"/>
              <w:right w:val="nil"/>
            </w:tcBorders>
            <w:shd w:val="clear" w:color="auto" w:fill="BDD6EE" w:themeFill="accent1" w:themeFillTint="66"/>
            <w:noWrap/>
            <w:vAlign w:val="center"/>
            <w:hideMark/>
          </w:tcPr>
          <w:p w14:paraId="26BBA564" w14:textId="77777777" w:rsidR="004F6F33" w:rsidRPr="00A52AEE" w:rsidRDefault="004F6F33" w:rsidP="009A2373">
            <w:pPr>
              <w:jc w:val="right"/>
              <w:rPr>
                <w:lang w:eastAsia="en-GB"/>
              </w:rPr>
            </w:pPr>
            <w:r w:rsidRPr="00A52AEE">
              <w:rPr>
                <w:lang w:eastAsia="en-GB"/>
              </w:rPr>
              <w:t> </w:t>
            </w:r>
          </w:p>
        </w:tc>
        <w:tc>
          <w:tcPr>
            <w:tcW w:w="414" w:type="pct"/>
            <w:tcBorders>
              <w:top w:val="nil"/>
              <w:left w:val="single" w:sz="4" w:space="0" w:color="auto"/>
              <w:bottom w:val="single" w:sz="4" w:space="0" w:color="auto"/>
              <w:right w:val="single" w:sz="8" w:space="0" w:color="auto"/>
            </w:tcBorders>
            <w:shd w:val="clear" w:color="000000" w:fill="FFFFFF"/>
            <w:noWrap/>
            <w:vAlign w:val="center"/>
            <w:hideMark/>
          </w:tcPr>
          <w:p w14:paraId="07C4BE1B" w14:textId="77777777" w:rsidR="004F6F33" w:rsidRPr="00A63CC4" w:rsidRDefault="004F6F33" w:rsidP="009A2373">
            <w:pPr>
              <w:jc w:val="right"/>
              <w:rPr>
                <w:b/>
                <w:lang w:eastAsia="en-GB"/>
              </w:rPr>
            </w:pPr>
            <w:r w:rsidRPr="00A63CC4">
              <w:rPr>
                <w:b/>
                <w:lang w:eastAsia="en-GB"/>
              </w:rPr>
              <w:t>17,770</w:t>
            </w:r>
          </w:p>
        </w:tc>
        <w:tc>
          <w:tcPr>
            <w:tcW w:w="523" w:type="pct"/>
            <w:tcBorders>
              <w:top w:val="nil"/>
              <w:left w:val="nil"/>
              <w:bottom w:val="single" w:sz="4" w:space="0" w:color="auto"/>
              <w:right w:val="single" w:sz="4" w:space="0" w:color="auto"/>
            </w:tcBorders>
            <w:shd w:val="clear" w:color="000000" w:fill="FFFFFF"/>
            <w:noWrap/>
            <w:vAlign w:val="center"/>
            <w:hideMark/>
          </w:tcPr>
          <w:p w14:paraId="21BDBDF2" w14:textId="77777777" w:rsidR="004F6F33" w:rsidRPr="00A52AEE" w:rsidRDefault="004F6F33" w:rsidP="009A2373">
            <w:pPr>
              <w:jc w:val="right"/>
              <w:rPr>
                <w:lang w:eastAsia="en-GB"/>
              </w:rPr>
            </w:pPr>
            <w:r w:rsidRPr="00A52AEE">
              <w:rPr>
                <w:lang w:eastAsia="en-GB"/>
              </w:rPr>
              <w:t>17,770</w:t>
            </w:r>
          </w:p>
        </w:tc>
        <w:tc>
          <w:tcPr>
            <w:tcW w:w="309" w:type="pct"/>
            <w:tcBorders>
              <w:top w:val="nil"/>
              <w:left w:val="nil"/>
              <w:bottom w:val="single" w:sz="4" w:space="0" w:color="auto"/>
              <w:right w:val="single" w:sz="8" w:space="0" w:color="auto"/>
            </w:tcBorders>
            <w:shd w:val="clear" w:color="000000" w:fill="FFFFFF"/>
            <w:noWrap/>
            <w:vAlign w:val="center"/>
            <w:hideMark/>
          </w:tcPr>
          <w:p w14:paraId="072C9FDE" w14:textId="77777777" w:rsidR="004F6F33" w:rsidRPr="00A52AEE" w:rsidRDefault="004F6F33" w:rsidP="009A2373">
            <w:pPr>
              <w:jc w:val="right"/>
              <w:rPr>
                <w:lang w:eastAsia="en-GB"/>
              </w:rPr>
            </w:pPr>
            <w:r w:rsidRPr="00A52AEE">
              <w:rPr>
                <w:lang w:eastAsia="en-GB"/>
              </w:rPr>
              <w:t>38%</w:t>
            </w:r>
          </w:p>
        </w:tc>
        <w:tc>
          <w:tcPr>
            <w:tcW w:w="523" w:type="pct"/>
            <w:tcBorders>
              <w:top w:val="nil"/>
              <w:left w:val="nil"/>
              <w:bottom w:val="single" w:sz="4" w:space="0" w:color="auto"/>
              <w:right w:val="single" w:sz="4" w:space="0" w:color="auto"/>
            </w:tcBorders>
            <w:shd w:val="clear" w:color="000000" w:fill="FFFFFF"/>
            <w:noWrap/>
            <w:vAlign w:val="center"/>
            <w:hideMark/>
          </w:tcPr>
          <w:p w14:paraId="55FDCEE7" w14:textId="77777777" w:rsidR="004F6F33" w:rsidRPr="00A52AEE" w:rsidRDefault="004F6F33" w:rsidP="009A2373">
            <w:pPr>
              <w:jc w:val="right"/>
              <w:rPr>
                <w:lang w:eastAsia="en-GB"/>
              </w:rPr>
            </w:pPr>
            <w:r w:rsidRPr="00A52AEE">
              <w:rPr>
                <w:lang w:eastAsia="en-GB"/>
              </w:rPr>
              <w:t>17,770</w:t>
            </w:r>
          </w:p>
        </w:tc>
        <w:tc>
          <w:tcPr>
            <w:tcW w:w="309" w:type="pct"/>
            <w:tcBorders>
              <w:top w:val="nil"/>
              <w:left w:val="nil"/>
              <w:bottom w:val="single" w:sz="4" w:space="0" w:color="auto"/>
              <w:right w:val="single" w:sz="4" w:space="0" w:color="auto"/>
            </w:tcBorders>
            <w:shd w:val="clear" w:color="000000" w:fill="FFFFFF"/>
            <w:noWrap/>
            <w:vAlign w:val="center"/>
            <w:hideMark/>
          </w:tcPr>
          <w:p w14:paraId="04F76A29" w14:textId="77777777" w:rsidR="004F6F33" w:rsidRPr="00A52AEE" w:rsidRDefault="004F6F33" w:rsidP="009A2373">
            <w:pPr>
              <w:jc w:val="right"/>
              <w:rPr>
                <w:lang w:eastAsia="en-GB"/>
              </w:rPr>
            </w:pPr>
            <w:r w:rsidRPr="00A52AEE">
              <w:rPr>
                <w:lang w:eastAsia="en-GB"/>
              </w:rPr>
              <w:t>38%</w:t>
            </w:r>
          </w:p>
        </w:tc>
        <w:tc>
          <w:tcPr>
            <w:tcW w:w="499" w:type="pct"/>
            <w:tcBorders>
              <w:top w:val="nil"/>
              <w:left w:val="nil"/>
              <w:bottom w:val="single" w:sz="4" w:space="0" w:color="auto"/>
              <w:right w:val="single" w:sz="8" w:space="0" w:color="auto"/>
            </w:tcBorders>
            <w:shd w:val="clear" w:color="000000" w:fill="FFFFFF"/>
            <w:noWrap/>
            <w:vAlign w:val="center"/>
            <w:hideMark/>
          </w:tcPr>
          <w:p w14:paraId="22B04C23" w14:textId="77777777" w:rsidR="004F6F33" w:rsidRPr="00A52AEE" w:rsidRDefault="004F6F33" w:rsidP="009A2373">
            <w:pPr>
              <w:jc w:val="right"/>
              <w:rPr>
                <w:lang w:eastAsia="en-GB"/>
              </w:rPr>
            </w:pPr>
            <w:r w:rsidRPr="00A52AEE">
              <w:rPr>
                <w:lang w:eastAsia="en-GB"/>
              </w:rPr>
              <w:t>1</w:t>
            </w:r>
          </w:p>
        </w:tc>
      </w:tr>
      <w:tr w:rsidR="00DF4D4A" w:rsidRPr="00A52AEE" w14:paraId="43D61F6F" w14:textId="77777777" w:rsidTr="00F243D2">
        <w:trPr>
          <w:trHeight w:val="814"/>
        </w:trPr>
        <w:tc>
          <w:tcPr>
            <w:tcW w:w="238" w:type="pct"/>
            <w:tcBorders>
              <w:top w:val="nil"/>
              <w:left w:val="single" w:sz="8" w:space="0" w:color="auto"/>
              <w:bottom w:val="single" w:sz="8" w:space="0" w:color="auto"/>
              <w:right w:val="single" w:sz="4" w:space="0" w:color="auto"/>
            </w:tcBorders>
            <w:shd w:val="clear" w:color="000000" w:fill="FFFFFF"/>
            <w:textDirection w:val="btLr"/>
            <w:vAlign w:val="center"/>
            <w:hideMark/>
          </w:tcPr>
          <w:p w14:paraId="34A20D3D" w14:textId="77777777" w:rsidR="004F6F33" w:rsidRPr="00A52AEE" w:rsidRDefault="004F6F33" w:rsidP="00A52AEE">
            <w:pPr>
              <w:rPr>
                <w:lang w:eastAsia="en-GB"/>
              </w:rPr>
            </w:pPr>
            <w:r w:rsidRPr="00A52AEE">
              <w:rPr>
                <w:lang w:eastAsia="en-GB"/>
              </w:rPr>
              <w:t>Total</w:t>
            </w:r>
          </w:p>
        </w:tc>
        <w:tc>
          <w:tcPr>
            <w:tcW w:w="530" w:type="pct"/>
            <w:tcBorders>
              <w:top w:val="nil"/>
              <w:left w:val="nil"/>
              <w:bottom w:val="single" w:sz="8" w:space="0" w:color="auto"/>
              <w:right w:val="single" w:sz="8" w:space="0" w:color="auto"/>
            </w:tcBorders>
            <w:shd w:val="clear" w:color="000000" w:fill="FFFFFF"/>
            <w:noWrap/>
            <w:vAlign w:val="center"/>
            <w:hideMark/>
          </w:tcPr>
          <w:p w14:paraId="47E2B0EE" w14:textId="77777777" w:rsidR="004F6F33" w:rsidRPr="00A52AEE" w:rsidRDefault="004F6F33" w:rsidP="009A2373">
            <w:pPr>
              <w:jc w:val="right"/>
              <w:rPr>
                <w:lang w:eastAsia="en-GB"/>
              </w:rPr>
            </w:pPr>
            <w:r w:rsidRPr="00A52AEE">
              <w:rPr>
                <w:lang w:eastAsia="en-GB"/>
              </w:rPr>
              <w:t>221,500</w:t>
            </w:r>
          </w:p>
        </w:tc>
        <w:tc>
          <w:tcPr>
            <w:tcW w:w="414" w:type="pct"/>
            <w:vMerge/>
            <w:tcBorders>
              <w:top w:val="nil"/>
              <w:left w:val="single" w:sz="8" w:space="0" w:color="auto"/>
              <w:bottom w:val="single" w:sz="8" w:space="0" w:color="000000"/>
              <w:right w:val="nil"/>
            </w:tcBorders>
            <w:shd w:val="clear" w:color="auto" w:fill="BDD6EE" w:themeFill="accent1" w:themeFillTint="66"/>
            <w:vAlign w:val="center"/>
            <w:hideMark/>
          </w:tcPr>
          <w:p w14:paraId="5EAA7725" w14:textId="77777777" w:rsidR="004F6F33" w:rsidRPr="00A52AEE" w:rsidRDefault="004F6F33" w:rsidP="009A2373">
            <w:pPr>
              <w:jc w:val="right"/>
              <w:rPr>
                <w:lang w:eastAsia="en-GB"/>
              </w:rPr>
            </w:pPr>
          </w:p>
        </w:tc>
        <w:tc>
          <w:tcPr>
            <w:tcW w:w="414" w:type="pct"/>
            <w:vMerge/>
            <w:tcBorders>
              <w:top w:val="nil"/>
              <w:left w:val="nil"/>
              <w:bottom w:val="single" w:sz="8" w:space="0" w:color="000000"/>
              <w:right w:val="nil"/>
            </w:tcBorders>
            <w:shd w:val="clear" w:color="auto" w:fill="BDD6EE" w:themeFill="accent1" w:themeFillTint="66"/>
            <w:vAlign w:val="center"/>
            <w:hideMark/>
          </w:tcPr>
          <w:p w14:paraId="4CA9BABB" w14:textId="77777777" w:rsidR="004F6F33" w:rsidRPr="00A52AEE" w:rsidRDefault="004F6F33" w:rsidP="009A2373">
            <w:pPr>
              <w:jc w:val="right"/>
              <w:rPr>
                <w:lang w:eastAsia="en-GB"/>
              </w:rPr>
            </w:pPr>
          </w:p>
        </w:tc>
        <w:tc>
          <w:tcPr>
            <w:tcW w:w="414" w:type="pct"/>
            <w:vMerge/>
            <w:tcBorders>
              <w:top w:val="nil"/>
              <w:left w:val="nil"/>
              <w:bottom w:val="single" w:sz="8" w:space="0" w:color="000000"/>
              <w:right w:val="nil"/>
            </w:tcBorders>
            <w:shd w:val="clear" w:color="auto" w:fill="BDD6EE" w:themeFill="accent1" w:themeFillTint="66"/>
            <w:vAlign w:val="center"/>
            <w:hideMark/>
          </w:tcPr>
          <w:p w14:paraId="266D6E2E" w14:textId="77777777" w:rsidR="004F6F33" w:rsidRPr="00A52AEE" w:rsidRDefault="004F6F33" w:rsidP="009A2373">
            <w:pPr>
              <w:jc w:val="right"/>
              <w:rPr>
                <w:lang w:eastAsia="en-GB"/>
              </w:rPr>
            </w:pPr>
          </w:p>
        </w:tc>
        <w:tc>
          <w:tcPr>
            <w:tcW w:w="414" w:type="pct"/>
            <w:tcBorders>
              <w:top w:val="nil"/>
              <w:left w:val="nil"/>
              <w:bottom w:val="single" w:sz="8" w:space="0" w:color="auto"/>
              <w:right w:val="nil"/>
            </w:tcBorders>
            <w:shd w:val="clear" w:color="auto" w:fill="BDD6EE" w:themeFill="accent1" w:themeFillTint="66"/>
            <w:noWrap/>
            <w:vAlign w:val="center"/>
            <w:hideMark/>
          </w:tcPr>
          <w:p w14:paraId="4F2890CF" w14:textId="77777777" w:rsidR="004F6F33" w:rsidRPr="00A52AEE" w:rsidRDefault="004F6F33" w:rsidP="009A2373">
            <w:pPr>
              <w:jc w:val="right"/>
              <w:rPr>
                <w:lang w:eastAsia="en-GB"/>
              </w:rPr>
            </w:pPr>
            <w:r w:rsidRPr="00A52AEE">
              <w:rPr>
                <w:lang w:eastAsia="en-GB"/>
              </w:rPr>
              <w:t> </w:t>
            </w:r>
          </w:p>
        </w:tc>
        <w:tc>
          <w:tcPr>
            <w:tcW w:w="414" w:type="pct"/>
            <w:tcBorders>
              <w:top w:val="nil"/>
              <w:left w:val="nil"/>
              <w:bottom w:val="single" w:sz="8" w:space="0" w:color="auto"/>
              <w:right w:val="single" w:sz="8" w:space="0" w:color="auto"/>
            </w:tcBorders>
            <w:shd w:val="clear" w:color="auto" w:fill="BDD6EE" w:themeFill="accent1" w:themeFillTint="66"/>
            <w:noWrap/>
            <w:vAlign w:val="center"/>
            <w:hideMark/>
          </w:tcPr>
          <w:p w14:paraId="62483495" w14:textId="77777777" w:rsidR="004F6F33" w:rsidRPr="00A52AEE" w:rsidRDefault="004F6F33" w:rsidP="009A2373">
            <w:pPr>
              <w:jc w:val="right"/>
              <w:rPr>
                <w:lang w:eastAsia="en-GB"/>
              </w:rPr>
            </w:pPr>
            <w:r w:rsidRPr="00A52AEE">
              <w:rPr>
                <w:lang w:eastAsia="en-GB"/>
              </w:rPr>
              <w:t> </w:t>
            </w:r>
          </w:p>
        </w:tc>
        <w:tc>
          <w:tcPr>
            <w:tcW w:w="523" w:type="pct"/>
            <w:tcBorders>
              <w:top w:val="nil"/>
              <w:left w:val="nil"/>
              <w:bottom w:val="single" w:sz="8" w:space="0" w:color="auto"/>
              <w:right w:val="single" w:sz="4" w:space="0" w:color="auto"/>
            </w:tcBorders>
            <w:shd w:val="clear" w:color="000000" w:fill="FFFFFF"/>
            <w:noWrap/>
            <w:vAlign w:val="center"/>
            <w:hideMark/>
          </w:tcPr>
          <w:p w14:paraId="07161ABD" w14:textId="77777777" w:rsidR="004F6F33" w:rsidRPr="00A63CC4" w:rsidRDefault="004F6F33" w:rsidP="009A2373">
            <w:pPr>
              <w:jc w:val="right"/>
              <w:rPr>
                <w:b/>
                <w:lang w:eastAsia="en-GB"/>
              </w:rPr>
            </w:pPr>
            <w:r w:rsidRPr="00A63CC4">
              <w:rPr>
                <w:b/>
                <w:lang w:eastAsia="en-GB"/>
              </w:rPr>
              <w:t>89,810</w:t>
            </w:r>
          </w:p>
        </w:tc>
        <w:tc>
          <w:tcPr>
            <w:tcW w:w="309" w:type="pct"/>
            <w:tcBorders>
              <w:top w:val="nil"/>
              <w:left w:val="nil"/>
              <w:bottom w:val="single" w:sz="8" w:space="0" w:color="auto"/>
              <w:right w:val="single" w:sz="8" w:space="0" w:color="auto"/>
            </w:tcBorders>
            <w:shd w:val="clear" w:color="000000" w:fill="FFFFFF"/>
            <w:noWrap/>
            <w:vAlign w:val="center"/>
            <w:hideMark/>
          </w:tcPr>
          <w:p w14:paraId="760C79A2" w14:textId="77777777" w:rsidR="004F6F33" w:rsidRPr="00A52AEE" w:rsidRDefault="004F6F33" w:rsidP="009A2373">
            <w:pPr>
              <w:jc w:val="right"/>
              <w:rPr>
                <w:lang w:eastAsia="en-GB"/>
              </w:rPr>
            </w:pPr>
            <w:r w:rsidRPr="00A52AEE">
              <w:rPr>
                <w:lang w:eastAsia="en-GB"/>
              </w:rPr>
              <w:t>41%</w:t>
            </w:r>
          </w:p>
        </w:tc>
        <w:tc>
          <w:tcPr>
            <w:tcW w:w="523" w:type="pct"/>
            <w:tcBorders>
              <w:top w:val="nil"/>
              <w:left w:val="nil"/>
              <w:bottom w:val="single" w:sz="8" w:space="0" w:color="auto"/>
              <w:right w:val="single" w:sz="4" w:space="0" w:color="auto"/>
            </w:tcBorders>
            <w:shd w:val="clear" w:color="000000" w:fill="FFFFFF"/>
            <w:noWrap/>
            <w:vAlign w:val="center"/>
            <w:hideMark/>
          </w:tcPr>
          <w:p w14:paraId="57A325CD" w14:textId="3C848B25" w:rsidR="004F6F33" w:rsidRPr="00A52AEE" w:rsidRDefault="004F6F33" w:rsidP="00BE09C2">
            <w:pPr>
              <w:jc w:val="right"/>
              <w:rPr>
                <w:lang w:eastAsia="en-GB"/>
              </w:rPr>
            </w:pPr>
            <w:r w:rsidRPr="00A52AEE">
              <w:rPr>
                <w:lang w:eastAsia="en-GB"/>
              </w:rPr>
              <w:t>108,05</w:t>
            </w:r>
            <w:r w:rsidR="00BE09C2">
              <w:rPr>
                <w:lang w:eastAsia="en-GB"/>
              </w:rPr>
              <w:t>5</w:t>
            </w:r>
          </w:p>
        </w:tc>
        <w:tc>
          <w:tcPr>
            <w:tcW w:w="309" w:type="pct"/>
            <w:tcBorders>
              <w:top w:val="nil"/>
              <w:left w:val="nil"/>
              <w:bottom w:val="single" w:sz="8" w:space="0" w:color="auto"/>
              <w:right w:val="single" w:sz="4" w:space="0" w:color="auto"/>
            </w:tcBorders>
            <w:shd w:val="clear" w:color="000000" w:fill="FFFFFF"/>
            <w:noWrap/>
            <w:vAlign w:val="center"/>
            <w:hideMark/>
          </w:tcPr>
          <w:p w14:paraId="28EDFD52" w14:textId="77777777" w:rsidR="004F6F33" w:rsidRPr="00A52AEE" w:rsidRDefault="004F6F33" w:rsidP="009A2373">
            <w:pPr>
              <w:jc w:val="right"/>
              <w:rPr>
                <w:lang w:eastAsia="en-GB"/>
              </w:rPr>
            </w:pPr>
            <w:r w:rsidRPr="00A52AEE">
              <w:rPr>
                <w:lang w:eastAsia="en-GB"/>
              </w:rPr>
              <w:t>49%</w:t>
            </w:r>
          </w:p>
        </w:tc>
        <w:tc>
          <w:tcPr>
            <w:tcW w:w="499" w:type="pct"/>
            <w:tcBorders>
              <w:top w:val="nil"/>
              <w:left w:val="nil"/>
              <w:bottom w:val="single" w:sz="8" w:space="0" w:color="auto"/>
              <w:right w:val="single" w:sz="8" w:space="0" w:color="auto"/>
            </w:tcBorders>
            <w:shd w:val="clear" w:color="000000" w:fill="FFFFFF"/>
            <w:noWrap/>
            <w:vAlign w:val="center"/>
            <w:hideMark/>
          </w:tcPr>
          <w:p w14:paraId="4D1BF014" w14:textId="77777777" w:rsidR="004F6F33" w:rsidRPr="00A52AEE" w:rsidRDefault="004F6F33" w:rsidP="009A2373">
            <w:pPr>
              <w:jc w:val="right"/>
              <w:rPr>
                <w:lang w:eastAsia="en-GB"/>
              </w:rPr>
            </w:pPr>
            <w:r w:rsidRPr="00A52AEE">
              <w:rPr>
                <w:lang w:eastAsia="en-GB"/>
              </w:rPr>
              <w:t> </w:t>
            </w:r>
          </w:p>
        </w:tc>
      </w:tr>
    </w:tbl>
    <w:p w14:paraId="772B8D62" w14:textId="5EBBE1C7" w:rsidR="00AA46D0" w:rsidRPr="00A52AEE" w:rsidRDefault="00AA46D0" w:rsidP="00A52AEE"/>
    <w:p w14:paraId="1A3C3CA9" w14:textId="77777777" w:rsidR="00A934F6" w:rsidRPr="00A52AEE" w:rsidRDefault="00A934F6" w:rsidP="00A52AEE"/>
    <w:p w14:paraId="569A2A20" w14:textId="43D33499" w:rsidR="00DF4D4A" w:rsidRPr="00A52AEE" w:rsidRDefault="00DF4D4A" w:rsidP="008D527A">
      <w:pPr>
        <w:pStyle w:val="Heading2"/>
      </w:pPr>
      <w:bookmarkStart w:id="105" w:name="_Toc429151326"/>
      <w:r w:rsidRPr="00A52AEE">
        <w:t>5.2</w:t>
      </w:r>
      <w:r w:rsidRPr="00A52AEE">
        <w:tab/>
      </w:r>
      <w:r w:rsidR="00B47AF2">
        <w:tab/>
      </w:r>
      <w:r w:rsidRPr="00A52AEE">
        <w:t>Longitudinal progression by age</w:t>
      </w:r>
      <w:bookmarkEnd w:id="105"/>
    </w:p>
    <w:p w14:paraId="48575B1D" w14:textId="77777777" w:rsidR="00DF4D4A" w:rsidRPr="00A52AEE" w:rsidRDefault="00DF4D4A" w:rsidP="00A52AEE"/>
    <w:p w14:paraId="4967FFC6" w14:textId="0F319DA3" w:rsidR="000D5C3E" w:rsidRPr="00A52AEE" w:rsidRDefault="000D5C3E" w:rsidP="00A52AEE">
      <w:r w:rsidRPr="00A52AEE">
        <w:t>Age breakdowns are provided next to examine progression for differing age group</w:t>
      </w:r>
      <w:r w:rsidR="00B03413">
        <w:t>s.  Table 21</w:t>
      </w:r>
      <w:r w:rsidRPr="00A52AEE">
        <w:t xml:space="preserve"> shows the significant decrease in immediate progression of the young Level 3 cohort, age</w:t>
      </w:r>
      <w:r w:rsidR="00B47AF2">
        <w:t>d</w:t>
      </w:r>
      <w:r w:rsidRPr="00A52AEE">
        <w:t xml:space="preserve"> </w:t>
      </w:r>
      <w:r w:rsidR="005175E4" w:rsidRPr="00A52AEE">
        <w:t>17-19</w:t>
      </w:r>
      <w:r w:rsidRPr="00A52AEE">
        <w:t xml:space="preserve"> in 2012-13 where progression was </w:t>
      </w:r>
      <w:r w:rsidR="00BE09C2">
        <w:t xml:space="preserve">the </w:t>
      </w:r>
      <w:r w:rsidRPr="00A52AEE">
        <w:t>lowest ever for this group at 45% (for earlier cohorts this reached as high as 62%). This age group appears to have been most impact</w:t>
      </w:r>
      <w:r w:rsidR="00B47AF2">
        <w:t>ed</w:t>
      </w:r>
      <w:r w:rsidRPr="00A52AEE">
        <w:t xml:space="preserve"> by higher fees but it may also be due to the fact that the young Level 3 population in this year is significantly higher than any other year. Further, the composition of the 2011 young cohort is not the same as the 2007 young cohort and this may explain why progression rates have not been sustained. In 2011, there were double the number of BTEC </w:t>
      </w:r>
      <w:r w:rsidR="00842186" w:rsidRPr="00A52AEE">
        <w:t>student</w:t>
      </w:r>
      <w:r w:rsidRPr="00A52AEE">
        <w:t>s</w:t>
      </w:r>
      <w:r w:rsidR="00373D94">
        <w:t xml:space="preserve"> in London colleges</w:t>
      </w:r>
      <w:r w:rsidRPr="00A52AEE">
        <w:t xml:space="preserve"> than traditional A </w:t>
      </w:r>
      <w:r w:rsidR="0021637B" w:rsidRPr="00A52AEE">
        <w:t>Level</w:t>
      </w:r>
      <w:r w:rsidRPr="00A52AEE">
        <w:t xml:space="preserve"> </w:t>
      </w:r>
      <w:r w:rsidR="00842186" w:rsidRPr="00A52AEE">
        <w:t>student</w:t>
      </w:r>
      <w:r w:rsidRPr="00A52AEE">
        <w:t xml:space="preserve">s for example, whilst in 2007 there was around the same number studying each programme type. </w:t>
      </w:r>
    </w:p>
    <w:p w14:paraId="1202FD83" w14:textId="77777777" w:rsidR="00893D03" w:rsidRPr="00A52AEE" w:rsidRDefault="00893D03" w:rsidP="00A52AEE"/>
    <w:p w14:paraId="20ECC24E" w14:textId="77777777" w:rsidR="00DF4D4A" w:rsidRPr="00A52AEE" w:rsidRDefault="00DF4D4A" w:rsidP="00A52AEE"/>
    <w:p w14:paraId="35E6FCC2" w14:textId="77777777" w:rsidR="00DF4D4A" w:rsidRPr="00A52AEE" w:rsidRDefault="00DF4D4A" w:rsidP="00A52AEE"/>
    <w:p w14:paraId="797B70D2" w14:textId="77777777" w:rsidR="00DF4D4A" w:rsidRPr="00A52AEE" w:rsidRDefault="00DF4D4A" w:rsidP="00A52AEE"/>
    <w:p w14:paraId="0FA41A09" w14:textId="77777777" w:rsidR="00DF4D4A" w:rsidRPr="00A52AEE" w:rsidRDefault="00DF4D4A" w:rsidP="00A52AEE"/>
    <w:p w14:paraId="2587748F" w14:textId="77777777" w:rsidR="00DF4D4A" w:rsidRPr="00A52AEE" w:rsidRDefault="00DF4D4A" w:rsidP="00A52AEE"/>
    <w:p w14:paraId="588F48A5" w14:textId="77777777" w:rsidR="00DF4D4A" w:rsidRPr="00A52AEE" w:rsidRDefault="00DF4D4A" w:rsidP="00A52AEE"/>
    <w:p w14:paraId="0BE2D2B6" w14:textId="77777777" w:rsidR="00DF4D4A" w:rsidRPr="00A52AEE" w:rsidRDefault="00DF4D4A" w:rsidP="00A52AEE"/>
    <w:p w14:paraId="17C43F44" w14:textId="012A08C9" w:rsidR="00893D03" w:rsidRPr="00373D94" w:rsidRDefault="004D2866" w:rsidP="00A52AEE">
      <w:pPr>
        <w:rPr>
          <w:b/>
        </w:rPr>
      </w:pPr>
      <w:r>
        <w:rPr>
          <w:b/>
        </w:rPr>
        <w:t>Table 21</w:t>
      </w:r>
      <w:r w:rsidR="00893D03" w:rsidRPr="00373D94">
        <w:rPr>
          <w:b/>
        </w:rPr>
        <w:t xml:space="preserve">: Longitudinal progression of five FE </w:t>
      </w:r>
      <w:r w:rsidR="0021637B" w:rsidRPr="00373D94">
        <w:rPr>
          <w:b/>
        </w:rPr>
        <w:t>Level</w:t>
      </w:r>
      <w:r w:rsidR="00893D03" w:rsidRPr="00373D94">
        <w:rPr>
          <w:b/>
        </w:rPr>
        <w:t xml:space="preserve"> 3 cohorts to higher education by age</w:t>
      </w:r>
    </w:p>
    <w:p w14:paraId="36FBC69D" w14:textId="77777777" w:rsidR="00DF4D4A" w:rsidRPr="00A52AEE" w:rsidRDefault="00DF4D4A" w:rsidP="00A52AEE"/>
    <w:tbl>
      <w:tblPr>
        <w:tblW w:w="5000" w:type="pct"/>
        <w:tblLayout w:type="fixed"/>
        <w:tblLook w:val="04A0" w:firstRow="1" w:lastRow="0" w:firstColumn="1" w:lastColumn="0" w:noHBand="0" w:noVBand="1"/>
      </w:tblPr>
      <w:tblGrid>
        <w:gridCol w:w="497"/>
        <w:gridCol w:w="725"/>
        <w:gridCol w:w="831"/>
        <w:gridCol w:w="773"/>
        <w:gridCol w:w="748"/>
        <w:gridCol w:w="833"/>
        <w:gridCol w:w="963"/>
        <w:gridCol w:w="833"/>
        <w:gridCol w:w="833"/>
        <w:gridCol w:w="614"/>
        <w:gridCol w:w="771"/>
        <w:gridCol w:w="693"/>
        <w:gridCol w:w="457"/>
      </w:tblGrid>
      <w:tr w:rsidR="00373D94" w:rsidRPr="00373D94" w14:paraId="51383EAE" w14:textId="77777777" w:rsidTr="00B959B2">
        <w:trPr>
          <w:trHeight w:val="69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3B71283B" w14:textId="78A2CF4C" w:rsidR="00945035" w:rsidRPr="00373D94" w:rsidRDefault="00945035" w:rsidP="00373D94">
            <w:pPr>
              <w:jc w:val="center"/>
              <w:rPr>
                <w:b/>
                <w:color w:val="FFFFFF" w:themeColor="background1"/>
                <w:lang w:eastAsia="en-GB"/>
              </w:rPr>
            </w:pPr>
            <w:r w:rsidRPr="00373D94">
              <w:rPr>
                <w:b/>
                <w:color w:val="FFFFFF" w:themeColor="background1"/>
                <w:lang w:eastAsia="en-GB"/>
              </w:rPr>
              <w:t xml:space="preserve">FE Level 3 </w:t>
            </w:r>
            <w:r w:rsidR="002C4CA4" w:rsidRPr="00373D94">
              <w:rPr>
                <w:b/>
                <w:color w:val="FFFFFF" w:themeColor="background1"/>
                <w:lang w:eastAsia="en-GB"/>
              </w:rPr>
              <w:t>cohorts</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7F21329A" w14:textId="77777777" w:rsidR="00945035" w:rsidRPr="00373D94" w:rsidRDefault="00945035" w:rsidP="00373D94">
            <w:pPr>
              <w:jc w:val="center"/>
              <w:rPr>
                <w:b/>
                <w:color w:val="FFFFFF" w:themeColor="background1"/>
                <w:lang w:eastAsia="en-GB"/>
              </w:rPr>
            </w:pPr>
            <w:r w:rsidRPr="00373D94">
              <w:rPr>
                <w:b/>
                <w:color w:val="FFFFFF" w:themeColor="background1"/>
                <w:lang w:eastAsia="en-GB"/>
              </w:rPr>
              <w:t>Age group</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379F2F9D" w14:textId="77777777" w:rsidR="00945035" w:rsidRPr="00373D94" w:rsidRDefault="00945035" w:rsidP="00373D94">
            <w:pPr>
              <w:jc w:val="center"/>
              <w:rPr>
                <w:b/>
                <w:color w:val="FFFFFF" w:themeColor="background1"/>
                <w:lang w:eastAsia="en-GB"/>
              </w:rPr>
            </w:pPr>
            <w:r w:rsidRPr="00373D94">
              <w:rPr>
                <w:b/>
                <w:color w:val="FFFFFF" w:themeColor="background1"/>
                <w:lang w:eastAsia="en-GB"/>
              </w:rPr>
              <w:t>Population</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396904B0" w14:textId="24A04DB6" w:rsidR="002C4CA4" w:rsidRPr="00B959B2" w:rsidRDefault="002C4CA4" w:rsidP="00373D94">
            <w:pPr>
              <w:jc w:val="center"/>
              <w:rPr>
                <w:b/>
                <w:color w:val="FFFFFF" w:themeColor="background1"/>
                <w:sz w:val="22"/>
                <w:lang w:eastAsia="en-GB"/>
              </w:rPr>
            </w:pPr>
            <w:r w:rsidRPr="00B959B2">
              <w:rPr>
                <w:b/>
                <w:color w:val="FFFFFF" w:themeColor="background1"/>
                <w:sz w:val="22"/>
                <w:lang w:eastAsia="en-GB"/>
              </w:rPr>
              <w:t>2007-08</w:t>
            </w:r>
          </w:p>
          <w:p w14:paraId="70F262A3" w14:textId="0CE59BDF" w:rsidR="00945035" w:rsidRPr="00B959B2" w:rsidRDefault="002C4CA4" w:rsidP="00373D94">
            <w:pPr>
              <w:jc w:val="center"/>
              <w:rPr>
                <w:b/>
                <w:color w:val="FFFFFF" w:themeColor="background1"/>
                <w:sz w:val="22"/>
                <w:lang w:eastAsia="en-GB"/>
              </w:rPr>
            </w:pPr>
            <w:r w:rsidRPr="00B959B2">
              <w:rPr>
                <w:b/>
                <w:color w:val="FFFFFF" w:themeColor="background1"/>
                <w:sz w:val="22"/>
                <w:lang w:eastAsia="en-GB"/>
              </w:rPr>
              <w:t>i</w:t>
            </w:r>
            <w:r w:rsidR="00945035" w:rsidRPr="00B959B2">
              <w:rPr>
                <w:b/>
                <w:color w:val="FFFFFF" w:themeColor="background1"/>
                <w:sz w:val="22"/>
                <w:lang w:eastAsia="en-GB"/>
              </w:rPr>
              <w:t>nto HE 2088-09</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1DBF07CB" w14:textId="1E320D41" w:rsidR="00945035" w:rsidRPr="00B959B2" w:rsidRDefault="00945035" w:rsidP="00373D94">
            <w:pPr>
              <w:jc w:val="center"/>
              <w:rPr>
                <w:b/>
                <w:color w:val="FFFFFF" w:themeColor="background1"/>
                <w:sz w:val="22"/>
                <w:lang w:eastAsia="en-GB"/>
              </w:rPr>
            </w:pPr>
            <w:r w:rsidRPr="00B959B2">
              <w:rPr>
                <w:b/>
                <w:color w:val="FFFFFF" w:themeColor="background1"/>
                <w:sz w:val="22"/>
                <w:lang w:eastAsia="en-GB"/>
              </w:rPr>
              <w:t xml:space="preserve">2008-09 </w:t>
            </w:r>
            <w:r w:rsidR="002C4CA4" w:rsidRPr="00B959B2">
              <w:rPr>
                <w:b/>
                <w:color w:val="FFFFFF" w:themeColor="background1"/>
                <w:sz w:val="22"/>
                <w:lang w:eastAsia="en-GB"/>
              </w:rPr>
              <w:t>i</w:t>
            </w:r>
            <w:r w:rsidRPr="00B959B2">
              <w:rPr>
                <w:b/>
                <w:color w:val="FFFFFF" w:themeColor="background1"/>
                <w:sz w:val="22"/>
                <w:lang w:eastAsia="en-GB"/>
              </w:rPr>
              <w:t>nto HE  2009-10</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1FE0FFD7" w14:textId="34D208C6" w:rsidR="002C4CA4" w:rsidRPr="00B959B2" w:rsidRDefault="00945035" w:rsidP="00373D94">
            <w:pPr>
              <w:jc w:val="center"/>
              <w:rPr>
                <w:b/>
                <w:color w:val="FFFFFF" w:themeColor="background1"/>
                <w:sz w:val="22"/>
                <w:lang w:eastAsia="en-GB"/>
              </w:rPr>
            </w:pPr>
            <w:r w:rsidRPr="00B959B2">
              <w:rPr>
                <w:b/>
                <w:color w:val="FFFFFF" w:themeColor="background1"/>
                <w:sz w:val="22"/>
                <w:lang w:eastAsia="en-GB"/>
              </w:rPr>
              <w:t>2009-10</w:t>
            </w:r>
          </w:p>
          <w:p w14:paraId="449AC4E5" w14:textId="0AAA79D7" w:rsidR="00945035" w:rsidRPr="00B959B2" w:rsidRDefault="002C4CA4" w:rsidP="00373D94">
            <w:pPr>
              <w:jc w:val="center"/>
              <w:rPr>
                <w:b/>
                <w:color w:val="FFFFFF" w:themeColor="background1"/>
                <w:sz w:val="22"/>
                <w:lang w:eastAsia="en-GB"/>
              </w:rPr>
            </w:pPr>
            <w:r w:rsidRPr="00B959B2">
              <w:rPr>
                <w:b/>
                <w:color w:val="FFFFFF" w:themeColor="background1"/>
                <w:sz w:val="22"/>
                <w:lang w:eastAsia="en-GB"/>
              </w:rPr>
              <w:t>i</w:t>
            </w:r>
            <w:r w:rsidR="00945035" w:rsidRPr="00B959B2">
              <w:rPr>
                <w:b/>
                <w:color w:val="FFFFFF" w:themeColor="background1"/>
                <w:sz w:val="22"/>
                <w:lang w:eastAsia="en-GB"/>
              </w:rPr>
              <w:t>nto HE 2010-11</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4910EFCB" w14:textId="78A75C9B" w:rsidR="002C4CA4" w:rsidRPr="00B959B2" w:rsidRDefault="00945035" w:rsidP="00373D94">
            <w:pPr>
              <w:jc w:val="center"/>
              <w:rPr>
                <w:b/>
                <w:color w:val="FFFFFF" w:themeColor="background1"/>
                <w:sz w:val="22"/>
                <w:lang w:eastAsia="en-GB"/>
              </w:rPr>
            </w:pPr>
            <w:r w:rsidRPr="00B959B2">
              <w:rPr>
                <w:b/>
                <w:color w:val="FFFFFF" w:themeColor="background1"/>
                <w:sz w:val="22"/>
                <w:lang w:eastAsia="en-GB"/>
              </w:rPr>
              <w:t>2010-11</w:t>
            </w:r>
          </w:p>
          <w:p w14:paraId="00807058" w14:textId="27489FAC" w:rsidR="00945035" w:rsidRPr="00B959B2" w:rsidRDefault="002C4CA4" w:rsidP="00373D94">
            <w:pPr>
              <w:jc w:val="center"/>
              <w:rPr>
                <w:b/>
                <w:color w:val="FFFFFF" w:themeColor="background1"/>
                <w:sz w:val="22"/>
                <w:lang w:eastAsia="en-GB"/>
              </w:rPr>
            </w:pPr>
            <w:r w:rsidRPr="00B959B2">
              <w:rPr>
                <w:b/>
                <w:color w:val="FFFFFF" w:themeColor="background1"/>
                <w:sz w:val="22"/>
                <w:lang w:eastAsia="en-GB"/>
              </w:rPr>
              <w:t>i</w:t>
            </w:r>
            <w:r w:rsidR="00945035" w:rsidRPr="00B959B2">
              <w:rPr>
                <w:b/>
                <w:color w:val="FFFFFF" w:themeColor="background1"/>
                <w:sz w:val="22"/>
                <w:lang w:eastAsia="en-GB"/>
              </w:rPr>
              <w:t>nto HE  2011-12</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28226340" w14:textId="4798ADDB" w:rsidR="002C4CA4" w:rsidRPr="00B959B2" w:rsidRDefault="00945035" w:rsidP="00373D94">
            <w:pPr>
              <w:jc w:val="center"/>
              <w:rPr>
                <w:b/>
                <w:color w:val="FFFFFF" w:themeColor="background1"/>
                <w:sz w:val="22"/>
                <w:lang w:eastAsia="en-GB"/>
              </w:rPr>
            </w:pPr>
            <w:r w:rsidRPr="00B959B2">
              <w:rPr>
                <w:b/>
                <w:color w:val="FFFFFF" w:themeColor="background1"/>
                <w:sz w:val="22"/>
                <w:lang w:eastAsia="en-GB"/>
              </w:rPr>
              <w:t>2011-12</w:t>
            </w:r>
          </w:p>
          <w:p w14:paraId="5A6289B4" w14:textId="4A4658F4" w:rsidR="00945035" w:rsidRPr="00B959B2" w:rsidRDefault="00945035" w:rsidP="00373D94">
            <w:pPr>
              <w:jc w:val="center"/>
              <w:rPr>
                <w:b/>
                <w:color w:val="FFFFFF" w:themeColor="background1"/>
                <w:sz w:val="22"/>
                <w:lang w:eastAsia="en-GB"/>
              </w:rPr>
            </w:pPr>
            <w:r w:rsidRPr="00B959B2">
              <w:rPr>
                <w:b/>
                <w:color w:val="FFFFFF" w:themeColor="background1"/>
                <w:sz w:val="22"/>
                <w:lang w:eastAsia="en-GB"/>
              </w:rPr>
              <w:t>into HE 2012-13</w:t>
            </w:r>
          </w:p>
        </w:tc>
        <w:tc>
          <w:tcPr>
            <w:tcW w:w="756" w:type="pct"/>
            <w:gridSpan w:val="2"/>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1499EE7" w14:textId="77777777" w:rsidR="00945035" w:rsidRPr="00373D94" w:rsidRDefault="00945035" w:rsidP="00373D94">
            <w:pPr>
              <w:jc w:val="center"/>
              <w:rPr>
                <w:b/>
                <w:color w:val="FFFFFF" w:themeColor="background1"/>
                <w:lang w:eastAsia="en-GB"/>
              </w:rPr>
            </w:pPr>
            <w:r w:rsidRPr="00373D94">
              <w:rPr>
                <w:b/>
                <w:color w:val="FFFFFF" w:themeColor="background1"/>
                <w:lang w:eastAsia="en-GB"/>
              </w:rPr>
              <w:t>Immediate entry to HE (following year)</w:t>
            </w:r>
          </w:p>
        </w:tc>
        <w:tc>
          <w:tcPr>
            <w:tcW w:w="1004" w:type="pct"/>
            <w:gridSpan w:val="3"/>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5061C10F" w14:textId="475274AA" w:rsidR="00945035" w:rsidRPr="00373D94" w:rsidRDefault="00945035" w:rsidP="00373D94">
            <w:pPr>
              <w:jc w:val="center"/>
              <w:rPr>
                <w:b/>
                <w:color w:val="FFFFFF" w:themeColor="background1"/>
                <w:lang w:eastAsia="en-GB"/>
              </w:rPr>
            </w:pPr>
            <w:r w:rsidRPr="00373D94">
              <w:rPr>
                <w:b/>
                <w:color w:val="FFFFFF" w:themeColor="background1"/>
                <w:lang w:eastAsia="en-GB"/>
              </w:rPr>
              <w:t>Progression to HE</w:t>
            </w:r>
          </w:p>
        </w:tc>
      </w:tr>
      <w:tr w:rsidR="00373D94" w:rsidRPr="00373D94" w14:paraId="59FE0360" w14:textId="77777777" w:rsidTr="00B959B2">
        <w:trPr>
          <w:trHeight w:val="828"/>
          <w:tblHeader/>
        </w:trPr>
        <w:tc>
          <w:tcPr>
            <w:tcW w:w="25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5C97811" w14:textId="77777777" w:rsidR="00945035" w:rsidRPr="00373D94" w:rsidRDefault="00945035" w:rsidP="00373D94">
            <w:pPr>
              <w:jc w:val="center"/>
              <w:rPr>
                <w:b/>
                <w:color w:val="FFFFFF" w:themeColor="background1"/>
                <w:lang w:eastAsia="en-GB"/>
              </w:rPr>
            </w:pPr>
          </w:p>
        </w:tc>
        <w:tc>
          <w:tcPr>
            <w:tcW w:w="37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D1022BB" w14:textId="77777777" w:rsidR="00945035" w:rsidRPr="00373D94" w:rsidRDefault="00945035" w:rsidP="00373D94">
            <w:pPr>
              <w:jc w:val="center"/>
              <w:rPr>
                <w:b/>
                <w:color w:val="FFFFFF" w:themeColor="background1"/>
                <w:lang w:eastAsia="en-GB"/>
              </w:rPr>
            </w:pPr>
          </w:p>
        </w:tc>
        <w:tc>
          <w:tcPr>
            <w:tcW w:w="434"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F1131D4" w14:textId="77777777" w:rsidR="00945035" w:rsidRPr="00373D94" w:rsidRDefault="00945035" w:rsidP="00373D94">
            <w:pPr>
              <w:jc w:val="center"/>
              <w:rPr>
                <w:b/>
                <w:color w:val="FFFFFF" w:themeColor="background1"/>
                <w:lang w:eastAsia="en-GB"/>
              </w:rPr>
            </w:pPr>
          </w:p>
        </w:tc>
        <w:tc>
          <w:tcPr>
            <w:tcW w:w="404"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1B1804F" w14:textId="77777777" w:rsidR="00945035" w:rsidRPr="00373D94" w:rsidRDefault="00945035" w:rsidP="00373D94">
            <w:pPr>
              <w:jc w:val="center"/>
              <w:rPr>
                <w:b/>
                <w:color w:val="FFFFFF" w:themeColor="background1"/>
                <w:lang w:eastAsia="en-GB"/>
              </w:rPr>
            </w:pPr>
          </w:p>
        </w:tc>
        <w:tc>
          <w:tcPr>
            <w:tcW w:w="391"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1943EED" w14:textId="77777777" w:rsidR="00945035" w:rsidRPr="00373D94" w:rsidRDefault="00945035" w:rsidP="00373D94">
            <w:pPr>
              <w:jc w:val="center"/>
              <w:rPr>
                <w:b/>
                <w:color w:val="FFFFFF" w:themeColor="background1"/>
                <w:lang w:eastAsia="en-GB"/>
              </w:rPr>
            </w:pPr>
          </w:p>
        </w:tc>
        <w:tc>
          <w:tcPr>
            <w:tcW w:w="435"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F3ED6F9" w14:textId="77777777" w:rsidR="00945035" w:rsidRPr="00373D94" w:rsidRDefault="00945035" w:rsidP="00373D94">
            <w:pPr>
              <w:jc w:val="center"/>
              <w:rPr>
                <w:b/>
                <w:color w:val="FFFFFF" w:themeColor="background1"/>
                <w:lang w:eastAsia="en-GB"/>
              </w:rPr>
            </w:pPr>
          </w:p>
        </w:tc>
        <w:tc>
          <w:tcPr>
            <w:tcW w:w="503"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8C9F63C" w14:textId="77777777" w:rsidR="00945035" w:rsidRPr="00373D94" w:rsidRDefault="00945035" w:rsidP="00373D94">
            <w:pPr>
              <w:jc w:val="center"/>
              <w:rPr>
                <w:b/>
                <w:color w:val="FFFFFF" w:themeColor="background1"/>
                <w:lang w:eastAsia="en-GB"/>
              </w:rPr>
            </w:pPr>
          </w:p>
        </w:tc>
        <w:tc>
          <w:tcPr>
            <w:tcW w:w="435"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6F8253A" w14:textId="77777777" w:rsidR="00945035" w:rsidRPr="00373D94" w:rsidRDefault="00945035" w:rsidP="00373D94">
            <w:pPr>
              <w:jc w:val="center"/>
              <w:rPr>
                <w:b/>
                <w:color w:val="FFFFFF" w:themeColor="background1"/>
                <w:lang w:eastAsia="en-GB"/>
              </w:rPr>
            </w:pPr>
          </w:p>
        </w:tc>
        <w:tc>
          <w:tcPr>
            <w:tcW w:w="756" w:type="pct"/>
            <w:gridSpan w:val="2"/>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8B8FC35" w14:textId="77777777" w:rsidR="00945035" w:rsidRPr="00373D94" w:rsidRDefault="00945035" w:rsidP="00373D94">
            <w:pPr>
              <w:jc w:val="center"/>
              <w:rPr>
                <w:b/>
                <w:color w:val="FFFFFF" w:themeColor="background1"/>
                <w:lang w:eastAsia="en-GB"/>
              </w:rPr>
            </w:pPr>
          </w:p>
        </w:tc>
        <w:tc>
          <w:tcPr>
            <w:tcW w:w="1004" w:type="pct"/>
            <w:gridSpan w:val="3"/>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BB06ACD" w14:textId="77777777" w:rsidR="00945035" w:rsidRPr="00373D94" w:rsidRDefault="00945035" w:rsidP="00373D94">
            <w:pPr>
              <w:jc w:val="center"/>
              <w:rPr>
                <w:b/>
                <w:color w:val="FFFFFF" w:themeColor="background1"/>
                <w:lang w:eastAsia="en-GB"/>
              </w:rPr>
            </w:pPr>
            <w:r w:rsidRPr="00373D94">
              <w:rPr>
                <w:b/>
                <w:color w:val="FFFFFF" w:themeColor="background1"/>
                <w:lang w:eastAsia="en-GB"/>
              </w:rPr>
              <w:t>All tracked to date</w:t>
            </w:r>
          </w:p>
        </w:tc>
      </w:tr>
      <w:tr w:rsidR="00373D94" w:rsidRPr="00373D94" w14:paraId="2514E441" w14:textId="77777777" w:rsidTr="00B959B2">
        <w:trPr>
          <w:trHeight w:val="1562"/>
          <w:tblHeader/>
        </w:trPr>
        <w:tc>
          <w:tcPr>
            <w:tcW w:w="25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0D46FF7" w14:textId="77777777" w:rsidR="00945035" w:rsidRPr="00373D94" w:rsidRDefault="00945035" w:rsidP="00373D94">
            <w:pPr>
              <w:jc w:val="center"/>
              <w:rPr>
                <w:b/>
                <w:color w:val="FFFFFF" w:themeColor="background1"/>
                <w:lang w:eastAsia="en-GB"/>
              </w:rPr>
            </w:pPr>
          </w:p>
        </w:tc>
        <w:tc>
          <w:tcPr>
            <w:tcW w:w="37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0D81465" w14:textId="77777777" w:rsidR="00945035" w:rsidRPr="00373D94" w:rsidRDefault="00945035" w:rsidP="00373D94">
            <w:pPr>
              <w:jc w:val="center"/>
              <w:rPr>
                <w:b/>
                <w:color w:val="FFFFFF" w:themeColor="background1"/>
                <w:lang w:eastAsia="en-GB"/>
              </w:rPr>
            </w:pPr>
          </w:p>
        </w:tc>
        <w:tc>
          <w:tcPr>
            <w:tcW w:w="434"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C935357" w14:textId="77777777" w:rsidR="00945035" w:rsidRPr="00373D94" w:rsidRDefault="00945035" w:rsidP="00373D94">
            <w:pPr>
              <w:jc w:val="center"/>
              <w:rPr>
                <w:b/>
                <w:color w:val="FFFFFF" w:themeColor="background1"/>
                <w:lang w:eastAsia="en-GB"/>
              </w:rPr>
            </w:pPr>
          </w:p>
        </w:tc>
        <w:tc>
          <w:tcPr>
            <w:tcW w:w="2168" w:type="pct"/>
            <w:gridSpan w:val="5"/>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AF0FE28" w14:textId="55152ADB" w:rsidR="00945035" w:rsidRPr="00373D94" w:rsidRDefault="00945035" w:rsidP="00373D94">
            <w:pPr>
              <w:jc w:val="center"/>
              <w:rPr>
                <w:b/>
                <w:color w:val="FFFFFF" w:themeColor="background1"/>
                <w:lang w:eastAsia="en-GB"/>
              </w:rPr>
            </w:pPr>
            <w:r w:rsidRPr="00373D94">
              <w:rPr>
                <w:b/>
                <w:color w:val="FFFFFF" w:themeColor="background1"/>
                <w:lang w:eastAsia="en-GB"/>
              </w:rPr>
              <w:t>Number</w:t>
            </w:r>
            <w:r w:rsidR="00DF4D4A" w:rsidRPr="00373D94">
              <w:rPr>
                <w:b/>
                <w:color w:val="FFFFFF" w:themeColor="background1"/>
                <w:lang w:eastAsia="en-GB"/>
              </w:rPr>
              <w:t>s</w:t>
            </w:r>
          </w:p>
        </w:tc>
        <w:tc>
          <w:tcPr>
            <w:tcW w:w="435"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7A531E4B" w14:textId="3FEEC67C" w:rsidR="00945035" w:rsidRPr="00B959B2" w:rsidRDefault="00945035" w:rsidP="00373D94">
            <w:pPr>
              <w:jc w:val="center"/>
              <w:rPr>
                <w:b/>
                <w:color w:val="FFFFFF" w:themeColor="background1"/>
                <w:sz w:val="20"/>
                <w:lang w:eastAsia="en-GB"/>
              </w:rPr>
            </w:pPr>
            <w:r w:rsidRPr="00B959B2">
              <w:rPr>
                <w:b/>
                <w:color w:val="FFFFFF" w:themeColor="background1"/>
                <w:sz w:val="20"/>
                <w:lang w:eastAsia="en-GB"/>
              </w:rPr>
              <w:t xml:space="preserve">HE </w:t>
            </w:r>
            <w:r w:rsidR="00373D94" w:rsidRPr="00B959B2">
              <w:rPr>
                <w:b/>
                <w:color w:val="FFFFFF" w:themeColor="background1"/>
                <w:sz w:val="20"/>
                <w:lang w:eastAsia="en-GB"/>
              </w:rPr>
              <w:t>i</w:t>
            </w:r>
            <w:r w:rsidRPr="00B959B2">
              <w:rPr>
                <w:b/>
                <w:color w:val="FFFFFF" w:themeColor="background1"/>
                <w:sz w:val="20"/>
                <w:lang w:eastAsia="en-GB"/>
              </w:rPr>
              <w:t xml:space="preserve">mmediate </w:t>
            </w:r>
            <w:r w:rsidR="00373D94" w:rsidRPr="00B959B2">
              <w:rPr>
                <w:b/>
                <w:color w:val="FFFFFF" w:themeColor="background1"/>
                <w:sz w:val="20"/>
                <w:lang w:eastAsia="en-GB"/>
              </w:rPr>
              <w:t>p</w:t>
            </w:r>
            <w:r w:rsidRPr="00B959B2">
              <w:rPr>
                <w:b/>
                <w:color w:val="FFFFFF" w:themeColor="background1"/>
                <w:sz w:val="20"/>
                <w:lang w:eastAsia="en-GB"/>
              </w:rPr>
              <w:t>rogression</w:t>
            </w:r>
          </w:p>
        </w:tc>
        <w:tc>
          <w:tcPr>
            <w:tcW w:w="321"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70A4A1D3" w14:textId="6C4E067C" w:rsidR="002C4CA4" w:rsidRPr="00B959B2" w:rsidRDefault="00945035" w:rsidP="00373D94">
            <w:pPr>
              <w:jc w:val="center"/>
              <w:rPr>
                <w:b/>
                <w:color w:val="FFFFFF" w:themeColor="background1"/>
                <w:sz w:val="20"/>
                <w:lang w:eastAsia="en-GB"/>
              </w:rPr>
            </w:pPr>
            <w:r w:rsidRPr="00B959B2">
              <w:rPr>
                <w:b/>
                <w:color w:val="FFFFFF" w:themeColor="background1"/>
                <w:sz w:val="20"/>
                <w:lang w:eastAsia="en-GB"/>
              </w:rPr>
              <w:t xml:space="preserve">% </w:t>
            </w:r>
            <w:r w:rsidR="00B959B2" w:rsidRPr="00B959B2">
              <w:rPr>
                <w:b/>
                <w:color w:val="FFFFFF" w:themeColor="background1"/>
                <w:sz w:val="20"/>
                <w:lang w:eastAsia="en-GB"/>
              </w:rPr>
              <w:t>Immediate</w:t>
            </w:r>
          </w:p>
          <w:p w14:paraId="61BE1450" w14:textId="5E931478" w:rsidR="00945035" w:rsidRPr="00B959B2" w:rsidRDefault="002C4CA4" w:rsidP="00373D94">
            <w:pPr>
              <w:jc w:val="center"/>
              <w:rPr>
                <w:b/>
                <w:color w:val="FFFFFF" w:themeColor="background1"/>
                <w:sz w:val="20"/>
                <w:lang w:eastAsia="en-GB"/>
              </w:rPr>
            </w:pPr>
            <w:r w:rsidRPr="00B959B2">
              <w:rPr>
                <w:b/>
                <w:color w:val="FFFFFF" w:themeColor="background1"/>
                <w:sz w:val="20"/>
                <w:lang w:eastAsia="en-GB"/>
              </w:rPr>
              <w:t>HE p</w:t>
            </w:r>
            <w:r w:rsidR="00945035" w:rsidRPr="00B959B2">
              <w:rPr>
                <w:b/>
                <w:color w:val="FFFFFF" w:themeColor="background1"/>
                <w:sz w:val="20"/>
                <w:lang w:eastAsia="en-GB"/>
              </w:rPr>
              <w:t>rogression</w:t>
            </w:r>
          </w:p>
        </w:tc>
        <w:tc>
          <w:tcPr>
            <w:tcW w:w="403"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0C7241A1" w14:textId="415269E3" w:rsidR="00DF4D4A" w:rsidRPr="00B959B2" w:rsidRDefault="00945035" w:rsidP="00373D94">
            <w:pPr>
              <w:jc w:val="center"/>
              <w:rPr>
                <w:b/>
                <w:color w:val="FFFFFF" w:themeColor="background1"/>
                <w:sz w:val="20"/>
                <w:lang w:eastAsia="en-GB"/>
              </w:rPr>
            </w:pPr>
            <w:r w:rsidRPr="00B959B2">
              <w:rPr>
                <w:b/>
                <w:color w:val="FFFFFF" w:themeColor="background1"/>
                <w:sz w:val="20"/>
                <w:lang w:eastAsia="en-GB"/>
              </w:rPr>
              <w:t xml:space="preserve">Total </w:t>
            </w:r>
            <w:r w:rsidR="002C4CA4" w:rsidRPr="00B959B2">
              <w:rPr>
                <w:b/>
                <w:color w:val="FFFFFF" w:themeColor="background1"/>
                <w:sz w:val="20"/>
                <w:lang w:eastAsia="en-GB"/>
              </w:rPr>
              <w:t>n</w:t>
            </w:r>
            <w:r w:rsidRPr="00B959B2">
              <w:rPr>
                <w:b/>
                <w:color w:val="FFFFFF" w:themeColor="background1"/>
                <w:sz w:val="20"/>
                <w:lang w:eastAsia="en-GB"/>
              </w:rPr>
              <w:t>umber</w:t>
            </w:r>
          </w:p>
          <w:p w14:paraId="541E1EA6" w14:textId="164C71DE" w:rsidR="00945035" w:rsidRPr="00B959B2" w:rsidRDefault="00945035" w:rsidP="00373D94">
            <w:pPr>
              <w:jc w:val="center"/>
              <w:rPr>
                <w:b/>
                <w:color w:val="FFFFFF" w:themeColor="background1"/>
                <w:sz w:val="20"/>
                <w:lang w:eastAsia="en-GB"/>
              </w:rPr>
            </w:pPr>
            <w:r w:rsidRPr="00B959B2">
              <w:rPr>
                <w:b/>
                <w:color w:val="FFFFFF" w:themeColor="background1"/>
                <w:sz w:val="20"/>
                <w:lang w:eastAsia="en-GB"/>
              </w:rPr>
              <w:t>to HE</w:t>
            </w:r>
          </w:p>
        </w:tc>
        <w:tc>
          <w:tcPr>
            <w:tcW w:w="362"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21446EAA" w14:textId="77777777" w:rsidR="002C4CA4" w:rsidRPr="00B959B2" w:rsidRDefault="00945035" w:rsidP="00373D94">
            <w:pPr>
              <w:jc w:val="center"/>
              <w:rPr>
                <w:b/>
                <w:color w:val="FFFFFF" w:themeColor="background1"/>
                <w:sz w:val="20"/>
                <w:lang w:eastAsia="en-GB"/>
              </w:rPr>
            </w:pPr>
            <w:r w:rsidRPr="00B959B2">
              <w:rPr>
                <w:b/>
                <w:color w:val="FFFFFF" w:themeColor="background1"/>
                <w:sz w:val="20"/>
                <w:lang w:eastAsia="en-GB"/>
              </w:rPr>
              <w:t xml:space="preserve">% </w:t>
            </w:r>
            <w:r w:rsidR="002C4CA4" w:rsidRPr="00B959B2">
              <w:rPr>
                <w:b/>
                <w:color w:val="FFFFFF" w:themeColor="background1"/>
                <w:sz w:val="20"/>
                <w:lang w:eastAsia="en-GB"/>
              </w:rPr>
              <w:t>Total 5 year</w:t>
            </w:r>
          </w:p>
          <w:p w14:paraId="228A9B20" w14:textId="251A7B86" w:rsidR="00945035" w:rsidRPr="00B959B2" w:rsidRDefault="00945035" w:rsidP="00373D94">
            <w:pPr>
              <w:jc w:val="center"/>
              <w:rPr>
                <w:b/>
                <w:color w:val="FFFFFF" w:themeColor="background1"/>
                <w:sz w:val="20"/>
                <w:lang w:eastAsia="en-GB"/>
              </w:rPr>
            </w:pPr>
            <w:r w:rsidRPr="00B959B2">
              <w:rPr>
                <w:b/>
                <w:color w:val="FFFFFF" w:themeColor="background1"/>
                <w:sz w:val="20"/>
                <w:lang w:eastAsia="en-GB"/>
              </w:rPr>
              <w:t xml:space="preserve">HE </w:t>
            </w:r>
            <w:r w:rsidR="00373D94" w:rsidRPr="00B959B2">
              <w:rPr>
                <w:b/>
                <w:color w:val="FFFFFF" w:themeColor="background1"/>
                <w:sz w:val="20"/>
                <w:lang w:eastAsia="en-GB"/>
              </w:rPr>
              <w:t>p</w:t>
            </w:r>
            <w:r w:rsidRPr="00B959B2">
              <w:rPr>
                <w:b/>
                <w:color w:val="FFFFFF" w:themeColor="background1"/>
                <w:sz w:val="20"/>
                <w:lang w:eastAsia="en-GB"/>
              </w:rPr>
              <w:t>rogression</w:t>
            </w:r>
          </w:p>
        </w:tc>
        <w:tc>
          <w:tcPr>
            <w:tcW w:w="239" w:type="pct"/>
            <w:tcBorders>
              <w:top w:val="nil"/>
              <w:left w:val="nil"/>
              <w:bottom w:val="single" w:sz="4" w:space="0" w:color="auto"/>
              <w:right w:val="single" w:sz="4" w:space="0" w:color="auto"/>
            </w:tcBorders>
            <w:shd w:val="clear" w:color="auto" w:fill="1F4E79" w:themeFill="accent1" w:themeFillShade="80"/>
            <w:textDirection w:val="btLr"/>
            <w:vAlign w:val="center"/>
            <w:hideMark/>
          </w:tcPr>
          <w:p w14:paraId="3A6DE5C7" w14:textId="3D3827E0" w:rsidR="00945035" w:rsidRPr="00B959B2" w:rsidRDefault="00373D94" w:rsidP="00373D94">
            <w:pPr>
              <w:jc w:val="center"/>
              <w:rPr>
                <w:b/>
                <w:color w:val="FFFFFF" w:themeColor="background1"/>
                <w:sz w:val="20"/>
                <w:lang w:eastAsia="en-GB"/>
              </w:rPr>
            </w:pPr>
            <w:r w:rsidRPr="00B959B2">
              <w:rPr>
                <w:b/>
                <w:color w:val="FFFFFF" w:themeColor="background1"/>
                <w:sz w:val="20"/>
                <w:lang w:eastAsia="en-GB"/>
              </w:rPr>
              <w:t>Y</w:t>
            </w:r>
            <w:r w:rsidR="00945035" w:rsidRPr="00B959B2">
              <w:rPr>
                <w:b/>
                <w:color w:val="FFFFFF" w:themeColor="background1"/>
                <w:sz w:val="20"/>
                <w:lang w:eastAsia="en-GB"/>
              </w:rPr>
              <w:t>ears tracked</w:t>
            </w:r>
          </w:p>
        </w:tc>
      </w:tr>
      <w:tr w:rsidR="00373D94" w:rsidRPr="00A52AEE" w14:paraId="5EEC191B" w14:textId="77777777" w:rsidTr="00B959B2">
        <w:trPr>
          <w:trHeight w:val="300"/>
        </w:trPr>
        <w:tc>
          <w:tcPr>
            <w:tcW w:w="259" w:type="pct"/>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14:paraId="2D8546BD" w14:textId="5956464C" w:rsidR="00945035" w:rsidRPr="00B959B2" w:rsidRDefault="00945035" w:rsidP="00B959B2">
            <w:pPr>
              <w:jc w:val="center"/>
              <w:rPr>
                <w:b/>
                <w:lang w:eastAsia="en-GB"/>
              </w:rPr>
            </w:pPr>
            <w:r w:rsidRPr="00B959B2">
              <w:rPr>
                <w:b/>
                <w:lang w:eastAsia="en-GB"/>
              </w:rPr>
              <w:t>2007/08</w:t>
            </w: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6CF7922E" w14:textId="05426CB2" w:rsidR="00945035" w:rsidRPr="00373D94" w:rsidRDefault="00373D94" w:rsidP="00A52AEE">
            <w:pPr>
              <w:rPr>
                <w:sz w:val="20"/>
                <w:lang w:eastAsia="en-GB"/>
              </w:rPr>
            </w:pPr>
            <w:r w:rsidRPr="00373D94">
              <w:rPr>
                <w:sz w:val="20"/>
                <w:lang w:eastAsia="en-GB"/>
              </w:rPr>
              <w:t>17-19</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70AFE086" w14:textId="77777777" w:rsidR="00945035" w:rsidRPr="00373D94" w:rsidRDefault="00945035" w:rsidP="009A2373">
            <w:pPr>
              <w:jc w:val="right"/>
              <w:rPr>
                <w:sz w:val="20"/>
                <w:lang w:eastAsia="en-GB"/>
              </w:rPr>
            </w:pPr>
            <w:r w:rsidRPr="00373D94">
              <w:rPr>
                <w:sz w:val="20"/>
                <w:lang w:eastAsia="en-GB"/>
              </w:rPr>
              <w:t>21665</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26457196" w14:textId="77777777" w:rsidR="00945035" w:rsidRPr="00373D94" w:rsidRDefault="00945035" w:rsidP="009A2373">
            <w:pPr>
              <w:jc w:val="right"/>
              <w:rPr>
                <w:sz w:val="20"/>
                <w:lang w:eastAsia="en-GB"/>
              </w:rPr>
            </w:pPr>
            <w:r w:rsidRPr="00373D94">
              <w:rPr>
                <w:sz w:val="20"/>
                <w:lang w:eastAsia="en-GB"/>
              </w:rPr>
              <w:t>13425</w:t>
            </w: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5123598A" w14:textId="77777777" w:rsidR="00945035" w:rsidRPr="00373D94" w:rsidRDefault="00945035" w:rsidP="009A2373">
            <w:pPr>
              <w:jc w:val="right"/>
              <w:rPr>
                <w:sz w:val="20"/>
                <w:lang w:eastAsia="en-GB"/>
              </w:rPr>
            </w:pPr>
            <w:r w:rsidRPr="00373D94">
              <w:rPr>
                <w:sz w:val="20"/>
                <w:lang w:eastAsia="en-GB"/>
              </w:rPr>
              <w:t>2070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542ED900" w14:textId="77777777" w:rsidR="00945035" w:rsidRPr="00373D94" w:rsidRDefault="00945035" w:rsidP="009A2373">
            <w:pPr>
              <w:jc w:val="right"/>
              <w:rPr>
                <w:sz w:val="20"/>
                <w:lang w:eastAsia="en-GB"/>
              </w:rPr>
            </w:pPr>
            <w:r w:rsidRPr="00373D94">
              <w:rPr>
                <w:sz w:val="20"/>
                <w:lang w:eastAsia="en-GB"/>
              </w:rPr>
              <w:t>490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2447B4FC" w14:textId="77777777" w:rsidR="00945035" w:rsidRPr="00373D94" w:rsidRDefault="00945035" w:rsidP="009A2373">
            <w:pPr>
              <w:jc w:val="right"/>
              <w:rPr>
                <w:sz w:val="20"/>
                <w:lang w:eastAsia="en-GB"/>
              </w:rPr>
            </w:pPr>
            <w:r w:rsidRPr="00373D94">
              <w:rPr>
                <w:sz w:val="20"/>
                <w:lang w:eastAsia="en-GB"/>
              </w:rPr>
              <w:t>195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DF6F52C" w14:textId="77777777" w:rsidR="00945035" w:rsidRPr="00373D94" w:rsidRDefault="00945035" w:rsidP="009A2373">
            <w:pPr>
              <w:jc w:val="right"/>
              <w:rPr>
                <w:sz w:val="20"/>
                <w:lang w:eastAsia="en-GB"/>
              </w:rPr>
            </w:pPr>
            <w:r w:rsidRPr="00373D94">
              <w:rPr>
                <w:sz w:val="20"/>
                <w:lang w:eastAsia="en-GB"/>
              </w:rPr>
              <w:t>140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62879B8" w14:textId="77777777" w:rsidR="00945035" w:rsidRPr="00373D94" w:rsidRDefault="00945035" w:rsidP="009A2373">
            <w:pPr>
              <w:jc w:val="right"/>
              <w:rPr>
                <w:sz w:val="20"/>
                <w:lang w:eastAsia="en-GB"/>
              </w:rPr>
            </w:pPr>
            <w:r w:rsidRPr="00373D94">
              <w:rPr>
                <w:sz w:val="20"/>
                <w:lang w:eastAsia="en-GB"/>
              </w:rPr>
              <w:t>13425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49D24E80" w14:textId="77777777" w:rsidR="00945035" w:rsidRPr="00373D94" w:rsidRDefault="00945035" w:rsidP="009A2373">
            <w:pPr>
              <w:jc w:val="right"/>
              <w:rPr>
                <w:sz w:val="20"/>
                <w:lang w:eastAsia="en-GB"/>
              </w:rPr>
            </w:pPr>
            <w:r w:rsidRPr="00373D94">
              <w:rPr>
                <w:sz w:val="20"/>
                <w:lang w:eastAsia="en-GB"/>
              </w:rPr>
              <w:t>62%</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241A695B" w14:textId="77777777" w:rsidR="00945035" w:rsidRPr="00373D94" w:rsidRDefault="00945035" w:rsidP="009A2373">
            <w:pPr>
              <w:jc w:val="right"/>
              <w:rPr>
                <w:sz w:val="20"/>
                <w:lang w:eastAsia="en-GB"/>
              </w:rPr>
            </w:pPr>
            <w:r w:rsidRPr="00373D94">
              <w:rPr>
                <w:sz w:val="20"/>
                <w:lang w:eastAsia="en-GB"/>
              </w:rPr>
              <w:t>16320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24488E45" w14:textId="77777777" w:rsidR="00945035" w:rsidRPr="00373D94" w:rsidRDefault="00945035" w:rsidP="009A2373">
            <w:pPr>
              <w:jc w:val="right"/>
              <w:rPr>
                <w:sz w:val="20"/>
                <w:lang w:eastAsia="en-GB"/>
              </w:rPr>
            </w:pPr>
            <w:r w:rsidRPr="00373D94">
              <w:rPr>
                <w:sz w:val="20"/>
                <w:lang w:eastAsia="en-GB"/>
              </w:rPr>
              <w:t>75%</w:t>
            </w:r>
          </w:p>
        </w:tc>
        <w:tc>
          <w:tcPr>
            <w:tcW w:w="239"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E86A81D" w14:textId="77777777" w:rsidR="00945035" w:rsidRPr="00B959B2" w:rsidRDefault="00945035" w:rsidP="009A2373">
            <w:pPr>
              <w:jc w:val="right"/>
              <w:rPr>
                <w:b/>
                <w:lang w:eastAsia="en-GB"/>
              </w:rPr>
            </w:pPr>
            <w:r w:rsidRPr="00B959B2">
              <w:rPr>
                <w:b/>
                <w:lang w:eastAsia="en-GB"/>
              </w:rPr>
              <w:t>5</w:t>
            </w:r>
          </w:p>
        </w:tc>
      </w:tr>
      <w:tr w:rsidR="00373D94" w:rsidRPr="00A52AEE" w14:paraId="19A5A1BA"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28BFFF8" w14:textId="77777777" w:rsidR="00945035" w:rsidRPr="00B959B2" w:rsidRDefault="00945035"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6FE79ACB" w14:textId="77777777" w:rsidR="00945035" w:rsidRPr="00373D94" w:rsidRDefault="00945035" w:rsidP="00A52AEE">
            <w:pPr>
              <w:rPr>
                <w:sz w:val="20"/>
                <w:lang w:eastAsia="en-GB"/>
              </w:rPr>
            </w:pPr>
            <w:r w:rsidRPr="00373D94">
              <w:rPr>
                <w:sz w:val="20"/>
                <w:lang w:eastAsia="en-GB"/>
              </w:rPr>
              <w:t>20-24</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32A4573" w14:textId="77777777" w:rsidR="00945035" w:rsidRPr="00373D94" w:rsidRDefault="00945035" w:rsidP="009A2373">
            <w:pPr>
              <w:jc w:val="right"/>
              <w:rPr>
                <w:sz w:val="20"/>
                <w:lang w:eastAsia="en-GB"/>
              </w:rPr>
            </w:pPr>
            <w:r w:rsidRPr="00373D94">
              <w:rPr>
                <w:sz w:val="20"/>
                <w:lang w:eastAsia="en-GB"/>
              </w:rPr>
              <w:t>4910</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27B70F3E" w14:textId="77777777" w:rsidR="00945035" w:rsidRPr="00373D94" w:rsidRDefault="00945035" w:rsidP="009A2373">
            <w:pPr>
              <w:jc w:val="right"/>
              <w:rPr>
                <w:sz w:val="20"/>
                <w:lang w:eastAsia="en-GB"/>
              </w:rPr>
            </w:pPr>
            <w:r w:rsidRPr="00373D94">
              <w:rPr>
                <w:sz w:val="20"/>
                <w:lang w:eastAsia="en-GB"/>
              </w:rPr>
              <w:t>1970</w:t>
            </w: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34D0756C" w14:textId="77777777" w:rsidR="00945035" w:rsidRPr="00373D94" w:rsidRDefault="00945035" w:rsidP="009A2373">
            <w:pPr>
              <w:jc w:val="right"/>
              <w:rPr>
                <w:sz w:val="20"/>
                <w:lang w:eastAsia="en-GB"/>
              </w:rPr>
            </w:pPr>
            <w:r w:rsidRPr="00373D94">
              <w:rPr>
                <w:sz w:val="20"/>
                <w:lang w:eastAsia="en-GB"/>
              </w:rPr>
              <w:t>335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C35770B" w14:textId="77777777" w:rsidR="00945035" w:rsidRPr="00373D94" w:rsidRDefault="00945035" w:rsidP="009A2373">
            <w:pPr>
              <w:jc w:val="right"/>
              <w:rPr>
                <w:sz w:val="20"/>
                <w:lang w:eastAsia="en-GB"/>
              </w:rPr>
            </w:pPr>
            <w:r w:rsidRPr="00373D94">
              <w:rPr>
                <w:sz w:val="20"/>
                <w:lang w:eastAsia="en-GB"/>
              </w:rPr>
              <w:t>160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6A24AD6C" w14:textId="77777777" w:rsidR="00945035" w:rsidRPr="00373D94" w:rsidRDefault="00945035" w:rsidP="009A2373">
            <w:pPr>
              <w:jc w:val="right"/>
              <w:rPr>
                <w:sz w:val="20"/>
                <w:lang w:eastAsia="en-GB"/>
              </w:rPr>
            </w:pPr>
            <w:r w:rsidRPr="00373D94">
              <w:rPr>
                <w:sz w:val="20"/>
                <w:lang w:eastAsia="en-GB"/>
              </w:rPr>
              <w:t>75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C1DEC91" w14:textId="77777777" w:rsidR="00945035" w:rsidRPr="00373D94" w:rsidRDefault="00945035" w:rsidP="009A2373">
            <w:pPr>
              <w:jc w:val="right"/>
              <w:rPr>
                <w:sz w:val="20"/>
                <w:lang w:eastAsia="en-GB"/>
              </w:rPr>
            </w:pPr>
            <w:r w:rsidRPr="00373D94">
              <w:rPr>
                <w:sz w:val="20"/>
                <w:lang w:eastAsia="en-GB"/>
              </w:rPr>
              <w:t>55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43093278" w14:textId="77777777" w:rsidR="00945035" w:rsidRPr="00373D94" w:rsidRDefault="00945035" w:rsidP="009A2373">
            <w:pPr>
              <w:jc w:val="right"/>
              <w:rPr>
                <w:sz w:val="20"/>
                <w:lang w:eastAsia="en-GB"/>
              </w:rPr>
            </w:pPr>
            <w:r w:rsidRPr="00373D94">
              <w:rPr>
                <w:sz w:val="20"/>
                <w:lang w:eastAsia="en-GB"/>
              </w:rPr>
              <w:t>1970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52E1FD7C" w14:textId="77777777" w:rsidR="00945035" w:rsidRPr="00373D94" w:rsidRDefault="00945035" w:rsidP="009A2373">
            <w:pPr>
              <w:jc w:val="right"/>
              <w:rPr>
                <w:sz w:val="20"/>
                <w:lang w:eastAsia="en-GB"/>
              </w:rPr>
            </w:pPr>
            <w:r w:rsidRPr="00373D94">
              <w:rPr>
                <w:sz w:val="20"/>
                <w:lang w:eastAsia="en-GB"/>
              </w:rPr>
              <w:t>40%</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42C65A5C" w14:textId="467796ED" w:rsidR="00945035" w:rsidRPr="00373D94" w:rsidRDefault="00BE09C2" w:rsidP="009A2373">
            <w:pPr>
              <w:jc w:val="right"/>
              <w:rPr>
                <w:sz w:val="20"/>
                <w:lang w:eastAsia="en-GB"/>
              </w:rPr>
            </w:pPr>
            <w:r>
              <w:rPr>
                <w:sz w:val="20"/>
                <w:lang w:eastAsia="en-GB"/>
              </w:rPr>
              <w:t>2595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E854CDE" w14:textId="77777777" w:rsidR="00945035" w:rsidRPr="00373D94" w:rsidRDefault="00945035" w:rsidP="009A2373">
            <w:pPr>
              <w:jc w:val="right"/>
              <w:rPr>
                <w:sz w:val="20"/>
                <w:lang w:eastAsia="en-GB"/>
              </w:rPr>
            </w:pPr>
            <w:r w:rsidRPr="00373D94">
              <w:rPr>
                <w:sz w:val="20"/>
                <w:lang w:eastAsia="en-GB"/>
              </w:rPr>
              <w:t>53%</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AE2CB7E" w14:textId="77777777" w:rsidR="00945035" w:rsidRPr="00A52AEE" w:rsidRDefault="00945035" w:rsidP="009A2373">
            <w:pPr>
              <w:jc w:val="right"/>
              <w:rPr>
                <w:lang w:eastAsia="en-GB"/>
              </w:rPr>
            </w:pPr>
          </w:p>
        </w:tc>
      </w:tr>
      <w:tr w:rsidR="00373D94" w:rsidRPr="00A52AEE" w14:paraId="760844D2"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23A2747" w14:textId="77777777" w:rsidR="00945035" w:rsidRPr="00B959B2" w:rsidRDefault="00945035"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0C0185F2" w14:textId="1D58B163" w:rsidR="00945035" w:rsidRPr="00373D94" w:rsidRDefault="00373D94" w:rsidP="00A52AEE">
            <w:pPr>
              <w:rPr>
                <w:sz w:val="20"/>
                <w:lang w:eastAsia="en-GB"/>
              </w:rPr>
            </w:pPr>
            <w:r w:rsidRPr="00373D94">
              <w:rPr>
                <w:sz w:val="20"/>
                <w:lang w:eastAsia="en-GB"/>
              </w:rPr>
              <w:t>25+</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317C3C68" w14:textId="77777777" w:rsidR="00945035" w:rsidRPr="00373D94" w:rsidRDefault="00945035" w:rsidP="009A2373">
            <w:pPr>
              <w:jc w:val="right"/>
              <w:rPr>
                <w:sz w:val="20"/>
                <w:lang w:eastAsia="en-GB"/>
              </w:rPr>
            </w:pPr>
            <w:r w:rsidRPr="00373D94">
              <w:rPr>
                <w:sz w:val="20"/>
                <w:lang w:eastAsia="en-GB"/>
              </w:rPr>
              <w:t>15485</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062621B1" w14:textId="77777777" w:rsidR="00945035" w:rsidRPr="00373D94" w:rsidRDefault="00945035" w:rsidP="009A2373">
            <w:pPr>
              <w:jc w:val="right"/>
              <w:rPr>
                <w:sz w:val="20"/>
                <w:lang w:eastAsia="en-GB"/>
              </w:rPr>
            </w:pPr>
            <w:r w:rsidRPr="00373D94">
              <w:rPr>
                <w:sz w:val="20"/>
                <w:lang w:eastAsia="en-GB"/>
              </w:rPr>
              <w:t>2315</w:t>
            </w: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7FE72534" w14:textId="77777777" w:rsidR="00945035" w:rsidRPr="00373D94" w:rsidRDefault="00945035" w:rsidP="009A2373">
            <w:pPr>
              <w:jc w:val="right"/>
              <w:rPr>
                <w:sz w:val="20"/>
                <w:lang w:eastAsia="en-GB"/>
              </w:rPr>
            </w:pPr>
            <w:r w:rsidRPr="00373D94">
              <w:rPr>
                <w:sz w:val="20"/>
                <w:lang w:eastAsia="en-GB"/>
              </w:rPr>
              <w:t>955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18B304A" w14:textId="77777777" w:rsidR="00945035" w:rsidRPr="00373D94" w:rsidRDefault="00945035" w:rsidP="009A2373">
            <w:pPr>
              <w:jc w:val="right"/>
              <w:rPr>
                <w:sz w:val="20"/>
                <w:lang w:eastAsia="en-GB"/>
              </w:rPr>
            </w:pPr>
            <w:r w:rsidRPr="00373D94">
              <w:rPr>
                <w:sz w:val="20"/>
                <w:lang w:eastAsia="en-GB"/>
              </w:rPr>
              <w:t>525</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33C87ACC" w14:textId="77777777" w:rsidR="00945035" w:rsidRPr="00373D94" w:rsidRDefault="00945035" w:rsidP="009A2373">
            <w:pPr>
              <w:jc w:val="right"/>
              <w:rPr>
                <w:sz w:val="20"/>
                <w:lang w:eastAsia="en-GB"/>
              </w:rPr>
            </w:pPr>
            <w:r w:rsidRPr="00373D94">
              <w:rPr>
                <w:sz w:val="20"/>
                <w:lang w:eastAsia="en-GB"/>
              </w:rPr>
              <w:t>295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D1BBDE0" w14:textId="77777777" w:rsidR="00945035" w:rsidRPr="00373D94" w:rsidRDefault="00945035" w:rsidP="009A2373">
            <w:pPr>
              <w:jc w:val="right"/>
              <w:rPr>
                <w:sz w:val="20"/>
                <w:lang w:eastAsia="en-GB"/>
              </w:rPr>
            </w:pPr>
            <w:r w:rsidRPr="00373D94">
              <w:rPr>
                <w:sz w:val="20"/>
                <w:lang w:eastAsia="en-GB"/>
              </w:rPr>
              <w:t>310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C500515" w14:textId="77777777" w:rsidR="00945035" w:rsidRPr="00373D94" w:rsidRDefault="00945035" w:rsidP="009A2373">
            <w:pPr>
              <w:jc w:val="right"/>
              <w:rPr>
                <w:sz w:val="20"/>
                <w:lang w:eastAsia="en-GB"/>
              </w:rPr>
            </w:pPr>
            <w:r w:rsidRPr="00373D94">
              <w:rPr>
                <w:sz w:val="20"/>
                <w:lang w:eastAsia="en-GB"/>
              </w:rPr>
              <w:t>2315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44DFADC7" w14:textId="77777777" w:rsidR="00945035" w:rsidRPr="00373D94" w:rsidRDefault="00945035" w:rsidP="009A2373">
            <w:pPr>
              <w:jc w:val="right"/>
              <w:rPr>
                <w:sz w:val="20"/>
                <w:lang w:eastAsia="en-GB"/>
              </w:rPr>
            </w:pPr>
            <w:r w:rsidRPr="00373D94">
              <w:rPr>
                <w:sz w:val="20"/>
                <w:lang w:eastAsia="en-GB"/>
              </w:rPr>
              <w:t>15%</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541A7924" w14:textId="5054C747" w:rsidR="00945035" w:rsidRPr="00373D94" w:rsidRDefault="00BE09C2" w:rsidP="009A2373">
            <w:pPr>
              <w:jc w:val="right"/>
              <w:rPr>
                <w:sz w:val="20"/>
                <w:lang w:eastAsia="en-GB"/>
              </w:rPr>
            </w:pPr>
            <w:r>
              <w:rPr>
                <w:sz w:val="20"/>
                <w:lang w:eastAsia="en-GB"/>
              </w:rPr>
              <w:t>4400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16A64FB8" w14:textId="77777777" w:rsidR="00945035" w:rsidRPr="00373D94" w:rsidRDefault="00945035" w:rsidP="009A2373">
            <w:pPr>
              <w:jc w:val="right"/>
              <w:rPr>
                <w:sz w:val="20"/>
                <w:lang w:eastAsia="en-GB"/>
              </w:rPr>
            </w:pPr>
            <w:r w:rsidRPr="00373D94">
              <w:rPr>
                <w:sz w:val="20"/>
                <w:lang w:eastAsia="en-GB"/>
              </w:rPr>
              <w:t>28%</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54D0011" w14:textId="77777777" w:rsidR="00945035" w:rsidRPr="00A52AEE" w:rsidRDefault="00945035" w:rsidP="009A2373">
            <w:pPr>
              <w:jc w:val="right"/>
              <w:rPr>
                <w:lang w:eastAsia="en-GB"/>
              </w:rPr>
            </w:pPr>
          </w:p>
        </w:tc>
      </w:tr>
      <w:tr w:rsidR="00373D94" w:rsidRPr="00A52AEE" w14:paraId="313FF025"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645126B" w14:textId="77777777" w:rsidR="00945035" w:rsidRPr="00B959B2" w:rsidRDefault="00945035"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12E05C87" w14:textId="77777777" w:rsidR="00945035" w:rsidRPr="00373D94" w:rsidRDefault="00945035" w:rsidP="00A52AEE">
            <w:pPr>
              <w:rPr>
                <w:sz w:val="20"/>
                <w:lang w:eastAsia="en-GB"/>
              </w:rPr>
            </w:pPr>
            <w:r w:rsidRPr="00373D94">
              <w:rPr>
                <w:sz w:val="20"/>
                <w:lang w:eastAsia="en-GB"/>
              </w:rPr>
              <w:t>Total</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444A6FB9" w14:textId="77777777" w:rsidR="00945035" w:rsidRPr="00373D94" w:rsidRDefault="00945035" w:rsidP="009A2373">
            <w:pPr>
              <w:jc w:val="right"/>
              <w:rPr>
                <w:sz w:val="20"/>
                <w:lang w:eastAsia="en-GB"/>
              </w:rPr>
            </w:pPr>
            <w:r w:rsidRPr="00373D94">
              <w:rPr>
                <w:sz w:val="20"/>
                <w:lang w:eastAsia="en-GB"/>
              </w:rPr>
              <w:t>42060</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76ACED63" w14:textId="77777777" w:rsidR="00945035" w:rsidRPr="00373D94" w:rsidRDefault="00945035" w:rsidP="009A2373">
            <w:pPr>
              <w:jc w:val="right"/>
              <w:rPr>
                <w:sz w:val="20"/>
                <w:lang w:eastAsia="en-GB"/>
              </w:rPr>
            </w:pPr>
            <w:r w:rsidRPr="00373D94">
              <w:rPr>
                <w:sz w:val="20"/>
                <w:lang w:eastAsia="en-GB"/>
              </w:rPr>
              <w:t>17715</w:t>
            </w: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631BDF5B" w14:textId="77777777" w:rsidR="00945035" w:rsidRPr="00373D94" w:rsidRDefault="00945035" w:rsidP="009A2373">
            <w:pPr>
              <w:jc w:val="right"/>
              <w:rPr>
                <w:sz w:val="20"/>
                <w:lang w:eastAsia="en-GB"/>
              </w:rPr>
            </w:pPr>
            <w:r w:rsidRPr="00373D94">
              <w:rPr>
                <w:sz w:val="20"/>
                <w:lang w:eastAsia="en-GB"/>
              </w:rPr>
              <w:t>3365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F549195" w14:textId="77777777" w:rsidR="00945035" w:rsidRPr="00373D94" w:rsidRDefault="00945035" w:rsidP="009A2373">
            <w:pPr>
              <w:jc w:val="right"/>
              <w:rPr>
                <w:sz w:val="20"/>
                <w:lang w:eastAsia="en-GB"/>
              </w:rPr>
            </w:pPr>
            <w:r w:rsidRPr="00373D94">
              <w:rPr>
                <w:sz w:val="20"/>
                <w:lang w:eastAsia="en-GB"/>
              </w:rPr>
              <w:t>1175</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2A61CDB5" w14:textId="77777777" w:rsidR="00945035" w:rsidRPr="00373D94" w:rsidRDefault="00945035" w:rsidP="009A2373">
            <w:pPr>
              <w:jc w:val="right"/>
              <w:rPr>
                <w:sz w:val="20"/>
                <w:lang w:eastAsia="en-GB"/>
              </w:rPr>
            </w:pPr>
            <w:r w:rsidRPr="00373D94">
              <w:rPr>
                <w:sz w:val="20"/>
                <w:lang w:eastAsia="en-GB"/>
              </w:rPr>
              <w:t>565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51D64A9" w14:textId="77777777" w:rsidR="00945035" w:rsidRPr="00373D94" w:rsidRDefault="00945035" w:rsidP="009A2373">
            <w:pPr>
              <w:jc w:val="right"/>
              <w:rPr>
                <w:sz w:val="20"/>
                <w:lang w:eastAsia="en-GB"/>
              </w:rPr>
            </w:pPr>
            <w:r w:rsidRPr="00373D94">
              <w:rPr>
                <w:sz w:val="20"/>
                <w:lang w:eastAsia="en-GB"/>
              </w:rPr>
              <w:t>505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53AB5AF2" w14:textId="77777777" w:rsidR="00945035" w:rsidRPr="00373D94" w:rsidRDefault="00945035" w:rsidP="009A2373">
            <w:pPr>
              <w:jc w:val="right"/>
              <w:rPr>
                <w:sz w:val="20"/>
                <w:lang w:eastAsia="en-GB"/>
              </w:rPr>
            </w:pPr>
            <w:r w:rsidRPr="00373D94">
              <w:rPr>
                <w:sz w:val="20"/>
                <w:lang w:eastAsia="en-GB"/>
              </w:rPr>
              <w:t>17715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6FCCCE8D" w14:textId="77777777" w:rsidR="00945035" w:rsidRPr="00373D94" w:rsidRDefault="00945035" w:rsidP="009A2373">
            <w:pPr>
              <w:jc w:val="right"/>
              <w:rPr>
                <w:sz w:val="20"/>
                <w:lang w:eastAsia="en-GB"/>
              </w:rPr>
            </w:pPr>
            <w:r w:rsidRPr="00373D94">
              <w:rPr>
                <w:sz w:val="20"/>
                <w:lang w:eastAsia="en-GB"/>
              </w:rPr>
              <w:t>42%</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1F1CF2DB" w14:textId="77777777" w:rsidR="00945035" w:rsidRPr="00373D94" w:rsidRDefault="00945035" w:rsidP="009A2373">
            <w:pPr>
              <w:jc w:val="right"/>
              <w:rPr>
                <w:sz w:val="20"/>
                <w:lang w:eastAsia="en-GB"/>
              </w:rPr>
            </w:pPr>
            <w:r w:rsidRPr="00373D94">
              <w:rPr>
                <w:sz w:val="20"/>
                <w:lang w:eastAsia="en-GB"/>
              </w:rPr>
              <w:t>23325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349D8A4F" w14:textId="77777777" w:rsidR="00945035" w:rsidRPr="00373D94" w:rsidRDefault="00945035" w:rsidP="009A2373">
            <w:pPr>
              <w:jc w:val="right"/>
              <w:rPr>
                <w:sz w:val="20"/>
                <w:lang w:eastAsia="en-GB"/>
              </w:rPr>
            </w:pPr>
            <w:r w:rsidRPr="00373D94">
              <w:rPr>
                <w:sz w:val="20"/>
                <w:lang w:eastAsia="en-GB"/>
              </w:rPr>
              <w:t>55%</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FCEDF" w14:textId="77777777" w:rsidR="00945035" w:rsidRPr="00A52AEE" w:rsidRDefault="00945035" w:rsidP="009A2373">
            <w:pPr>
              <w:jc w:val="right"/>
              <w:rPr>
                <w:lang w:eastAsia="en-GB"/>
              </w:rPr>
            </w:pPr>
          </w:p>
        </w:tc>
      </w:tr>
      <w:tr w:rsidR="00373D94" w:rsidRPr="00373D94" w14:paraId="5ABBEB9D" w14:textId="77777777" w:rsidTr="00B959B2">
        <w:trPr>
          <w:trHeight w:val="97"/>
        </w:trPr>
        <w:tc>
          <w:tcPr>
            <w:tcW w:w="25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69321877" w14:textId="77777777" w:rsidR="002C4CA4" w:rsidRPr="00B959B2" w:rsidRDefault="002C4CA4" w:rsidP="00B959B2">
            <w:pPr>
              <w:jc w:val="center"/>
              <w:rPr>
                <w:b/>
                <w:sz w:val="4"/>
                <w:lang w:eastAsia="en-GB"/>
              </w:rPr>
            </w:pPr>
          </w:p>
        </w:tc>
        <w:tc>
          <w:tcPr>
            <w:tcW w:w="379" w:type="pct"/>
            <w:tcBorders>
              <w:top w:val="nil"/>
              <w:left w:val="nil"/>
              <w:bottom w:val="single" w:sz="4" w:space="0" w:color="auto"/>
              <w:right w:val="single" w:sz="4" w:space="0" w:color="auto"/>
            </w:tcBorders>
            <w:shd w:val="clear" w:color="auto" w:fill="BDD6EE" w:themeFill="accent1" w:themeFillTint="66"/>
            <w:vAlign w:val="center"/>
          </w:tcPr>
          <w:p w14:paraId="41E16A5E" w14:textId="77777777" w:rsidR="002C4CA4" w:rsidRPr="00373D94" w:rsidRDefault="002C4CA4" w:rsidP="00A52AEE">
            <w:pPr>
              <w:rPr>
                <w:sz w:val="4"/>
                <w:lang w:eastAsia="en-GB"/>
              </w:rPr>
            </w:pPr>
          </w:p>
        </w:tc>
        <w:tc>
          <w:tcPr>
            <w:tcW w:w="434" w:type="pct"/>
            <w:tcBorders>
              <w:top w:val="nil"/>
              <w:left w:val="nil"/>
              <w:bottom w:val="single" w:sz="4" w:space="0" w:color="auto"/>
              <w:right w:val="single" w:sz="4" w:space="0" w:color="auto"/>
            </w:tcBorders>
            <w:shd w:val="clear" w:color="auto" w:fill="BDD6EE" w:themeFill="accent1" w:themeFillTint="66"/>
            <w:vAlign w:val="center"/>
          </w:tcPr>
          <w:p w14:paraId="7FBA6984" w14:textId="77777777" w:rsidR="002C4CA4" w:rsidRPr="00373D94" w:rsidRDefault="002C4CA4" w:rsidP="009A2373">
            <w:pPr>
              <w:jc w:val="right"/>
              <w:rPr>
                <w:sz w:val="4"/>
                <w:lang w:eastAsia="en-GB"/>
              </w:rPr>
            </w:pPr>
          </w:p>
        </w:tc>
        <w:tc>
          <w:tcPr>
            <w:tcW w:w="404" w:type="pct"/>
            <w:vMerge w:val="restart"/>
            <w:tcBorders>
              <w:top w:val="nil"/>
              <w:left w:val="nil"/>
              <w:right w:val="single" w:sz="4" w:space="0" w:color="auto"/>
            </w:tcBorders>
            <w:shd w:val="clear" w:color="auto" w:fill="BDD6EE" w:themeFill="accent1" w:themeFillTint="66"/>
            <w:noWrap/>
            <w:vAlign w:val="center"/>
          </w:tcPr>
          <w:p w14:paraId="2D6EF733" w14:textId="722C4843" w:rsidR="002C4CA4" w:rsidRPr="00373D94" w:rsidRDefault="002C4CA4" w:rsidP="009A2373">
            <w:pPr>
              <w:jc w:val="right"/>
              <w:rPr>
                <w:sz w:val="4"/>
                <w:lang w:eastAsia="en-GB"/>
              </w:rPr>
            </w:pPr>
            <w:r w:rsidRPr="00373D94">
              <w:rPr>
                <w:sz w:val="4"/>
                <w:lang w:eastAsia="en-GB"/>
              </w:rPr>
              <w:t> </w:t>
            </w:r>
          </w:p>
        </w:tc>
        <w:tc>
          <w:tcPr>
            <w:tcW w:w="391" w:type="pct"/>
            <w:tcBorders>
              <w:top w:val="nil"/>
              <w:left w:val="nil"/>
              <w:bottom w:val="single" w:sz="4" w:space="0" w:color="auto"/>
              <w:right w:val="single" w:sz="4" w:space="0" w:color="auto"/>
            </w:tcBorders>
            <w:shd w:val="clear" w:color="auto" w:fill="BDD6EE" w:themeFill="accent1" w:themeFillTint="66"/>
            <w:noWrap/>
            <w:vAlign w:val="center"/>
          </w:tcPr>
          <w:p w14:paraId="150E17F4"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58B99680" w14:textId="77777777" w:rsidR="002C4CA4" w:rsidRPr="00373D94" w:rsidRDefault="002C4CA4" w:rsidP="009A2373">
            <w:pPr>
              <w:jc w:val="right"/>
              <w:rPr>
                <w:sz w:val="4"/>
                <w:lang w:eastAsia="en-GB"/>
              </w:rPr>
            </w:pPr>
          </w:p>
        </w:tc>
        <w:tc>
          <w:tcPr>
            <w:tcW w:w="503" w:type="pct"/>
            <w:tcBorders>
              <w:top w:val="nil"/>
              <w:left w:val="nil"/>
              <w:bottom w:val="single" w:sz="4" w:space="0" w:color="auto"/>
              <w:right w:val="single" w:sz="4" w:space="0" w:color="auto"/>
            </w:tcBorders>
            <w:shd w:val="clear" w:color="auto" w:fill="BDD6EE" w:themeFill="accent1" w:themeFillTint="66"/>
            <w:noWrap/>
            <w:vAlign w:val="center"/>
          </w:tcPr>
          <w:p w14:paraId="62CF8271"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4DCC1000"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288EBFDF" w14:textId="77777777" w:rsidR="002C4CA4" w:rsidRPr="00373D94" w:rsidRDefault="002C4CA4" w:rsidP="009A2373">
            <w:pPr>
              <w:jc w:val="right"/>
              <w:rPr>
                <w:sz w:val="4"/>
                <w:lang w:eastAsia="en-GB"/>
              </w:rPr>
            </w:pPr>
          </w:p>
        </w:tc>
        <w:tc>
          <w:tcPr>
            <w:tcW w:w="321" w:type="pct"/>
            <w:tcBorders>
              <w:top w:val="nil"/>
              <w:left w:val="nil"/>
              <w:bottom w:val="single" w:sz="4" w:space="0" w:color="auto"/>
              <w:right w:val="single" w:sz="4" w:space="0" w:color="auto"/>
            </w:tcBorders>
            <w:shd w:val="clear" w:color="auto" w:fill="BDD6EE" w:themeFill="accent1" w:themeFillTint="66"/>
            <w:noWrap/>
            <w:vAlign w:val="center"/>
          </w:tcPr>
          <w:p w14:paraId="076388C2" w14:textId="77777777" w:rsidR="002C4CA4" w:rsidRPr="00373D94" w:rsidRDefault="002C4CA4" w:rsidP="009A2373">
            <w:pPr>
              <w:jc w:val="right"/>
              <w:rPr>
                <w:sz w:val="4"/>
                <w:lang w:eastAsia="en-GB"/>
              </w:rPr>
            </w:pPr>
          </w:p>
        </w:tc>
        <w:tc>
          <w:tcPr>
            <w:tcW w:w="403" w:type="pct"/>
            <w:tcBorders>
              <w:top w:val="nil"/>
              <w:left w:val="nil"/>
              <w:bottom w:val="single" w:sz="4" w:space="0" w:color="auto"/>
              <w:right w:val="single" w:sz="4" w:space="0" w:color="auto"/>
            </w:tcBorders>
            <w:shd w:val="clear" w:color="auto" w:fill="BDD6EE" w:themeFill="accent1" w:themeFillTint="66"/>
            <w:noWrap/>
            <w:vAlign w:val="center"/>
          </w:tcPr>
          <w:p w14:paraId="10823D8A" w14:textId="77777777" w:rsidR="002C4CA4" w:rsidRPr="00373D94" w:rsidRDefault="002C4CA4" w:rsidP="009A2373">
            <w:pPr>
              <w:jc w:val="right"/>
              <w:rPr>
                <w:sz w:val="4"/>
                <w:lang w:eastAsia="en-GB"/>
              </w:rPr>
            </w:pPr>
          </w:p>
        </w:tc>
        <w:tc>
          <w:tcPr>
            <w:tcW w:w="362" w:type="pct"/>
            <w:tcBorders>
              <w:top w:val="nil"/>
              <w:left w:val="nil"/>
              <w:bottom w:val="single" w:sz="4" w:space="0" w:color="auto"/>
              <w:right w:val="single" w:sz="4" w:space="0" w:color="auto"/>
            </w:tcBorders>
            <w:shd w:val="clear" w:color="auto" w:fill="BDD6EE" w:themeFill="accent1" w:themeFillTint="66"/>
            <w:noWrap/>
            <w:vAlign w:val="center"/>
          </w:tcPr>
          <w:p w14:paraId="6F7FA069" w14:textId="77777777" w:rsidR="002C4CA4" w:rsidRPr="00373D94" w:rsidRDefault="002C4CA4" w:rsidP="009A2373">
            <w:pPr>
              <w:jc w:val="right"/>
              <w:rPr>
                <w:sz w:val="4"/>
                <w:lang w:eastAsia="en-GB"/>
              </w:rPr>
            </w:pPr>
          </w:p>
        </w:tc>
        <w:tc>
          <w:tcPr>
            <w:tcW w:w="23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0E39CEB7" w14:textId="77777777" w:rsidR="002C4CA4" w:rsidRPr="00373D94" w:rsidRDefault="002C4CA4" w:rsidP="009A2373">
            <w:pPr>
              <w:jc w:val="right"/>
              <w:rPr>
                <w:sz w:val="4"/>
                <w:lang w:eastAsia="en-GB"/>
              </w:rPr>
            </w:pPr>
          </w:p>
        </w:tc>
      </w:tr>
      <w:tr w:rsidR="00373D94" w:rsidRPr="00A52AEE" w14:paraId="049FBC9D" w14:textId="77777777" w:rsidTr="00B959B2">
        <w:trPr>
          <w:trHeight w:val="300"/>
        </w:trPr>
        <w:tc>
          <w:tcPr>
            <w:tcW w:w="259" w:type="pct"/>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14:paraId="7CEC7894" w14:textId="77777777" w:rsidR="002C4CA4" w:rsidRPr="00B959B2" w:rsidRDefault="002C4CA4" w:rsidP="00B959B2">
            <w:pPr>
              <w:jc w:val="center"/>
              <w:rPr>
                <w:b/>
                <w:lang w:eastAsia="en-GB"/>
              </w:rPr>
            </w:pPr>
            <w:r w:rsidRPr="00B959B2">
              <w:rPr>
                <w:b/>
                <w:lang w:eastAsia="en-GB"/>
              </w:rPr>
              <w:t>2008/09</w:t>
            </w: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16DACE5D" w14:textId="0D63B22B" w:rsidR="002C4CA4" w:rsidRPr="00373D94" w:rsidRDefault="00373D94" w:rsidP="00A52AEE">
            <w:pPr>
              <w:rPr>
                <w:sz w:val="20"/>
                <w:lang w:eastAsia="en-GB"/>
              </w:rPr>
            </w:pPr>
            <w:r w:rsidRPr="00373D94">
              <w:rPr>
                <w:sz w:val="20"/>
                <w:lang w:eastAsia="en-GB"/>
              </w:rPr>
              <w:t>17-19</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632B7E5B" w14:textId="77777777" w:rsidR="002C4CA4" w:rsidRPr="00373D94" w:rsidRDefault="002C4CA4" w:rsidP="009A2373">
            <w:pPr>
              <w:jc w:val="right"/>
              <w:rPr>
                <w:sz w:val="20"/>
                <w:lang w:eastAsia="en-GB"/>
              </w:rPr>
            </w:pPr>
            <w:r w:rsidRPr="00373D94">
              <w:rPr>
                <w:sz w:val="20"/>
                <w:lang w:eastAsia="en-GB"/>
              </w:rPr>
              <w:t>21105</w:t>
            </w:r>
          </w:p>
        </w:tc>
        <w:tc>
          <w:tcPr>
            <w:tcW w:w="404" w:type="pct"/>
            <w:vMerge/>
            <w:tcBorders>
              <w:left w:val="single" w:sz="4" w:space="0" w:color="auto"/>
              <w:right w:val="single" w:sz="4" w:space="0" w:color="auto"/>
            </w:tcBorders>
            <w:shd w:val="clear" w:color="auto" w:fill="9CC2E5" w:themeFill="accent1" w:themeFillTint="99"/>
            <w:noWrap/>
            <w:vAlign w:val="center"/>
            <w:hideMark/>
          </w:tcPr>
          <w:p w14:paraId="169B4838" w14:textId="519C3F11" w:rsidR="002C4CA4" w:rsidRPr="00373D94" w:rsidRDefault="002C4CA4" w:rsidP="009A2373">
            <w:pPr>
              <w:jc w:val="right"/>
              <w:rPr>
                <w:sz w:val="20"/>
                <w:lang w:eastAsia="en-GB"/>
              </w:rPr>
            </w:pP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5E2E5A0B" w14:textId="77777777" w:rsidR="002C4CA4" w:rsidRPr="00373D94" w:rsidRDefault="002C4CA4" w:rsidP="009A2373">
            <w:pPr>
              <w:jc w:val="right"/>
              <w:rPr>
                <w:sz w:val="20"/>
                <w:lang w:eastAsia="en-GB"/>
              </w:rPr>
            </w:pPr>
            <w:r w:rsidRPr="00373D94">
              <w:rPr>
                <w:sz w:val="20"/>
                <w:lang w:eastAsia="en-GB"/>
              </w:rPr>
              <w:t>13010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3413FB3" w14:textId="77777777" w:rsidR="002C4CA4" w:rsidRPr="00373D94" w:rsidRDefault="002C4CA4" w:rsidP="009A2373">
            <w:pPr>
              <w:jc w:val="right"/>
              <w:rPr>
                <w:sz w:val="20"/>
                <w:lang w:eastAsia="en-GB"/>
              </w:rPr>
            </w:pPr>
            <w:r w:rsidRPr="00373D94">
              <w:rPr>
                <w:sz w:val="20"/>
                <w:lang w:eastAsia="en-GB"/>
              </w:rPr>
              <w:t>2105</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6935787D" w14:textId="77777777" w:rsidR="002C4CA4" w:rsidRPr="00373D94" w:rsidRDefault="002C4CA4" w:rsidP="009A2373">
            <w:pPr>
              <w:jc w:val="right"/>
              <w:rPr>
                <w:sz w:val="20"/>
                <w:lang w:eastAsia="en-GB"/>
              </w:rPr>
            </w:pPr>
            <w:r w:rsidRPr="00373D94">
              <w:rPr>
                <w:sz w:val="20"/>
                <w:lang w:eastAsia="en-GB"/>
              </w:rPr>
              <w:t>500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435C31AC" w14:textId="77777777" w:rsidR="002C4CA4" w:rsidRPr="00373D94" w:rsidRDefault="002C4CA4" w:rsidP="009A2373">
            <w:pPr>
              <w:jc w:val="right"/>
              <w:rPr>
                <w:sz w:val="20"/>
                <w:lang w:eastAsia="en-GB"/>
              </w:rPr>
            </w:pPr>
            <w:r w:rsidRPr="00373D94">
              <w:rPr>
                <w:sz w:val="20"/>
                <w:lang w:eastAsia="en-GB"/>
              </w:rPr>
              <w:t>205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42EA5A4B" w14:textId="77777777" w:rsidR="002C4CA4" w:rsidRPr="00373D94" w:rsidRDefault="002C4CA4" w:rsidP="009A2373">
            <w:pPr>
              <w:jc w:val="right"/>
              <w:rPr>
                <w:sz w:val="20"/>
                <w:lang w:eastAsia="en-GB"/>
              </w:rPr>
            </w:pPr>
            <w:r w:rsidRPr="00373D94">
              <w:rPr>
                <w:sz w:val="20"/>
                <w:lang w:eastAsia="en-GB"/>
              </w:rPr>
              <w:t>13010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3396BBAD" w14:textId="77777777" w:rsidR="002C4CA4" w:rsidRPr="00373D94" w:rsidRDefault="002C4CA4" w:rsidP="009A2373">
            <w:pPr>
              <w:jc w:val="right"/>
              <w:rPr>
                <w:sz w:val="20"/>
                <w:lang w:eastAsia="en-GB"/>
              </w:rPr>
            </w:pPr>
            <w:r w:rsidRPr="00373D94">
              <w:rPr>
                <w:sz w:val="20"/>
                <w:lang w:eastAsia="en-GB"/>
              </w:rPr>
              <w:t>62%</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38AA99D0" w14:textId="77777777" w:rsidR="002C4CA4" w:rsidRPr="00373D94" w:rsidRDefault="002C4CA4" w:rsidP="009A2373">
            <w:pPr>
              <w:jc w:val="right"/>
              <w:rPr>
                <w:sz w:val="20"/>
                <w:lang w:eastAsia="en-GB"/>
              </w:rPr>
            </w:pPr>
            <w:r w:rsidRPr="00373D94">
              <w:rPr>
                <w:sz w:val="20"/>
                <w:lang w:eastAsia="en-GB"/>
              </w:rPr>
              <w:t>15820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03DBA2B9" w14:textId="77777777" w:rsidR="002C4CA4" w:rsidRPr="00373D94" w:rsidRDefault="002C4CA4" w:rsidP="009A2373">
            <w:pPr>
              <w:jc w:val="right"/>
              <w:rPr>
                <w:sz w:val="20"/>
                <w:lang w:eastAsia="en-GB"/>
              </w:rPr>
            </w:pPr>
            <w:r w:rsidRPr="00373D94">
              <w:rPr>
                <w:sz w:val="20"/>
                <w:lang w:eastAsia="en-GB"/>
              </w:rPr>
              <w:t>75%</w:t>
            </w:r>
          </w:p>
        </w:tc>
        <w:tc>
          <w:tcPr>
            <w:tcW w:w="239" w:type="pct"/>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E44BD" w14:textId="77777777" w:rsidR="002C4CA4" w:rsidRPr="00B959B2" w:rsidRDefault="002C4CA4" w:rsidP="009A2373">
            <w:pPr>
              <w:jc w:val="right"/>
              <w:rPr>
                <w:b/>
                <w:lang w:eastAsia="en-GB"/>
              </w:rPr>
            </w:pPr>
            <w:r w:rsidRPr="00B959B2">
              <w:rPr>
                <w:b/>
                <w:lang w:eastAsia="en-GB"/>
              </w:rPr>
              <w:t>4</w:t>
            </w:r>
          </w:p>
        </w:tc>
      </w:tr>
      <w:tr w:rsidR="00373D94" w:rsidRPr="00A52AEE" w14:paraId="03751B6F"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F137E1E"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29DA2FBF" w14:textId="77777777" w:rsidR="002C4CA4" w:rsidRPr="00373D94" w:rsidRDefault="002C4CA4" w:rsidP="00A52AEE">
            <w:pPr>
              <w:rPr>
                <w:sz w:val="20"/>
                <w:lang w:eastAsia="en-GB"/>
              </w:rPr>
            </w:pPr>
            <w:r w:rsidRPr="00373D94">
              <w:rPr>
                <w:sz w:val="20"/>
                <w:lang w:eastAsia="en-GB"/>
              </w:rPr>
              <w:t>20-24</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32668D20" w14:textId="77777777" w:rsidR="002C4CA4" w:rsidRPr="00373D94" w:rsidRDefault="002C4CA4" w:rsidP="009A2373">
            <w:pPr>
              <w:jc w:val="right"/>
              <w:rPr>
                <w:sz w:val="20"/>
                <w:lang w:eastAsia="en-GB"/>
              </w:rPr>
            </w:pPr>
            <w:r w:rsidRPr="00373D94">
              <w:rPr>
                <w:sz w:val="20"/>
                <w:lang w:eastAsia="en-GB"/>
              </w:rPr>
              <w:t>5180</w:t>
            </w:r>
          </w:p>
        </w:tc>
        <w:tc>
          <w:tcPr>
            <w:tcW w:w="404" w:type="pct"/>
            <w:vMerge/>
            <w:tcBorders>
              <w:left w:val="single" w:sz="4" w:space="0" w:color="auto"/>
              <w:right w:val="single" w:sz="4" w:space="0" w:color="auto"/>
            </w:tcBorders>
            <w:shd w:val="clear" w:color="auto" w:fill="9CC2E5" w:themeFill="accent1" w:themeFillTint="99"/>
            <w:vAlign w:val="center"/>
            <w:hideMark/>
          </w:tcPr>
          <w:p w14:paraId="2340DD31" w14:textId="77777777" w:rsidR="002C4CA4" w:rsidRPr="00373D94" w:rsidRDefault="002C4CA4" w:rsidP="009A2373">
            <w:pPr>
              <w:jc w:val="right"/>
              <w:rPr>
                <w:sz w:val="20"/>
                <w:lang w:eastAsia="en-GB"/>
              </w:rPr>
            </w:pP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0A726F1B" w14:textId="77777777" w:rsidR="002C4CA4" w:rsidRPr="00373D94" w:rsidRDefault="002C4CA4" w:rsidP="009A2373">
            <w:pPr>
              <w:jc w:val="right"/>
              <w:rPr>
                <w:sz w:val="20"/>
                <w:lang w:eastAsia="en-GB"/>
              </w:rPr>
            </w:pPr>
            <w:r w:rsidRPr="00373D94">
              <w:rPr>
                <w:sz w:val="20"/>
                <w:lang w:eastAsia="en-GB"/>
              </w:rPr>
              <w:t>2005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31D0B2A" w14:textId="77777777" w:rsidR="002C4CA4" w:rsidRPr="00373D94" w:rsidRDefault="002C4CA4" w:rsidP="009A2373">
            <w:pPr>
              <w:jc w:val="right"/>
              <w:rPr>
                <w:sz w:val="20"/>
                <w:lang w:eastAsia="en-GB"/>
              </w:rPr>
            </w:pPr>
            <w:r w:rsidRPr="00373D94">
              <w:rPr>
                <w:sz w:val="20"/>
                <w:lang w:eastAsia="en-GB"/>
              </w:rPr>
              <w:t>360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6C42387A" w14:textId="77777777" w:rsidR="002C4CA4" w:rsidRPr="00373D94" w:rsidRDefault="002C4CA4" w:rsidP="009A2373">
            <w:pPr>
              <w:jc w:val="right"/>
              <w:rPr>
                <w:sz w:val="20"/>
                <w:lang w:eastAsia="en-GB"/>
              </w:rPr>
            </w:pPr>
            <w:r w:rsidRPr="00373D94">
              <w:rPr>
                <w:sz w:val="20"/>
                <w:lang w:eastAsia="en-GB"/>
              </w:rPr>
              <w:t>145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437D8194" w14:textId="77777777" w:rsidR="002C4CA4" w:rsidRPr="00373D94" w:rsidRDefault="002C4CA4" w:rsidP="009A2373">
            <w:pPr>
              <w:jc w:val="right"/>
              <w:rPr>
                <w:sz w:val="20"/>
                <w:lang w:eastAsia="en-GB"/>
              </w:rPr>
            </w:pPr>
            <w:r w:rsidRPr="00373D94">
              <w:rPr>
                <w:sz w:val="20"/>
                <w:lang w:eastAsia="en-GB"/>
              </w:rPr>
              <w:t>75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40E0DBEA" w14:textId="77777777" w:rsidR="002C4CA4" w:rsidRPr="00373D94" w:rsidRDefault="002C4CA4" w:rsidP="009A2373">
            <w:pPr>
              <w:jc w:val="right"/>
              <w:rPr>
                <w:sz w:val="20"/>
                <w:lang w:eastAsia="en-GB"/>
              </w:rPr>
            </w:pPr>
            <w:r w:rsidRPr="00373D94">
              <w:rPr>
                <w:sz w:val="20"/>
                <w:lang w:eastAsia="en-GB"/>
              </w:rPr>
              <w:t>2005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0D616EFC" w14:textId="77777777" w:rsidR="002C4CA4" w:rsidRPr="00373D94" w:rsidRDefault="002C4CA4" w:rsidP="009A2373">
            <w:pPr>
              <w:jc w:val="right"/>
              <w:rPr>
                <w:sz w:val="20"/>
                <w:lang w:eastAsia="en-GB"/>
              </w:rPr>
            </w:pPr>
            <w:r w:rsidRPr="00373D94">
              <w:rPr>
                <w:sz w:val="20"/>
                <w:lang w:eastAsia="en-GB"/>
              </w:rPr>
              <w:t>39%</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6DEB7E41" w14:textId="77777777" w:rsidR="002C4CA4" w:rsidRPr="00373D94" w:rsidRDefault="002C4CA4" w:rsidP="009A2373">
            <w:pPr>
              <w:jc w:val="right"/>
              <w:rPr>
                <w:sz w:val="20"/>
                <w:lang w:eastAsia="en-GB"/>
              </w:rPr>
            </w:pPr>
            <w:r w:rsidRPr="00373D94">
              <w:rPr>
                <w:sz w:val="20"/>
                <w:lang w:eastAsia="en-GB"/>
              </w:rPr>
              <w:t>2585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7E57731A" w14:textId="77777777" w:rsidR="002C4CA4" w:rsidRPr="00373D94" w:rsidRDefault="002C4CA4" w:rsidP="009A2373">
            <w:pPr>
              <w:jc w:val="right"/>
              <w:rPr>
                <w:sz w:val="20"/>
                <w:lang w:eastAsia="en-GB"/>
              </w:rPr>
            </w:pPr>
            <w:r w:rsidRPr="00373D94">
              <w:rPr>
                <w:sz w:val="20"/>
                <w:lang w:eastAsia="en-GB"/>
              </w:rPr>
              <w:t>50%</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BE7B76F" w14:textId="77777777" w:rsidR="002C4CA4" w:rsidRPr="00A52AEE" w:rsidRDefault="002C4CA4" w:rsidP="009A2373">
            <w:pPr>
              <w:jc w:val="right"/>
              <w:rPr>
                <w:lang w:eastAsia="en-GB"/>
              </w:rPr>
            </w:pPr>
          </w:p>
        </w:tc>
      </w:tr>
      <w:tr w:rsidR="00373D94" w:rsidRPr="00A52AEE" w14:paraId="7FB42803"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EAA1969"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1E9DB1CE" w14:textId="29077B96" w:rsidR="002C4CA4" w:rsidRPr="00373D94" w:rsidRDefault="00373D94" w:rsidP="00A52AEE">
            <w:pPr>
              <w:rPr>
                <w:sz w:val="20"/>
                <w:lang w:eastAsia="en-GB"/>
              </w:rPr>
            </w:pPr>
            <w:r w:rsidRPr="00373D94">
              <w:rPr>
                <w:sz w:val="20"/>
                <w:lang w:eastAsia="en-GB"/>
              </w:rPr>
              <w:t>25+</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2BAEB74" w14:textId="77777777" w:rsidR="002C4CA4" w:rsidRPr="00373D94" w:rsidRDefault="002C4CA4" w:rsidP="009A2373">
            <w:pPr>
              <w:jc w:val="right"/>
              <w:rPr>
                <w:sz w:val="20"/>
                <w:lang w:eastAsia="en-GB"/>
              </w:rPr>
            </w:pPr>
            <w:r w:rsidRPr="00373D94">
              <w:rPr>
                <w:sz w:val="20"/>
                <w:lang w:eastAsia="en-GB"/>
              </w:rPr>
              <w:t>17855</w:t>
            </w:r>
          </w:p>
        </w:tc>
        <w:tc>
          <w:tcPr>
            <w:tcW w:w="404" w:type="pct"/>
            <w:vMerge/>
            <w:tcBorders>
              <w:left w:val="single" w:sz="4" w:space="0" w:color="auto"/>
              <w:right w:val="single" w:sz="4" w:space="0" w:color="auto"/>
            </w:tcBorders>
            <w:shd w:val="clear" w:color="auto" w:fill="9CC2E5" w:themeFill="accent1" w:themeFillTint="99"/>
            <w:vAlign w:val="center"/>
            <w:hideMark/>
          </w:tcPr>
          <w:p w14:paraId="77E77CC8" w14:textId="77777777" w:rsidR="002C4CA4" w:rsidRPr="00373D94" w:rsidRDefault="002C4CA4" w:rsidP="009A2373">
            <w:pPr>
              <w:jc w:val="right"/>
              <w:rPr>
                <w:sz w:val="20"/>
                <w:lang w:eastAsia="en-GB"/>
              </w:rPr>
            </w:pP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06AAF4FA" w14:textId="77777777" w:rsidR="002C4CA4" w:rsidRPr="00373D94" w:rsidRDefault="002C4CA4" w:rsidP="009A2373">
            <w:pPr>
              <w:jc w:val="right"/>
              <w:rPr>
                <w:sz w:val="20"/>
                <w:lang w:eastAsia="en-GB"/>
              </w:rPr>
            </w:pPr>
            <w:r w:rsidRPr="00373D94">
              <w:rPr>
                <w:sz w:val="20"/>
                <w:lang w:eastAsia="en-GB"/>
              </w:rPr>
              <w:t>2705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784D915" w14:textId="77777777" w:rsidR="002C4CA4" w:rsidRPr="00373D94" w:rsidRDefault="002C4CA4" w:rsidP="009A2373">
            <w:pPr>
              <w:jc w:val="right"/>
              <w:rPr>
                <w:sz w:val="20"/>
                <w:lang w:eastAsia="en-GB"/>
              </w:rPr>
            </w:pPr>
            <w:r w:rsidRPr="00373D94">
              <w:rPr>
                <w:sz w:val="20"/>
                <w:lang w:eastAsia="en-GB"/>
              </w:rPr>
              <w:t>800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6E88F8A8" w14:textId="77777777" w:rsidR="002C4CA4" w:rsidRPr="00373D94" w:rsidRDefault="002C4CA4" w:rsidP="009A2373">
            <w:pPr>
              <w:jc w:val="right"/>
              <w:rPr>
                <w:sz w:val="20"/>
                <w:lang w:eastAsia="en-GB"/>
              </w:rPr>
            </w:pPr>
            <w:r w:rsidRPr="00373D94">
              <w:rPr>
                <w:sz w:val="20"/>
                <w:lang w:eastAsia="en-GB"/>
              </w:rPr>
              <w:t>435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7B832CE" w14:textId="77777777" w:rsidR="002C4CA4" w:rsidRPr="00373D94" w:rsidRDefault="002C4CA4" w:rsidP="009A2373">
            <w:pPr>
              <w:jc w:val="right"/>
              <w:rPr>
                <w:sz w:val="20"/>
                <w:lang w:eastAsia="en-GB"/>
              </w:rPr>
            </w:pPr>
            <w:r w:rsidRPr="00373D94">
              <w:rPr>
                <w:sz w:val="20"/>
                <w:lang w:eastAsia="en-GB"/>
              </w:rPr>
              <w:t>400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081C05C" w14:textId="77777777" w:rsidR="002C4CA4" w:rsidRPr="00373D94" w:rsidRDefault="002C4CA4" w:rsidP="009A2373">
            <w:pPr>
              <w:jc w:val="right"/>
              <w:rPr>
                <w:sz w:val="20"/>
                <w:lang w:eastAsia="en-GB"/>
              </w:rPr>
            </w:pPr>
            <w:r w:rsidRPr="00373D94">
              <w:rPr>
                <w:sz w:val="20"/>
                <w:lang w:eastAsia="en-GB"/>
              </w:rPr>
              <w:t>2705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5CBD53C0" w14:textId="77777777" w:rsidR="002C4CA4" w:rsidRPr="00373D94" w:rsidRDefault="002C4CA4" w:rsidP="009A2373">
            <w:pPr>
              <w:jc w:val="right"/>
              <w:rPr>
                <w:sz w:val="20"/>
                <w:lang w:eastAsia="en-GB"/>
              </w:rPr>
            </w:pPr>
            <w:r w:rsidRPr="00373D94">
              <w:rPr>
                <w:sz w:val="20"/>
                <w:lang w:eastAsia="en-GB"/>
              </w:rPr>
              <w:t>15%</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6642CDC8" w14:textId="77777777" w:rsidR="002C4CA4" w:rsidRPr="00373D94" w:rsidRDefault="002C4CA4" w:rsidP="009A2373">
            <w:pPr>
              <w:jc w:val="right"/>
              <w:rPr>
                <w:sz w:val="20"/>
                <w:lang w:eastAsia="en-GB"/>
              </w:rPr>
            </w:pPr>
            <w:r w:rsidRPr="00373D94">
              <w:rPr>
                <w:sz w:val="20"/>
                <w:lang w:eastAsia="en-GB"/>
              </w:rPr>
              <w:t>4340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2BDD541D" w14:textId="77777777" w:rsidR="002C4CA4" w:rsidRPr="00373D94" w:rsidRDefault="002C4CA4" w:rsidP="009A2373">
            <w:pPr>
              <w:jc w:val="right"/>
              <w:rPr>
                <w:sz w:val="20"/>
                <w:lang w:eastAsia="en-GB"/>
              </w:rPr>
            </w:pPr>
            <w:r w:rsidRPr="00373D94">
              <w:rPr>
                <w:sz w:val="20"/>
                <w:lang w:eastAsia="en-GB"/>
              </w:rPr>
              <w:t>24%</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4F0A9EF" w14:textId="77777777" w:rsidR="002C4CA4" w:rsidRPr="00A52AEE" w:rsidRDefault="002C4CA4" w:rsidP="009A2373">
            <w:pPr>
              <w:jc w:val="right"/>
              <w:rPr>
                <w:lang w:eastAsia="en-GB"/>
              </w:rPr>
            </w:pPr>
          </w:p>
        </w:tc>
      </w:tr>
      <w:tr w:rsidR="00373D94" w:rsidRPr="00A52AEE" w14:paraId="10B28DA3"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D6FF466"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0AFFC9E5" w14:textId="77777777" w:rsidR="002C4CA4" w:rsidRPr="00373D94" w:rsidRDefault="002C4CA4" w:rsidP="00A52AEE">
            <w:pPr>
              <w:rPr>
                <w:sz w:val="20"/>
                <w:lang w:eastAsia="en-GB"/>
              </w:rPr>
            </w:pPr>
            <w:r w:rsidRPr="00373D94">
              <w:rPr>
                <w:sz w:val="20"/>
                <w:lang w:eastAsia="en-GB"/>
              </w:rPr>
              <w:t>Total</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11F10BB1" w14:textId="77777777" w:rsidR="002C4CA4" w:rsidRPr="00373D94" w:rsidRDefault="002C4CA4" w:rsidP="009A2373">
            <w:pPr>
              <w:jc w:val="right"/>
              <w:rPr>
                <w:sz w:val="20"/>
                <w:lang w:eastAsia="en-GB"/>
              </w:rPr>
            </w:pPr>
            <w:r w:rsidRPr="00373D94">
              <w:rPr>
                <w:sz w:val="20"/>
                <w:lang w:eastAsia="en-GB"/>
              </w:rPr>
              <w:t>44140</w:t>
            </w:r>
          </w:p>
        </w:tc>
        <w:tc>
          <w:tcPr>
            <w:tcW w:w="404" w:type="pct"/>
            <w:vMerge/>
            <w:tcBorders>
              <w:left w:val="single" w:sz="4" w:space="0" w:color="auto"/>
              <w:right w:val="single" w:sz="4" w:space="0" w:color="auto"/>
            </w:tcBorders>
            <w:shd w:val="clear" w:color="auto" w:fill="9CC2E5" w:themeFill="accent1" w:themeFillTint="99"/>
            <w:vAlign w:val="center"/>
            <w:hideMark/>
          </w:tcPr>
          <w:p w14:paraId="675A534D" w14:textId="77777777" w:rsidR="002C4CA4" w:rsidRPr="00373D94" w:rsidRDefault="002C4CA4" w:rsidP="009A2373">
            <w:pPr>
              <w:jc w:val="right"/>
              <w:rPr>
                <w:sz w:val="20"/>
                <w:lang w:eastAsia="en-GB"/>
              </w:rPr>
            </w:pPr>
          </w:p>
        </w:tc>
        <w:tc>
          <w:tcPr>
            <w:tcW w:w="391" w:type="pct"/>
            <w:tcBorders>
              <w:top w:val="nil"/>
              <w:left w:val="nil"/>
              <w:bottom w:val="single" w:sz="4" w:space="0" w:color="auto"/>
              <w:right w:val="single" w:sz="4" w:space="0" w:color="auto"/>
            </w:tcBorders>
            <w:shd w:val="clear" w:color="auto" w:fill="FFFFFF" w:themeFill="background1"/>
            <w:noWrap/>
            <w:vAlign w:val="center"/>
            <w:hideMark/>
          </w:tcPr>
          <w:p w14:paraId="0F3A8E30" w14:textId="77777777" w:rsidR="002C4CA4" w:rsidRPr="00373D94" w:rsidRDefault="002C4CA4" w:rsidP="009A2373">
            <w:pPr>
              <w:jc w:val="right"/>
              <w:rPr>
                <w:sz w:val="20"/>
                <w:lang w:eastAsia="en-GB"/>
              </w:rPr>
            </w:pPr>
            <w:r w:rsidRPr="00373D94">
              <w:rPr>
                <w:sz w:val="20"/>
                <w:lang w:eastAsia="en-GB"/>
              </w:rPr>
              <w:t>17720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546D796A" w14:textId="77777777" w:rsidR="002C4CA4" w:rsidRPr="00373D94" w:rsidRDefault="002C4CA4" w:rsidP="009A2373">
            <w:pPr>
              <w:jc w:val="right"/>
              <w:rPr>
                <w:sz w:val="20"/>
                <w:lang w:eastAsia="en-GB"/>
              </w:rPr>
            </w:pPr>
            <w:r w:rsidRPr="00373D94">
              <w:rPr>
                <w:sz w:val="20"/>
                <w:lang w:eastAsia="en-GB"/>
              </w:rPr>
              <w:t>3270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06D7B745" w14:textId="77777777" w:rsidR="002C4CA4" w:rsidRPr="00373D94" w:rsidRDefault="002C4CA4" w:rsidP="009A2373">
            <w:pPr>
              <w:jc w:val="right"/>
              <w:rPr>
                <w:sz w:val="20"/>
                <w:lang w:eastAsia="en-GB"/>
              </w:rPr>
            </w:pPr>
            <w:r w:rsidRPr="00373D94">
              <w:rPr>
                <w:sz w:val="20"/>
                <w:lang w:eastAsia="en-GB"/>
              </w:rPr>
              <w:t>1085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C9E8ACA" w14:textId="77777777" w:rsidR="002C4CA4" w:rsidRPr="00373D94" w:rsidRDefault="002C4CA4" w:rsidP="009A2373">
            <w:pPr>
              <w:jc w:val="right"/>
              <w:rPr>
                <w:sz w:val="20"/>
                <w:lang w:eastAsia="en-GB"/>
              </w:rPr>
            </w:pPr>
            <w:r w:rsidRPr="00373D94">
              <w:rPr>
                <w:sz w:val="20"/>
                <w:lang w:eastAsia="en-GB"/>
              </w:rPr>
              <w:t>675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93F2E1E" w14:textId="77777777" w:rsidR="002C4CA4" w:rsidRPr="00373D94" w:rsidRDefault="002C4CA4" w:rsidP="009A2373">
            <w:pPr>
              <w:jc w:val="right"/>
              <w:rPr>
                <w:sz w:val="20"/>
                <w:lang w:eastAsia="en-GB"/>
              </w:rPr>
            </w:pPr>
            <w:r w:rsidRPr="00373D94">
              <w:rPr>
                <w:sz w:val="20"/>
                <w:lang w:eastAsia="en-GB"/>
              </w:rPr>
              <w:t>17720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57D8FA5B" w14:textId="77777777" w:rsidR="002C4CA4" w:rsidRPr="00373D94" w:rsidRDefault="002C4CA4" w:rsidP="009A2373">
            <w:pPr>
              <w:jc w:val="right"/>
              <w:rPr>
                <w:sz w:val="20"/>
                <w:lang w:eastAsia="en-GB"/>
              </w:rPr>
            </w:pPr>
            <w:r w:rsidRPr="00373D94">
              <w:rPr>
                <w:sz w:val="20"/>
                <w:lang w:eastAsia="en-GB"/>
              </w:rPr>
              <w:t>40%</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3A095D82" w14:textId="2205B71C" w:rsidR="002C4CA4" w:rsidRPr="00373D94" w:rsidRDefault="00BE09C2" w:rsidP="009A2373">
            <w:pPr>
              <w:jc w:val="right"/>
              <w:rPr>
                <w:sz w:val="20"/>
                <w:lang w:eastAsia="en-GB"/>
              </w:rPr>
            </w:pPr>
            <w:r>
              <w:rPr>
                <w:sz w:val="20"/>
                <w:lang w:eastAsia="en-GB"/>
              </w:rPr>
              <w:t>22750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14552603" w14:textId="77777777" w:rsidR="002C4CA4" w:rsidRPr="00373D94" w:rsidRDefault="002C4CA4" w:rsidP="009A2373">
            <w:pPr>
              <w:jc w:val="right"/>
              <w:rPr>
                <w:sz w:val="20"/>
                <w:lang w:eastAsia="en-GB"/>
              </w:rPr>
            </w:pPr>
            <w:r w:rsidRPr="00373D94">
              <w:rPr>
                <w:sz w:val="20"/>
                <w:lang w:eastAsia="en-GB"/>
              </w:rPr>
              <w:t>52%</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19FF624" w14:textId="77777777" w:rsidR="002C4CA4" w:rsidRPr="00A52AEE" w:rsidRDefault="002C4CA4" w:rsidP="009A2373">
            <w:pPr>
              <w:jc w:val="right"/>
              <w:rPr>
                <w:lang w:eastAsia="en-GB"/>
              </w:rPr>
            </w:pPr>
          </w:p>
        </w:tc>
      </w:tr>
      <w:tr w:rsidR="00373D94" w:rsidRPr="00373D94" w14:paraId="30C6EED4" w14:textId="77777777" w:rsidTr="00B959B2">
        <w:trPr>
          <w:trHeight w:val="70"/>
        </w:trPr>
        <w:tc>
          <w:tcPr>
            <w:tcW w:w="25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135D0DCD" w14:textId="77777777" w:rsidR="002C4CA4" w:rsidRPr="00B959B2" w:rsidRDefault="002C4CA4" w:rsidP="00B959B2">
            <w:pPr>
              <w:jc w:val="center"/>
              <w:rPr>
                <w:b/>
                <w:sz w:val="4"/>
                <w:lang w:eastAsia="en-GB"/>
              </w:rPr>
            </w:pPr>
          </w:p>
        </w:tc>
        <w:tc>
          <w:tcPr>
            <w:tcW w:w="379" w:type="pct"/>
            <w:tcBorders>
              <w:top w:val="nil"/>
              <w:left w:val="nil"/>
              <w:bottom w:val="single" w:sz="4" w:space="0" w:color="auto"/>
              <w:right w:val="single" w:sz="4" w:space="0" w:color="auto"/>
            </w:tcBorders>
            <w:shd w:val="clear" w:color="auto" w:fill="BDD6EE" w:themeFill="accent1" w:themeFillTint="66"/>
            <w:vAlign w:val="center"/>
          </w:tcPr>
          <w:p w14:paraId="73E73B20" w14:textId="77777777" w:rsidR="002C4CA4" w:rsidRPr="00373D94" w:rsidRDefault="002C4CA4" w:rsidP="00A52AEE">
            <w:pPr>
              <w:rPr>
                <w:sz w:val="4"/>
                <w:lang w:eastAsia="en-GB"/>
              </w:rPr>
            </w:pPr>
          </w:p>
        </w:tc>
        <w:tc>
          <w:tcPr>
            <w:tcW w:w="434" w:type="pct"/>
            <w:tcBorders>
              <w:top w:val="nil"/>
              <w:left w:val="nil"/>
              <w:bottom w:val="single" w:sz="4" w:space="0" w:color="auto"/>
              <w:right w:val="single" w:sz="4" w:space="0" w:color="auto"/>
            </w:tcBorders>
            <w:shd w:val="clear" w:color="auto" w:fill="BDD6EE" w:themeFill="accent1" w:themeFillTint="66"/>
            <w:vAlign w:val="center"/>
          </w:tcPr>
          <w:p w14:paraId="08D429AC" w14:textId="77777777" w:rsidR="002C4CA4" w:rsidRPr="00373D94" w:rsidRDefault="002C4CA4" w:rsidP="009A2373">
            <w:pPr>
              <w:jc w:val="right"/>
              <w:rPr>
                <w:sz w:val="4"/>
                <w:lang w:eastAsia="en-GB"/>
              </w:rPr>
            </w:pPr>
          </w:p>
        </w:tc>
        <w:tc>
          <w:tcPr>
            <w:tcW w:w="404" w:type="pct"/>
            <w:vMerge/>
            <w:tcBorders>
              <w:left w:val="single" w:sz="4" w:space="0" w:color="auto"/>
              <w:right w:val="single" w:sz="4" w:space="0" w:color="auto"/>
            </w:tcBorders>
            <w:shd w:val="clear" w:color="auto" w:fill="BDD6EE" w:themeFill="accent1" w:themeFillTint="66"/>
            <w:vAlign w:val="center"/>
          </w:tcPr>
          <w:p w14:paraId="4E4F6674" w14:textId="77777777" w:rsidR="002C4CA4" w:rsidRPr="00373D94" w:rsidRDefault="002C4CA4" w:rsidP="009A2373">
            <w:pPr>
              <w:jc w:val="right"/>
              <w:rPr>
                <w:sz w:val="4"/>
                <w:lang w:eastAsia="en-GB"/>
              </w:rPr>
            </w:pPr>
          </w:p>
        </w:tc>
        <w:tc>
          <w:tcPr>
            <w:tcW w:w="391" w:type="pct"/>
            <w:vMerge w:val="restart"/>
            <w:tcBorders>
              <w:top w:val="nil"/>
              <w:left w:val="nil"/>
              <w:right w:val="single" w:sz="4" w:space="0" w:color="auto"/>
            </w:tcBorders>
            <w:shd w:val="clear" w:color="auto" w:fill="BDD6EE" w:themeFill="accent1" w:themeFillTint="66"/>
            <w:noWrap/>
            <w:vAlign w:val="center"/>
          </w:tcPr>
          <w:p w14:paraId="571A481B" w14:textId="21BFFD91" w:rsidR="002C4CA4" w:rsidRPr="00373D94" w:rsidRDefault="002C4CA4" w:rsidP="009A2373">
            <w:pPr>
              <w:jc w:val="right"/>
              <w:rPr>
                <w:sz w:val="4"/>
                <w:lang w:eastAsia="en-GB"/>
              </w:rPr>
            </w:pPr>
            <w:r w:rsidRPr="00373D94">
              <w:rPr>
                <w:sz w:val="4"/>
                <w:lang w:eastAsia="en-GB"/>
              </w:rPr>
              <w:t> </w:t>
            </w: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264D1717" w14:textId="77777777" w:rsidR="002C4CA4" w:rsidRPr="00373D94" w:rsidRDefault="002C4CA4" w:rsidP="009A2373">
            <w:pPr>
              <w:jc w:val="right"/>
              <w:rPr>
                <w:sz w:val="4"/>
                <w:lang w:eastAsia="en-GB"/>
              </w:rPr>
            </w:pPr>
          </w:p>
        </w:tc>
        <w:tc>
          <w:tcPr>
            <w:tcW w:w="503" w:type="pct"/>
            <w:tcBorders>
              <w:top w:val="nil"/>
              <w:left w:val="nil"/>
              <w:bottom w:val="single" w:sz="4" w:space="0" w:color="auto"/>
              <w:right w:val="single" w:sz="4" w:space="0" w:color="auto"/>
            </w:tcBorders>
            <w:shd w:val="clear" w:color="auto" w:fill="BDD6EE" w:themeFill="accent1" w:themeFillTint="66"/>
            <w:noWrap/>
            <w:vAlign w:val="center"/>
          </w:tcPr>
          <w:p w14:paraId="767B9AAE"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7EE9F06E"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6FB9A977" w14:textId="77777777" w:rsidR="002C4CA4" w:rsidRPr="00373D94" w:rsidRDefault="002C4CA4" w:rsidP="009A2373">
            <w:pPr>
              <w:jc w:val="right"/>
              <w:rPr>
                <w:sz w:val="4"/>
                <w:lang w:eastAsia="en-GB"/>
              </w:rPr>
            </w:pPr>
          </w:p>
        </w:tc>
        <w:tc>
          <w:tcPr>
            <w:tcW w:w="321" w:type="pct"/>
            <w:tcBorders>
              <w:top w:val="nil"/>
              <w:left w:val="nil"/>
              <w:bottom w:val="single" w:sz="4" w:space="0" w:color="auto"/>
              <w:right w:val="single" w:sz="4" w:space="0" w:color="auto"/>
            </w:tcBorders>
            <w:shd w:val="clear" w:color="auto" w:fill="BDD6EE" w:themeFill="accent1" w:themeFillTint="66"/>
            <w:noWrap/>
            <w:vAlign w:val="center"/>
          </w:tcPr>
          <w:p w14:paraId="40A71DA9" w14:textId="77777777" w:rsidR="002C4CA4" w:rsidRPr="00373D94" w:rsidRDefault="002C4CA4" w:rsidP="009A2373">
            <w:pPr>
              <w:jc w:val="right"/>
              <w:rPr>
                <w:sz w:val="4"/>
                <w:lang w:eastAsia="en-GB"/>
              </w:rPr>
            </w:pPr>
          </w:p>
        </w:tc>
        <w:tc>
          <w:tcPr>
            <w:tcW w:w="403" w:type="pct"/>
            <w:tcBorders>
              <w:top w:val="nil"/>
              <w:left w:val="nil"/>
              <w:bottom w:val="single" w:sz="4" w:space="0" w:color="auto"/>
              <w:right w:val="single" w:sz="4" w:space="0" w:color="auto"/>
            </w:tcBorders>
            <w:shd w:val="clear" w:color="auto" w:fill="BDD6EE" w:themeFill="accent1" w:themeFillTint="66"/>
            <w:noWrap/>
            <w:vAlign w:val="center"/>
          </w:tcPr>
          <w:p w14:paraId="6629B7BB" w14:textId="77777777" w:rsidR="002C4CA4" w:rsidRPr="00373D94" w:rsidRDefault="002C4CA4" w:rsidP="009A2373">
            <w:pPr>
              <w:jc w:val="right"/>
              <w:rPr>
                <w:sz w:val="4"/>
                <w:lang w:eastAsia="en-GB"/>
              </w:rPr>
            </w:pPr>
          </w:p>
        </w:tc>
        <w:tc>
          <w:tcPr>
            <w:tcW w:w="362" w:type="pct"/>
            <w:tcBorders>
              <w:top w:val="nil"/>
              <w:left w:val="nil"/>
              <w:bottom w:val="single" w:sz="4" w:space="0" w:color="auto"/>
              <w:right w:val="single" w:sz="4" w:space="0" w:color="auto"/>
            </w:tcBorders>
            <w:shd w:val="clear" w:color="auto" w:fill="BDD6EE" w:themeFill="accent1" w:themeFillTint="66"/>
            <w:noWrap/>
            <w:vAlign w:val="center"/>
          </w:tcPr>
          <w:p w14:paraId="697A6AE1" w14:textId="77777777" w:rsidR="002C4CA4" w:rsidRPr="00373D94" w:rsidRDefault="002C4CA4" w:rsidP="009A2373">
            <w:pPr>
              <w:jc w:val="right"/>
              <w:rPr>
                <w:sz w:val="4"/>
                <w:lang w:eastAsia="en-GB"/>
              </w:rPr>
            </w:pPr>
          </w:p>
        </w:tc>
        <w:tc>
          <w:tcPr>
            <w:tcW w:w="23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186333CD" w14:textId="77777777" w:rsidR="002C4CA4" w:rsidRPr="00373D94" w:rsidRDefault="002C4CA4" w:rsidP="009A2373">
            <w:pPr>
              <w:jc w:val="right"/>
              <w:rPr>
                <w:sz w:val="4"/>
                <w:lang w:eastAsia="en-GB"/>
              </w:rPr>
            </w:pPr>
          </w:p>
        </w:tc>
      </w:tr>
      <w:tr w:rsidR="00373D94" w:rsidRPr="00A52AEE" w14:paraId="1DB9FD2B" w14:textId="77777777" w:rsidTr="00B959B2">
        <w:trPr>
          <w:trHeight w:val="300"/>
        </w:trPr>
        <w:tc>
          <w:tcPr>
            <w:tcW w:w="259" w:type="pct"/>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14:paraId="2CF04F6D" w14:textId="77777777" w:rsidR="002C4CA4" w:rsidRPr="00B959B2" w:rsidRDefault="002C4CA4" w:rsidP="00B959B2">
            <w:pPr>
              <w:jc w:val="center"/>
              <w:rPr>
                <w:b/>
                <w:lang w:eastAsia="en-GB"/>
              </w:rPr>
            </w:pPr>
            <w:r w:rsidRPr="00B959B2">
              <w:rPr>
                <w:b/>
                <w:lang w:eastAsia="en-GB"/>
              </w:rPr>
              <w:t>2009/10</w:t>
            </w: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1A23DEB1" w14:textId="07E599BE" w:rsidR="002C4CA4" w:rsidRPr="00373D94" w:rsidRDefault="00373D94" w:rsidP="00A52AEE">
            <w:pPr>
              <w:rPr>
                <w:sz w:val="20"/>
                <w:lang w:eastAsia="en-GB"/>
              </w:rPr>
            </w:pPr>
            <w:r w:rsidRPr="00373D94">
              <w:rPr>
                <w:sz w:val="20"/>
                <w:lang w:eastAsia="en-GB"/>
              </w:rPr>
              <w:t>17-19</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6D22FAD3" w14:textId="77777777" w:rsidR="002C4CA4" w:rsidRPr="00373D94" w:rsidRDefault="002C4CA4" w:rsidP="009A2373">
            <w:pPr>
              <w:jc w:val="right"/>
              <w:rPr>
                <w:sz w:val="20"/>
                <w:lang w:eastAsia="en-GB"/>
              </w:rPr>
            </w:pPr>
            <w:r w:rsidRPr="00373D94">
              <w:rPr>
                <w:sz w:val="20"/>
                <w:lang w:eastAsia="en-GB"/>
              </w:rPr>
              <w:t>22415</w:t>
            </w:r>
          </w:p>
        </w:tc>
        <w:tc>
          <w:tcPr>
            <w:tcW w:w="404" w:type="pct"/>
            <w:vMerge/>
            <w:tcBorders>
              <w:left w:val="single" w:sz="4" w:space="0" w:color="auto"/>
              <w:right w:val="single" w:sz="4" w:space="0" w:color="auto"/>
            </w:tcBorders>
            <w:shd w:val="clear" w:color="auto" w:fill="9CC2E5" w:themeFill="accent1" w:themeFillTint="99"/>
            <w:vAlign w:val="center"/>
            <w:hideMark/>
          </w:tcPr>
          <w:p w14:paraId="71FD5847"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noWrap/>
            <w:vAlign w:val="center"/>
            <w:hideMark/>
          </w:tcPr>
          <w:p w14:paraId="1F307DBA" w14:textId="520B9780"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2540BA2" w14:textId="77777777" w:rsidR="002C4CA4" w:rsidRPr="00373D94" w:rsidRDefault="002C4CA4" w:rsidP="009A2373">
            <w:pPr>
              <w:jc w:val="right"/>
              <w:rPr>
                <w:sz w:val="20"/>
                <w:lang w:eastAsia="en-GB"/>
              </w:rPr>
            </w:pPr>
            <w:r w:rsidRPr="00373D94">
              <w:rPr>
                <w:sz w:val="20"/>
                <w:lang w:eastAsia="en-GB"/>
              </w:rPr>
              <w:t>13100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0D4F0F23" w14:textId="77777777" w:rsidR="002C4CA4" w:rsidRPr="00373D94" w:rsidRDefault="002C4CA4" w:rsidP="009A2373">
            <w:pPr>
              <w:jc w:val="right"/>
              <w:rPr>
                <w:sz w:val="20"/>
                <w:lang w:eastAsia="en-GB"/>
              </w:rPr>
            </w:pPr>
            <w:r w:rsidRPr="00373D94">
              <w:rPr>
                <w:sz w:val="20"/>
                <w:lang w:eastAsia="en-GB"/>
              </w:rPr>
              <w:t>2195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D04578E" w14:textId="77777777" w:rsidR="002C4CA4" w:rsidRPr="00373D94" w:rsidRDefault="002C4CA4" w:rsidP="009A2373">
            <w:pPr>
              <w:jc w:val="right"/>
              <w:rPr>
                <w:sz w:val="20"/>
                <w:lang w:eastAsia="en-GB"/>
              </w:rPr>
            </w:pPr>
            <w:r w:rsidRPr="00373D94">
              <w:rPr>
                <w:sz w:val="20"/>
                <w:lang w:eastAsia="en-GB"/>
              </w:rPr>
              <w:t>515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A9FB203" w14:textId="77777777" w:rsidR="002C4CA4" w:rsidRPr="00373D94" w:rsidRDefault="002C4CA4" w:rsidP="009A2373">
            <w:pPr>
              <w:jc w:val="right"/>
              <w:rPr>
                <w:sz w:val="20"/>
                <w:lang w:eastAsia="en-GB"/>
              </w:rPr>
            </w:pPr>
            <w:r w:rsidRPr="00373D94">
              <w:rPr>
                <w:sz w:val="20"/>
                <w:lang w:eastAsia="en-GB"/>
              </w:rPr>
              <w:t>13100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7B7CE53E" w14:textId="77777777" w:rsidR="002C4CA4" w:rsidRPr="00373D94" w:rsidRDefault="002C4CA4" w:rsidP="009A2373">
            <w:pPr>
              <w:jc w:val="right"/>
              <w:rPr>
                <w:sz w:val="20"/>
                <w:lang w:eastAsia="en-GB"/>
              </w:rPr>
            </w:pPr>
            <w:r w:rsidRPr="00373D94">
              <w:rPr>
                <w:sz w:val="20"/>
                <w:lang w:eastAsia="en-GB"/>
              </w:rPr>
              <w:t>58%</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017378A8" w14:textId="77777777" w:rsidR="002C4CA4" w:rsidRPr="00373D94" w:rsidRDefault="002C4CA4" w:rsidP="009A2373">
            <w:pPr>
              <w:jc w:val="right"/>
              <w:rPr>
                <w:sz w:val="20"/>
                <w:lang w:eastAsia="en-GB"/>
              </w:rPr>
            </w:pPr>
            <w:r w:rsidRPr="00373D94">
              <w:rPr>
                <w:sz w:val="20"/>
                <w:lang w:eastAsia="en-GB"/>
              </w:rPr>
              <w:t>15810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5E885B2" w14:textId="77777777" w:rsidR="002C4CA4" w:rsidRPr="00373D94" w:rsidRDefault="002C4CA4" w:rsidP="009A2373">
            <w:pPr>
              <w:jc w:val="right"/>
              <w:rPr>
                <w:sz w:val="20"/>
                <w:lang w:eastAsia="en-GB"/>
              </w:rPr>
            </w:pPr>
            <w:r w:rsidRPr="00373D94">
              <w:rPr>
                <w:sz w:val="20"/>
                <w:lang w:eastAsia="en-GB"/>
              </w:rPr>
              <w:t>71%</w:t>
            </w:r>
          </w:p>
        </w:tc>
        <w:tc>
          <w:tcPr>
            <w:tcW w:w="239" w:type="pct"/>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DCE24" w14:textId="77777777" w:rsidR="002C4CA4" w:rsidRPr="00B959B2" w:rsidRDefault="002C4CA4" w:rsidP="009A2373">
            <w:pPr>
              <w:jc w:val="right"/>
              <w:rPr>
                <w:b/>
                <w:lang w:eastAsia="en-GB"/>
              </w:rPr>
            </w:pPr>
            <w:r w:rsidRPr="00B959B2">
              <w:rPr>
                <w:b/>
                <w:lang w:eastAsia="en-GB"/>
              </w:rPr>
              <w:t>3</w:t>
            </w:r>
          </w:p>
        </w:tc>
      </w:tr>
      <w:tr w:rsidR="00373D94" w:rsidRPr="00A52AEE" w14:paraId="59E4E140"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332160B"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3384590C" w14:textId="77777777" w:rsidR="002C4CA4" w:rsidRPr="00373D94" w:rsidRDefault="002C4CA4" w:rsidP="00A52AEE">
            <w:pPr>
              <w:rPr>
                <w:sz w:val="20"/>
                <w:lang w:eastAsia="en-GB"/>
              </w:rPr>
            </w:pPr>
            <w:r w:rsidRPr="00373D94">
              <w:rPr>
                <w:sz w:val="20"/>
                <w:lang w:eastAsia="en-GB"/>
              </w:rPr>
              <w:t>20-24</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7758EBEA" w14:textId="77777777" w:rsidR="002C4CA4" w:rsidRPr="00373D94" w:rsidRDefault="002C4CA4" w:rsidP="009A2373">
            <w:pPr>
              <w:jc w:val="right"/>
              <w:rPr>
                <w:sz w:val="20"/>
                <w:lang w:eastAsia="en-GB"/>
              </w:rPr>
            </w:pPr>
            <w:r w:rsidRPr="00373D94">
              <w:rPr>
                <w:sz w:val="20"/>
                <w:lang w:eastAsia="en-GB"/>
              </w:rPr>
              <w:t>5545</w:t>
            </w:r>
          </w:p>
        </w:tc>
        <w:tc>
          <w:tcPr>
            <w:tcW w:w="404" w:type="pct"/>
            <w:vMerge/>
            <w:tcBorders>
              <w:left w:val="single" w:sz="4" w:space="0" w:color="auto"/>
              <w:right w:val="single" w:sz="4" w:space="0" w:color="auto"/>
            </w:tcBorders>
            <w:shd w:val="clear" w:color="auto" w:fill="9CC2E5" w:themeFill="accent1" w:themeFillTint="99"/>
            <w:vAlign w:val="center"/>
            <w:hideMark/>
          </w:tcPr>
          <w:p w14:paraId="295F5696"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49898598"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BD6EE89" w14:textId="77777777" w:rsidR="002C4CA4" w:rsidRPr="00373D94" w:rsidRDefault="002C4CA4" w:rsidP="009A2373">
            <w:pPr>
              <w:jc w:val="right"/>
              <w:rPr>
                <w:sz w:val="20"/>
                <w:lang w:eastAsia="en-GB"/>
              </w:rPr>
            </w:pPr>
            <w:r w:rsidRPr="00373D94">
              <w:rPr>
                <w:sz w:val="20"/>
                <w:lang w:eastAsia="en-GB"/>
              </w:rPr>
              <w:t>2165</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3F89E133" w14:textId="77777777" w:rsidR="002C4CA4" w:rsidRPr="00373D94" w:rsidRDefault="002C4CA4" w:rsidP="009A2373">
            <w:pPr>
              <w:jc w:val="right"/>
              <w:rPr>
                <w:sz w:val="20"/>
                <w:lang w:eastAsia="en-GB"/>
              </w:rPr>
            </w:pPr>
            <w:r w:rsidRPr="00373D94">
              <w:rPr>
                <w:sz w:val="20"/>
                <w:lang w:eastAsia="en-GB"/>
              </w:rPr>
              <w:t>380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7913CCB" w14:textId="77777777" w:rsidR="002C4CA4" w:rsidRPr="00373D94" w:rsidRDefault="002C4CA4" w:rsidP="009A2373">
            <w:pPr>
              <w:jc w:val="right"/>
              <w:rPr>
                <w:sz w:val="20"/>
                <w:lang w:eastAsia="en-GB"/>
              </w:rPr>
            </w:pPr>
            <w:r w:rsidRPr="00373D94">
              <w:rPr>
                <w:sz w:val="20"/>
                <w:lang w:eastAsia="en-GB"/>
              </w:rPr>
              <w:t>210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9D5F45E" w14:textId="77777777" w:rsidR="002C4CA4" w:rsidRPr="00373D94" w:rsidRDefault="002C4CA4" w:rsidP="009A2373">
            <w:pPr>
              <w:jc w:val="right"/>
              <w:rPr>
                <w:sz w:val="20"/>
                <w:lang w:eastAsia="en-GB"/>
              </w:rPr>
            </w:pPr>
            <w:r w:rsidRPr="00373D94">
              <w:rPr>
                <w:sz w:val="20"/>
                <w:lang w:eastAsia="en-GB"/>
              </w:rPr>
              <w:t>2165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700C6B99" w14:textId="77777777" w:rsidR="002C4CA4" w:rsidRPr="00373D94" w:rsidRDefault="002C4CA4" w:rsidP="009A2373">
            <w:pPr>
              <w:jc w:val="right"/>
              <w:rPr>
                <w:sz w:val="20"/>
                <w:lang w:eastAsia="en-GB"/>
              </w:rPr>
            </w:pPr>
            <w:r w:rsidRPr="00373D94">
              <w:rPr>
                <w:sz w:val="20"/>
                <w:lang w:eastAsia="en-GB"/>
              </w:rPr>
              <w:t>39%</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2788C84A" w14:textId="1CC783AE" w:rsidR="002C4CA4" w:rsidRPr="00373D94" w:rsidRDefault="00BE09C2" w:rsidP="009A2373">
            <w:pPr>
              <w:jc w:val="right"/>
              <w:rPr>
                <w:sz w:val="20"/>
                <w:lang w:eastAsia="en-GB"/>
              </w:rPr>
            </w:pPr>
            <w:r>
              <w:rPr>
                <w:sz w:val="20"/>
                <w:lang w:eastAsia="en-GB"/>
              </w:rPr>
              <w:t>2755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5789487" w14:textId="77777777" w:rsidR="002C4CA4" w:rsidRPr="00373D94" w:rsidRDefault="002C4CA4" w:rsidP="009A2373">
            <w:pPr>
              <w:jc w:val="right"/>
              <w:rPr>
                <w:sz w:val="20"/>
                <w:lang w:eastAsia="en-GB"/>
              </w:rPr>
            </w:pPr>
            <w:r w:rsidRPr="00373D94">
              <w:rPr>
                <w:sz w:val="20"/>
                <w:lang w:eastAsia="en-GB"/>
              </w:rPr>
              <w:t>50%</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DE6CA1F" w14:textId="77777777" w:rsidR="002C4CA4" w:rsidRPr="00A52AEE" w:rsidRDefault="002C4CA4" w:rsidP="009A2373">
            <w:pPr>
              <w:jc w:val="right"/>
              <w:rPr>
                <w:lang w:eastAsia="en-GB"/>
              </w:rPr>
            </w:pPr>
          </w:p>
        </w:tc>
      </w:tr>
      <w:tr w:rsidR="00373D94" w:rsidRPr="00A52AEE" w14:paraId="1B01415E"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CA233DC"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35AC5012" w14:textId="6176F094" w:rsidR="002C4CA4" w:rsidRPr="00373D94" w:rsidRDefault="00373D94" w:rsidP="00A52AEE">
            <w:pPr>
              <w:rPr>
                <w:sz w:val="20"/>
                <w:lang w:eastAsia="en-GB"/>
              </w:rPr>
            </w:pPr>
            <w:r w:rsidRPr="00373D94">
              <w:rPr>
                <w:sz w:val="20"/>
                <w:lang w:eastAsia="en-GB"/>
              </w:rPr>
              <w:t>25+</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E889184" w14:textId="77777777" w:rsidR="002C4CA4" w:rsidRPr="00373D94" w:rsidRDefault="002C4CA4" w:rsidP="009A2373">
            <w:pPr>
              <w:jc w:val="right"/>
              <w:rPr>
                <w:sz w:val="20"/>
                <w:lang w:eastAsia="en-GB"/>
              </w:rPr>
            </w:pPr>
            <w:r w:rsidRPr="00373D94">
              <w:rPr>
                <w:sz w:val="20"/>
                <w:lang w:eastAsia="en-GB"/>
              </w:rPr>
              <w:t>18125</w:t>
            </w:r>
          </w:p>
        </w:tc>
        <w:tc>
          <w:tcPr>
            <w:tcW w:w="404" w:type="pct"/>
            <w:vMerge/>
            <w:tcBorders>
              <w:left w:val="single" w:sz="4" w:space="0" w:color="auto"/>
              <w:right w:val="single" w:sz="4" w:space="0" w:color="auto"/>
            </w:tcBorders>
            <w:shd w:val="clear" w:color="auto" w:fill="9CC2E5" w:themeFill="accent1" w:themeFillTint="99"/>
            <w:vAlign w:val="center"/>
            <w:hideMark/>
          </w:tcPr>
          <w:p w14:paraId="484339AA"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5607F7E3"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ABDA419" w14:textId="77777777" w:rsidR="002C4CA4" w:rsidRPr="00373D94" w:rsidRDefault="002C4CA4" w:rsidP="009A2373">
            <w:pPr>
              <w:jc w:val="right"/>
              <w:rPr>
                <w:sz w:val="20"/>
                <w:lang w:eastAsia="en-GB"/>
              </w:rPr>
            </w:pPr>
            <w:r w:rsidRPr="00373D94">
              <w:rPr>
                <w:sz w:val="20"/>
                <w:lang w:eastAsia="en-GB"/>
              </w:rPr>
              <w:t>2850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284D0463" w14:textId="77777777" w:rsidR="002C4CA4" w:rsidRPr="00373D94" w:rsidRDefault="002C4CA4" w:rsidP="009A2373">
            <w:pPr>
              <w:jc w:val="right"/>
              <w:rPr>
                <w:sz w:val="20"/>
                <w:lang w:eastAsia="en-GB"/>
              </w:rPr>
            </w:pPr>
            <w:r w:rsidRPr="00373D94">
              <w:rPr>
                <w:sz w:val="20"/>
                <w:lang w:eastAsia="en-GB"/>
              </w:rPr>
              <w:t>725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DAE115F" w14:textId="77777777" w:rsidR="002C4CA4" w:rsidRPr="00373D94" w:rsidRDefault="002C4CA4" w:rsidP="009A2373">
            <w:pPr>
              <w:jc w:val="right"/>
              <w:rPr>
                <w:sz w:val="20"/>
                <w:lang w:eastAsia="en-GB"/>
              </w:rPr>
            </w:pPr>
            <w:r w:rsidRPr="00373D94">
              <w:rPr>
                <w:sz w:val="20"/>
                <w:lang w:eastAsia="en-GB"/>
              </w:rPr>
              <w:t>560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9DD4753" w14:textId="77777777" w:rsidR="002C4CA4" w:rsidRPr="00373D94" w:rsidRDefault="002C4CA4" w:rsidP="009A2373">
            <w:pPr>
              <w:jc w:val="right"/>
              <w:rPr>
                <w:sz w:val="20"/>
                <w:lang w:eastAsia="en-GB"/>
              </w:rPr>
            </w:pPr>
            <w:r w:rsidRPr="00373D94">
              <w:rPr>
                <w:sz w:val="20"/>
                <w:lang w:eastAsia="en-GB"/>
              </w:rPr>
              <w:t>2850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0905FE84" w14:textId="77777777" w:rsidR="002C4CA4" w:rsidRPr="00373D94" w:rsidRDefault="002C4CA4" w:rsidP="009A2373">
            <w:pPr>
              <w:jc w:val="right"/>
              <w:rPr>
                <w:sz w:val="20"/>
                <w:lang w:eastAsia="en-GB"/>
              </w:rPr>
            </w:pPr>
            <w:r w:rsidRPr="00373D94">
              <w:rPr>
                <w:sz w:val="20"/>
                <w:lang w:eastAsia="en-GB"/>
              </w:rPr>
              <w:t>16%</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4601CCBE" w14:textId="77777777" w:rsidR="002C4CA4" w:rsidRPr="00373D94" w:rsidRDefault="002C4CA4" w:rsidP="009A2373">
            <w:pPr>
              <w:jc w:val="right"/>
              <w:rPr>
                <w:sz w:val="20"/>
                <w:lang w:eastAsia="en-GB"/>
              </w:rPr>
            </w:pPr>
            <w:r w:rsidRPr="00373D94">
              <w:rPr>
                <w:sz w:val="20"/>
                <w:lang w:eastAsia="en-GB"/>
              </w:rPr>
              <w:t>4135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E18771B" w14:textId="77777777" w:rsidR="002C4CA4" w:rsidRPr="00373D94" w:rsidRDefault="002C4CA4" w:rsidP="009A2373">
            <w:pPr>
              <w:jc w:val="right"/>
              <w:rPr>
                <w:sz w:val="20"/>
                <w:lang w:eastAsia="en-GB"/>
              </w:rPr>
            </w:pPr>
            <w:r w:rsidRPr="00373D94">
              <w:rPr>
                <w:sz w:val="20"/>
                <w:lang w:eastAsia="en-GB"/>
              </w:rPr>
              <w:t>23%</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B9E17BC" w14:textId="77777777" w:rsidR="002C4CA4" w:rsidRPr="00A52AEE" w:rsidRDefault="002C4CA4" w:rsidP="009A2373">
            <w:pPr>
              <w:jc w:val="right"/>
              <w:rPr>
                <w:lang w:eastAsia="en-GB"/>
              </w:rPr>
            </w:pPr>
          </w:p>
        </w:tc>
      </w:tr>
      <w:tr w:rsidR="00373D94" w:rsidRPr="00A52AEE" w14:paraId="1154FE2F"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A358439"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121E46B7" w14:textId="77777777" w:rsidR="002C4CA4" w:rsidRPr="00373D94" w:rsidRDefault="002C4CA4" w:rsidP="00A52AEE">
            <w:pPr>
              <w:rPr>
                <w:sz w:val="20"/>
                <w:lang w:eastAsia="en-GB"/>
              </w:rPr>
            </w:pPr>
            <w:r w:rsidRPr="00373D94">
              <w:rPr>
                <w:sz w:val="20"/>
                <w:lang w:eastAsia="en-GB"/>
              </w:rPr>
              <w:t>Total</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E8BA350" w14:textId="77777777" w:rsidR="002C4CA4" w:rsidRPr="00373D94" w:rsidRDefault="002C4CA4" w:rsidP="009A2373">
            <w:pPr>
              <w:jc w:val="right"/>
              <w:rPr>
                <w:sz w:val="20"/>
                <w:lang w:eastAsia="en-GB"/>
              </w:rPr>
            </w:pPr>
            <w:r w:rsidRPr="00373D94">
              <w:rPr>
                <w:sz w:val="20"/>
                <w:lang w:eastAsia="en-GB"/>
              </w:rPr>
              <w:t>46085</w:t>
            </w:r>
          </w:p>
        </w:tc>
        <w:tc>
          <w:tcPr>
            <w:tcW w:w="404" w:type="pct"/>
            <w:vMerge/>
            <w:tcBorders>
              <w:left w:val="single" w:sz="4" w:space="0" w:color="auto"/>
              <w:right w:val="single" w:sz="4" w:space="0" w:color="auto"/>
            </w:tcBorders>
            <w:shd w:val="clear" w:color="auto" w:fill="9CC2E5" w:themeFill="accent1" w:themeFillTint="99"/>
            <w:vAlign w:val="center"/>
            <w:hideMark/>
          </w:tcPr>
          <w:p w14:paraId="3E04FCD1"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6063C613"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EB2B32C" w14:textId="77777777" w:rsidR="002C4CA4" w:rsidRPr="00373D94" w:rsidRDefault="002C4CA4" w:rsidP="009A2373">
            <w:pPr>
              <w:jc w:val="right"/>
              <w:rPr>
                <w:sz w:val="20"/>
                <w:lang w:eastAsia="en-GB"/>
              </w:rPr>
            </w:pPr>
            <w:r w:rsidRPr="00373D94">
              <w:rPr>
                <w:sz w:val="20"/>
                <w:lang w:eastAsia="en-GB"/>
              </w:rPr>
              <w:t>18115</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58908AE1" w14:textId="77777777" w:rsidR="002C4CA4" w:rsidRPr="00373D94" w:rsidRDefault="002C4CA4" w:rsidP="009A2373">
            <w:pPr>
              <w:jc w:val="right"/>
              <w:rPr>
                <w:sz w:val="20"/>
                <w:lang w:eastAsia="en-GB"/>
              </w:rPr>
            </w:pPr>
            <w:r w:rsidRPr="00373D94">
              <w:rPr>
                <w:sz w:val="20"/>
                <w:lang w:eastAsia="en-GB"/>
              </w:rPr>
              <w:t>3300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C2CC928" w14:textId="77777777" w:rsidR="002C4CA4" w:rsidRPr="00373D94" w:rsidRDefault="002C4CA4" w:rsidP="009A2373">
            <w:pPr>
              <w:jc w:val="right"/>
              <w:rPr>
                <w:sz w:val="20"/>
                <w:lang w:eastAsia="en-GB"/>
              </w:rPr>
            </w:pPr>
            <w:r w:rsidRPr="00373D94">
              <w:rPr>
                <w:sz w:val="20"/>
                <w:lang w:eastAsia="en-GB"/>
              </w:rPr>
              <w:t>1285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D2DE132" w14:textId="77777777" w:rsidR="002C4CA4" w:rsidRPr="00373D94" w:rsidRDefault="002C4CA4" w:rsidP="009A2373">
            <w:pPr>
              <w:jc w:val="right"/>
              <w:rPr>
                <w:sz w:val="20"/>
                <w:lang w:eastAsia="en-GB"/>
              </w:rPr>
            </w:pPr>
            <w:r w:rsidRPr="00373D94">
              <w:rPr>
                <w:sz w:val="20"/>
                <w:lang w:eastAsia="en-GB"/>
              </w:rPr>
              <w:t>18115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0424F098" w14:textId="77777777" w:rsidR="002C4CA4" w:rsidRPr="00373D94" w:rsidRDefault="002C4CA4" w:rsidP="009A2373">
            <w:pPr>
              <w:jc w:val="right"/>
              <w:rPr>
                <w:sz w:val="20"/>
                <w:lang w:eastAsia="en-GB"/>
              </w:rPr>
            </w:pPr>
            <w:r w:rsidRPr="00373D94">
              <w:rPr>
                <w:sz w:val="20"/>
                <w:lang w:eastAsia="en-GB"/>
              </w:rPr>
              <w:t>39%</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182E97E4" w14:textId="77777777" w:rsidR="002C4CA4" w:rsidRPr="00373D94" w:rsidRDefault="002C4CA4" w:rsidP="009A2373">
            <w:pPr>
              <w:jc w:val="right"/>
              <w:rPr>
                <w:sz w:val="20"/>
                <w:lang w:eastAsia="en-GB"/>
              </w:rPr>
            </w:pPr>
            <w:r w:rsidRPr="00373D94">
              <w:rPr>
                <w:sz w:val="20"/>
                <w:lang w:eastAsia="en-GB"/>
              </w:rPr>
              <w:t>22700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E85C0CC" w14:textId="77777777" w:rsidR="002C4CA4" w:rsidRPr="00373D94" w:rsidRDefault="002C4CA4" w:rsidP="009A2373">
            <w:pPr>
              <w:jc w:val="right"/>
              <w:rPr>
                <w:sz w:val="20"/>
                <w:lang w:eastAsia="en-GB"/>
              </w:rPr>
            </w:pPr>
            <w:r w:rsidRPr="00373D94">
              <w:rPr>
                <w:sz w:val="20"/>
                <w:lang w:eastAsia="en-GB"/>
              </w:rPr>
              <w:t>49%</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C422A12" w14:textId="77777777" w:rsidR="002C4CA4" w:rsidRPr="00A52AEE" w:rsidRDefault="002C4CA4" w:rsidP="009A2373">
            <w:pPr>
              <w:jc w:val="right"/>
              <w:rPr>
                <w:lang w:eastAsia="en-GB"/>
              </w:rPr>
            </w:pPr>
          </w:p>
        </w:tc>
      </w:tr>
      <w:tr w:rsidR="00373D94" w:rsidRPr="00373D94" w14:paraId="41EA7578" w14:textId="77777777" w:rsidTr="00B959B2">
        <w:trPr>
          <w:trHeight w:val="77"/>
        </w:trPr>
        <w:tc>
          <w:tcPr>
            <w:tcW w:w="25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091ACC2D" w14:textId="77777777" w:rsidR="002C4CA4" w:rsidRPr="00B959B2" w:rsidRDefault="002C4CA4" w:rsidP="00B959B2">
            <w:pPr>
              <w:jc w:val="center"/>
              <w:rPr>
                <w:b/>
                <w:sz w:val="4"/>
                <w:lang w:eastAsia="en-GB"/>
              </w:rPr>
            </w:pPr>
          </w:p>
        </w:tc>
        <w:tc>
          <w:tcPr>
            <w:tcW w:w="379" w:type="pct"/>
            <w:tcBorders>
              <w:top w:val="nil"/>
              <w:left w:val="nil"/>
              <w:bottom w:val="single" w:sz="4" w:space="0" w:color="auto"/>
              <w:right w:val="single" w:sz="4" w:space="0" w:color="auto"/>
            </w:tcBorders>
            <w:shd w:val="clear" w:color="auto" w:fill="BDD6EE" w:themeFill="accent1" w:themeFillTint="66"/>
            <w:vAlign w:val="center"/>
          </w:tcPr>
          <w:p w14:paraId="6417A25A" w14:textId="77777777" w:rsidR="002C4CA4" w:rsidRPr="00373D94" w:rsidRDefault="002C4CA4" w:rsidP="00A52AEE">
            <w:pPr>
              <w:rPr>
                <w:sz w:val="4"/>
                <w:lang w:eastAsia="en-GB"/>
              </w:rPr>
            </w:pPr>
          </w:p>
        </w:tc>
        <w:tc>
          <w:tcPr>
            <w:tcW w:w="434" w:type="pct"/>
            <w:tcBorders>
              <w:top w:val="nil"/>
              <w:left w:val="nil"/>
              <w:bottom w:val="single" w:sz="4" w:space="0" w:color="auto"/>
              <w:right w:val="single" w:sz="4" w:space="0" w:color="auto"/>
            </w:tcBorders>
            <w:shd w:val="clear" w:color="auto" w:fill="BDD6EE" w:themeFill="accent1" w:themeFillTint="66"/>
            <w:vAlign w:val="center"/>
          </w:tcPr>
          <w:p w14:paraId="79BC45E3" w14:textId="77777777" w:rsidR="002C4CA4" w:rsidRPr="00373D94" w:rsidRDefault="002C4CA4" w:rsidP="009A2373">
            <w:pPr>
              <w:jc w:val="right"/>
              <w:rPr>
                <w:sz w:val="4"/>
                <w:lang w:eastAsia="en-GB"/>
              </w:rPr>
            </w:pPr>
          </w:p>
        </w:tc>
        <w:tc>
          <w:tcPr>
            <w:tcW w:w="404" w:type="pct"/>
            <w:vMerge/>
            <w:tcBorders>
              <w:left w:val="single" w:sz="4" w:space="0" w:color="auto"/>
              <w:right w:val="single" w:sz="4" w:space="0" w:color="auto"/>
            </w:tcBorders>
            <w:shd w:val="clear" w:color="auto" w:fill="BDD6EE" w:themeFill="accent1" w:themeFillTint="66"/>
            <w:vAlign w:val="center"/>
          </w:tcPr>
          <w:p w14:paraId="46D20495" w14:textId="77777777" w:rsidR="002C4CA4" w:rsidRPr="00373D94" w:rsidRDefault="002C4CA4" w:rsidP="009A2373">
            <w:pPr>
              <w:jc w:val="right"/>
              <w:rPr>
                <w:sz w:val="4"/>
                <w:lang w:eastAsia="en-GB"/>
              </w:rPr>
            </w:pPr>
          </w:p>
        </w:tc>
        <w:tc>
          <w:tcPr>
            <w:tcW w:w="391" w:type="pct"/>
            <w:vMerge/>
            <w:tcBorders>
              <w:left w:val="single" w:sz="4" w:space="0" w:color="auto"/>
              <w:right w:val="single" w:sz="4" w:space="0" w:color="auto"/>
            </w:tcBorders>
            <w:shd w:val="clear" w:color="auto" w:fill="BDD6EE" w:themeFill="accent1" w:themeFillTint="66"/>
            <w:vAlign w:val="center"/>
          </w:tcPr>
          <w:p w14:paraId="0206B05C" w14:textId="77777777" w:rsidR="002C4CA4" w:rsidRPr="00373D94" w:rsidRDefault="002C4CA4" w:rsidP="009A2373">
            <w:pPr>
              <w:jc w:val="right"/>
              <w:rPr>
                <w:sz w:val="4"/>
                <w:lang w:eastAsia="en-GB"/>
              </w:rPr>
            </w:pPr>
          </w:p>
        </w:tc>
        <w:tc>
          <w:tcPr>
            <w:tcW w:w="435" w:type="pct"/>
            <w:vMerge w:val="restart"/>
            <w:tcBorders>
              <w:top w:val="nil"/>
              <w:left w:val="nil"/>
              <w:right w:val="single" w:sz="4" w:space="0" w:color="auto"/>
            </w:tcBorders>
            <w:shd w:val="clear" w:color="auto" w:fill="BDD6EE" w:themeFill="accent1" w:themeFillTint="66"/>
            <w:noWrap/>
            <w:vAlign w:val="center"/>
          </w:tcPr>
          <w:p w14:paraId="55A85FEF" w14:textId="70CB5360" w:rsidR="002C4CA4" w:rsidRPr="00373D94" w:rsidRDefault="002C4CA4" w:rsidP="009A2373">
            <w:pPr>
              <w:jc w:val="right"/>
              <w:rPr>
                <w:sz w:val="4"/>
                <w:lang w:eastAsia="en-GB"/>
              </w:rPr>
            </w:pPr>
            <w:r w:rsidRPr="00373D94">
              <w:rPr>
                <w:sz w:val="4"/>
                <w:lang w:eastAsia="en-GB"/>
              </w:rPr>
              <w:t> </w:t>
            </w:r>
          </w:p>
        </w:tc>
        <w:tc>
          <w:tcPr>
            <w:tcW w:w="503" w:type="pct"/>
            <w:tcBorders>
              <w:top w:val="nil"/>
              <w:left w:val="nil"/>
              <w:bottom w:val="single" w:sz="4" w:space="0" w:color="auto"/>
              <w:right w:val="single" w:sz="4" w:space="0" w:color="auto"/>
            </w:tcBorders>
            <w:shd w:val="clear" w:color="auto" w:fill="BDD6EE" w:themeFill="accent1" w:themeFillTint="66"/>
            <w:noWrap/>
            <w:vAlign w:val="center"/>
          </w:tcPr>
          <w:p w14:paraId="37753B9A"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277C6361"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69FD514F" w14:textId="77777777" w:rsidR="002C4CA4" w:rsidRPr="00373D94" w:rsidRDefault="002C4CA4" w:rsidP="009A2373">
            <w:pPr>
              <w:jc w:val="right"/>
              <w:rPr>
                <w:sz w:val="4"/>
                <w:lang w:eastAsia="en-GB"/>
              </w:rPr>
            </w:pPr>
          </w:p>
        </w:tc>
        <w:tc>
          <w:tcPr>
            <w:tcW w:w="321" w:type="pct"/>
            <w:tcBorders>
              <w:top w:val="nil"/>
              <w:left w:val="nil"/>
              <w:bottom w:val="single" w:sz="4" w:space="0" w:color="auto"/>
              <w:right w:val="single" w:sz="4" w:space="0" w:color="auto"/>
            </w:tcBorders>
            <w:shd w:val="clear" w:color="auto" w:fill="BDD6EE" w:themeFill="accent1" w:themeFillTint="66"/>
            <w:noWrap/>
            <w:vAlign w:val="center"/>
          </w:tcPr>
          <w:p w14:paraId="36253212" w14:textId="77777777" w:rsidR="002C4CA4" w:rsidRPr="00373D94" w:rsidRDefault="002C4CA4" w:rsidP="009A2373">
            <w:pPr>
              <w:jc w:val="right"/>
              <w:rPr>
                <w:sz w:val="4"/>
                <w:lang w:eastAsia="en-GB"/>
              </w:rPr>
            </w:pPr>
          </w:p>
        </w:tc>
        <w:tc>
          <w:tcPr>
            <w:tcW w:w="403" w:type="pct"/>
            <w:tcBorders>
              <w:top w:val="nil"/>
              <w:left w:val="nil"/>
              <w:bottom w:val="single" w:sz="4" w:space="0" w:color="auto"/>
              <w:right w:val="single" w:sz="4" w:space="0" w:color="auto"/>
            </w:tcBorders>
            <w:shd w:val="clear" w:color="auto" w:fill="BDD6EE" w:themeFill="accent1" w:themeFillTint="66"/>
            <w:noWrap/>
            <w:vAlign w:val="center"/>
          </w:tcPr>
          <w:p w14:paraId="4BFEA55E" w14:textId="77777777" w:rsidR="002C4CA4" w:rsidRPr="00373D94" w:rsidRDefault="002C4CA4" w:rsidP="009A2373">
            <w:pPr>
              <w:jc w:val="right"/>
              <w:rPr>
                <w:sz w:val="4"/>
                <w:lang w:eastAsia="en-GB"/>
              </w:rPr>
            </w:pPr>
          </w:p>
        </w:tc>
        <w:tc>
          <w:tcPr>
            <w:tcW w:w="362" w:type="pct"/>
            <w:tcBorders>
              <w:top w:val="nil"/>
              <w:left w:val="nil"/>
              <w:bottom w:val="single" w:sz="4" w:space="0" w:color="auto"/>
              <w:right w:val="single" w:sz="4" w:space="0" w:color="auto"/>
            </w:tcBorders>
            <w:shd w:val="clear" w:color="auto" w:fill="BDD6EE" w:themeFill="accent1" w:themeFillTint="66"/>
            <w:noWrap/>
            <w:vAlign w:val="center"/>
          </w:tcPr>
          <w:p w14:paraId="031AF645" w14:textId="77777777" w:rsidR="002C4CA4" w:rsidRPr="00373D94" w:rsidRDefault="002C4CA4" w:rsidP="009A2373">
            <w:pPr>
              <w:jc w:val="right"/>
              <w:rPr>
                <w:sz w:val="4"/>
                <w:lang w:eastAsia="en-GB"/>
              </w:rPr>
            </w:pPr>
          </w:p>
        </w:tc>
        <w:tc>
          <w:tcPr>
            <w:tcW w:w="23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3C6676DB" w14:textId="77777777" w:rsidR="002C4CA4" w:rsidRPr="00373D94" w:rsidRDefault="002C4CA4" w:rsidP="009A2373">
            <w:pPr>
              <w:jc w:val="right"/>
              <w:rPr>
                <w:sz w:val="4"/>
                <w:lang w:eastAsia="en-GB"/>
              </w:rPr>
            </w:pPr>
          </w:p>
        </w:tc>
      </w:tr>
      <w:tr w:rsidR="00373D94" w:rsidRPr="00A52AEE" w14:paraId="799FB3BA" w14:textId="77777777" w:rsidTr="00B959B2">
        <w:trPr>
          <w:trHeight w:val="300"/>
        </w:trPr>
        <w:tc>
          <w:tcPr>
            <w:tcW w:w="259" w:type="pct"/>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14:paraId="04A81E7B" w14:textId="77777777" w:rsidR="002C4CA4" w:rsidRPr="00B959B2" w:rsidRDefault="002C4CA4" w:rsidP="00B959B2">
            <w:pPr>
              <w:jc w:val="center"/>
              <w:rPr>
                <w:b/>
                <w:lang w:eastAsia="en-GB"/>
              </w:rPr>
            </w:pPr>
            <w:r w:rsidRPr="00B959B2">
              <w:rPr>
                <w:b/>
                <w:lang w:eastAsia="en-GB"/>
              </w:rPr>
              <w:t>2010/11</w:t>
            </w: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40A5FA26" w14:textId="6C525F47" w:rsidR="002C4CA4" w:rsidRPr="00373D94" w:rsidRDefault="00373D94" w:rsidP="00A52AEE">
            <w:pPr>
              <w:rPr>
                <w:sz w:val="20"/>
                <w:lang w:eastAsia="en-GB"/>
              </w:rPr>
            </w:pPr>
            <w:r w:rsidRPr="00373D94">
              <w:rPr>
                <w:sz w:val="20"/>
                <w:lang w:eastAsia="en-GB"/>
              </w:rPr>
              <w:t>17-19</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3A7A56C0" w14:textId="77777777" w:rsidR="002C4CA4" w:rsidRPr="00373D94" w:rsidRDefault="002C4CA4" w:rsidP="009A2373">
            <w:pPr>
              <w:jc w:val="right"/>
              <w:rPr>
                <w:sz w:val="20"/>
                <w:lang w:eastAsia="en-GB"/>
              </w:rPr>
            </w:pPr>
            <w:r w:rsidRPr="00373D94">
              <w:rPr>
                <w:sz w:val="20"/>
                <w:lang w:eastAsia="en-GB"/>
              </w:rPr>
              <w:t>23855</w:t>
            </w:r>
          </w:p>
        </w:tc>
        <w:tc>
          <w:tcPr>
            <w:tcW w:w="404" w:type="pct"/>
            <w:vMerge/>
            <w:tcBorders>
              <w:left w:val="single" w:sz="4" w:space="0" w:color="auto"/>
              <w:right w:val="single" w:sz="4" w:space="0" w:color="auto"/>
            </w:tcBorders>
            <w:shd w:val="clear" w:color="auto" w:fill="9CC2E5" w:themeFill="accent1" w:themeFillTint="99"/>
            <w:vAlign w:val="center"/>
            <w:hideMark/>
          </w:tcPr>
          <w:p w14:paraId="025EE084"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0CD7D67D"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noWrap/>
            <w:vAlign w:val="center"/>
            <w:hideMark/>
          </w:tcPr>
          <w:p w14:paraId="4F4C252C" w14:textId="0FC417A2" w:rsidR="002C4CA4" w:rsidRPr="00373D94" w:rsidRDefault="002C4CA4" w:rsidP="009A2373">
            <w:pPr>
              <w:jc w:val="right"/>
              <w:rPr>
                <w:sz w:val="20"/>
                <w:lang w:eastAsia="en-GB"/>
              </w:rPr>
            </w:pP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373AD674" w14:textId="77777777" w:rsidR="002C4CA4" w:rsidRPr="00373D94" w:rsidRDefault="002C4CA4" w:rsidP="009A2373">
            <w:pPr>
              <w:jc w:val="right"/>
              <w:rPr>
                <w:sz w:val="20"/>
                <w:lang w:eastAsia="en-GB"/>
              </w:rPr>
            </w:pPr>
            <w:r w:rsidRPr="00373D94">
              <w:rPr>
                <w:sz w:val="20"/>
                <w:lang w:eastAsia="en-GB"/>
              </w:rPr>
              <w:t>13610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741E3A6" w14:textId="77777777" w:rsidR="002C4CA4" w:rsidRPr="00373D94" w:rsidRDefault="002C4CA4" w:rsidP="009A2373">
            <w:pPr>
              <w:jc w:val="right"/>
              <w:rPr>
                <w:sz w:val="20"/>
                <w:lang w:eastAsia="en-GB"/>
              </w:rPr>
            </w:pPr>
            <w:r w:rsidRPr="00373D94">
              <w:rPr>
                <w:sz w:val="20"/>
                <w:lang w:eastAsia="en-GB"/>
              </w:rPr>
              <w:t>1880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5C74A64" w14:textId="77777777" w:rsidR="002C4CA4" w:rsidRPr="00373D94" w:rsidRDefault="002C4CA4" w:rsidP="009A2373">
            <w:pPr>
              <w:jc w:val="right"/>
              <w:rPr>
                <w:sz w:val="20"/>
                <w:lang w:eastAsia="en-GB"/>
              </w:rPr>
            </w:pPr>
            <w:r w:rsidRPr="00373D94">
              <w:rPr>
                <w:sz w:val="20"/>
                <w:lang w:eastAsia="en-GB"/>
              </w:rPr>
              <w:t>13610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297DDE88" w14:textId="77777777" w:rsidR="002C4CA4" w:rsidRPr="00373D94" w:rsidRDefault="002C4CA4" w:rsidP="009A2373">
            <w:pPr>
              <w:jc w:val="right"/>
              <w:rPr>
                <w:sz w:val="20"/>
                <w:lang w:eastAsia="en-GB"/>
              </w:rPr>
            </w:pPr>
            <w:r w:rsidRPr="00373D94">
              <w:rPr>
                <w:sz w:val="20"/>
                <w:lang w:eastAsia="en-GB"/>
              </w:rPr>
              <w:t>57%</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5CCED914" w14:textId="77777777" w:rsidR="002C4CA4" w:rsidRPr="00373D94" w:rsidRDefault="002C4CA4" w:rsidP="009A2373">
            <w:pPr>
              <w:jc w:val="right"/>
              <w:rPr>
                <w:sz w:val="20"/>
                <w:lang w:eastAsia="en-GB"/>
              </w:rPr>
            </w:pPr>
            <w:r w:rsidRPr="00373D94">
              <w:rPr>
                <w:sz w:val="20"/>
                <w:lang w:eastAsia="en-GB"/>
              </w:rPr>
              <w:t>15490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066AADA9" w14:textId="77777777" w:rsidR="002C4CA4" w:rsidRPr="00373D94" w:rsidRDefault="002C4CA4" w:rsidP="009A2373">
            <w:pPr>
              <w:jc w:val="right"/>
              <w:rPr>
                <w:sz w:val="20"/>
                <w:lang w:eastAsia="en-GB"/>
              </w:rPr>
            </w:pPr>
            <w:r w:rsidRPr="00373D94">
              <w:rPr>
                <w:sz w:val="20"/>
                <w:lang w:eastAsia="en-GB"/>
              </w:rPr>
              <w:t>65%</w:t>
            </w:r>
          </w:p>
        </w:tc>
        <w:tc>
          <w:tcPr>
            <w:tcW w:w="239" w:type="pct"/>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94D442" w14:textId="77777777" w:rsidR="002C4CA4" w:rsidRPr="00B959B2" w:rsidRDefault="002C4CA4" w:rsidP="009A2373">
            <w:pPr>
              <w:jc w:val="right"/>
              <w:rPr>
                <w:b/>
                <w:lang w:eastAsia="en-GB"/>
              </w:rPr>
            </w:pPr>
            <w:r w:rsidRPr="00B959B2">
              <w:rPr>
                <w:b/>
                <w:lang w:eastAsia="en-GB"/>
              </w:rPr>
              <w:t>2</w:t>
            </w:r>
          </w:p>
        </w:tc>
      </w:tr>
      <w:tr w:rsidR="00373D94" w:rsidRPr="00A52AEE" w14:paraId="2F602DD8"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EBED8E8"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7A9443AC" w14:textId="77777777" w:rsidR="002C4CA4" w:rsidRPr="00373D94" w:rsidRDefault="002C4CA4" w:rsidP="00A52AEE">
            <w:pPr>
              <w:rPr>
                <w:sz w:val="20"/>
                <w:lang w:eastAsia="en-GB"/>
              </w:rPr>
            </w:pPr>
            <w:r w:rsidRPr="00373D94">
              <w:rPr>
                <w:sz w:val="20"/>
                <w:lang w:eastAsia="en-GB"/>
              </w:rPr>
              <w:t>20-24</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4F52661" w14:textId="77777777" w:rsidR="002C4CA4" w:rsidRPr="00373D94" w:rsidRDefault="002C4CA4" w:rsidP="009A2373">
            <w:pPr>
              <w:jc w:val="right"/>
              <w:rPr>
                <w:sz w:val="20"/>
                <w:lang w:eastAsia="en-GB"/>
              </w:rPr>
            </w:pPr>
            <w:r w:rsidRPr="00373D94">
              <w:rPr>
                <w:sz w:val="20"/>
                <w:lang w:eastAsia="en-GB"/>
              </w:rPr>
              <w:t>5055</w:t>
            </w:r>
          </w:p>
        </w:tc>
        <w:tc>
          <w:tcPr>
            <w:tcW w:w="404" w:type="pct"/>
            <w:vMerge/>
            <w:tcBorders>
              <w:left w:val="single" w:sz="4" w:space="0" w:color="auto"/>
              <w:right w:val="single" w:sz="4" w:space="0" w:color="auto"/>
            </w:tcBorders>
            <w:shd w:val="clear" w:color="auto" w:fill="9CC2E5" w:themeFill="accent1" w:themeFillTint="99"/>
            <w:vAlign w:val="center"/>
            <w:hideMark/>
          </w:tcPr>
          <w:p w14:paraId="6BCE2BAE"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5F6EA73F"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3313119A" w14:textId="77777777" w:rsidR="002C4CA4" w:rsidRPr="00373D94" w:rsidRDefault="002C4CA4" w:rsidP="009A2373">
            <w:pPr>
              <w:jc w:val="right"/>
              <w:rPr>
                <w:sz w:val="20"/>
                <w:lang w:eastAsia="en-GB"/>
              </w:rPr>
            </w:pP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7D970221" w14:textId="77777777" w:rsidR="002C4CA4" w:rsidRPr="00373D94" w:rsidRDefault="002C4CA4" w:rsidP="009A2373">
            <w:pPr>
              <w:jc w:val="right"/>
              <w:rPr>
                <w:sz w:val="20"/>
                <w:lang w:eastAsia="en-GB"/>
              </w:rPr>
            </w:pPr>
            <w:r w:rsidRPr="00373D94">
              <w:rPr>
                <w:sz w:val="20"/>
                <w:lang w:eastAsia="en-GB"/>
              </w:rPr>
              <w:t>2135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539AD3E" w14:textId="77777777" w:rsidR="002C4CA4" w:rsidRPr="00373D94" w:rsidRDefault="002C4CA4" w:rsidP="009A2373">
            <w:pPr>
              <w:jc w:val="right"/>
              <w:rPr>
                <w:sz w:val="20"/>
                <w:lang w:eastAsia="en-GB"/>
              </w:rPr>
            </w:pPr>
            <w:r w:rsidRPr="00373D94">
              <w:rPr>
                <w:sz w:val="20"/>
                <w:lang w:eastAsia="en-GB"/>
              </w:rPr>
              <w:t>340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0B7E3BD" w14:textId="77777777" w:rsidR="002C4CA4" w:rsidRPr="00373D94" w:rsidRDefault="002C4CA4" w:rsidP="009A2373">
            <w:pPr>
              <w:jc w:val="right"/>
              <w:rPr>
                <w:sz w:val="20"/>
                <w:lang w:eastAsia="en-GB"/>
              </w:rPr>
            </w:pPr>
            <w:r w:rsidRPr="00373D94">
              <w:rPr>
                <w:sz w:val="20"/>
                <w:lang w:eastAsia="en-GB"/>
              </w:rPr>
              <w:t>2135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19A896B0" w14:textId="77777777" w:rsidR="002C4CA4" w:rsidRPr="00373D94" w:rsidRDefault="002C4CA4" w:rsidP="009A2373">
            <w:pPr>
              <w:jc w:val="right"/>
              <w:rPr>
                <w:sz w:val="20"/>
                <w:lang w:eastAsia="en-GB"/>
              </w:rPr>
            </w:pPr>
            <w:r w:rsidRPr="00373D94">
              <w:rPr>
                <w:sz w:val="20"/>
                <w:lang w:eastAsia="en-GB"/>
              </w:rPr>
              <w:t>42%</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73A9AD49" w14:textId="77777777" w:rsidR="002C4CA4" w:rsidRPr="00373D94" w:rsidRDefault="002C4CA4" w:rsidP="009A2373">
            <w:pPr>
              <w:jc w:val="right"/>
              <w:rPr>
                <w:sz w:val="20"/>
                <w:lang w:eastAsia="en-GB"/>
              </w:rPr>
            </w:pPr>
            <w:r w:rsidRPr="00373D94">
              <w:rPr>
                <w:sz w:val="20"/>
                <w:lang w:eastAsia="en-GB"/>
              </w:rPr>
              <w:t>2475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F69B112" w14:textId="77777777" w:rsidR="002C4CA4" w:rsidRPr="00373D94" w:rsidRDefault="002C4CA4" w:rsidP="009A2373">
            <w:pPr>
              <w:jc w:val="right"/>
              <w:rPr>
                <w:sz w:val="20"/>
                <w:lang w:eastAsia="en-GB"/>
              </w:rPr>
            </w:pPr>
            <w:r w:rsidRPr="00373D94">
              <w:rPr>
                <w:sz w:val="20"/>
                <w:lang w:eastAsia="en-GB"/>
              </w:rPr>
              <w:t>49%</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4BADA94" w14:textId="77777777" w:rsidR="002C4CA4" w:rsidRPr="00A52AEE" w:rsidRDefault="002C4CA4" w:rsidP="009A2373">
            <w:pPr>
              <w:jc w:val="right"/>
              <w:rPr>
                <w:lang w:eastAsia="en-GB"/>
              </w:rPr>
            </w:pPr>
          </w:p>
        </w:tc>
      </w:tr>
      <w:tr w:rsidR="00373D94" w:rsidRPr="00A52AEE" w14:paraId="555BB707"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7CB754A"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noWrap/>
            <w:vAlign w:val="center"/>
            <w:hideMark/>
          </w:tcPr>
          <w:p w14:paraId="735F45BC" w14:textId="59026C5E" w:rsidR="002C4CA4" w:rsidRPr="00373D94" w:rsidRDefault="00373D94" w:rsidP="00A52AEE">
            <w:pPr>
              <w:rPr>
                <w:sz w:val="20"/>
                <w:lang w:eastAsia="en-GB"/>
              </w:rPr>
            </w:pPr>
            <w:r w:rsidRPr="00373D94">
              <w:rPr>
                <w:sz w:val="20"/>
                <w:lang w:eastAsia="en-GB"/>
              </w:rPr>
              <w:t>25+</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290343CB" w14:textId="77777777" w:rsidR="002C4CA4" w:rsidRPr="00373D94" w:rsidRDefault="002C4CA4" w:rsidP="009A2373">
            <w:pPr>
              <w:jc w:val="right"/>
              <w:rPr>
                <w:sz w:val="20"/>
                <w:lang w:eastAsia="en-GB"/>
              </w:rPr>
            </w:pPr>
            <w:r w:rsidRPr="00373D94">
              <w:rPr>
                <w:sz w:val="20"/>
                <w:lang w:eastAsia="en-GB"/>
              </w:rPr>
              <w:t>13925</w:t>
            </w:r>
          </w:p>
        </w:tc>
        <w:tc>
          <w:tcPr>
            <w:tcW w:w="404" w:type="pct"/>
            <w:vMerge/>
            <w:tcBorders>
              <w:left w:val="single" w:sz="4" w:space="0" w:color="auto"/>
              <w:right w:val="single" w:sz="4" w:space="0" w:color="auto"/>
            </w:tcBorders>
            <w:shd w:val="clear" w:color="auto" w:fill="9CC2E5" w:themeFill="accent1" w:themeFillTint="99"/>
            <w:vAlign w:val="center"/>
            <w:hideMark/>
          </w:tcPr>
          <w:p w14:paraId="7D4C9E61"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7F64F50F"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5F1A2A2C" w14:textId="77777777" w:rsidR="002C4CA4" w:rsidRPr="00373D94" w:rsidRDefault="002C4CA4" w:rsidP="009A2373">
            <w:pPr>
              <w:jc w:val="right"/>
              <w:rPr>
                <w:sz w:val="20"/>
                <w:lang w:eastAsia="en-GB"/>
              </w:rPr>
            </w:pP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09D0BF37" w14:textId="77777777" w:rsidR="002C4CA4" w:rsidRPr="00373D94" w:rsidRDefault="002C4CA4" w:rsidP="009A2373">
            <w:pPr>
              <w:jc w:val="right"/>
              <w:rPr>
                <w:sz w:val="20"/>
                <w:lang w:eastAsia="en-GB"/>
              </w:rPr>
            </w:pPr>
            <w:r w:rsidRPr="00373D94">
              <w:rPr>
                <w:sz w:val="20"/>
                <w:lang w:eastAsia="en-GB"/>
              </w:rPr>
              <w:t>2745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284463AB" w14:textId="77777777" w:rsidR="002C4CA4" w:rsidRPr="00373D94" w:rsidRDefault="002C4CA4" w:rsidP="009A2373">
            <w:pPr>
              <w:jc w:val="right"/>
              <w:rPr>
                <w:sz w:val="20"/>
                <w:lang w:eastAsia="en-GB"/>
              </w:rPr>
            </w:pPr>
            <w:r w:rsidRPr="00373D94">
              <w:rPr>
                <w:sz w:val="20"/>
                <w:lang w:eastAsia="en-GB"/>
              </w:rPr>
              <w:t>795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2B063EC" w14:textId="77777777" w:rsidR="002C4CA4" w:rsidRPr="00373D94" w:rsidRDefault="002C4CA4" w:rsidP="009A2373">
            <w:pPr>
              <w:jc w:val="right"/>
              <w:rPr>
                <w:sz w:val="20"/>
                <w:lang w:eastAsia="en-GB"/>
              </w:rPr>
            </w:pPr>
            <w:r w:rsidRPr="00373D94">
              <w:rPr>
                <w:sz w:val="20"/>
                <w:lang w:eastAsia="en-GB"/>
              </w:rPr>
              <w:t>2745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23F6358B" w14:textId="77777777" w:rsidR="002C4CA4" w:rsidRPr="00373D94" w:rsidRDefault="002C4CA4" w:rsidP="009A2373">
            <w:pPr>
              <w:jc w:val="right"/>
              <w:rPr>
                <w:sz w:val="20"/>
                <w:lang w:eastAsia="en-GB"/>
              </w:rPr>
            </w:pPr>
            <w:r w:rsidRPr="00373D94">
              <w:rPr>
                <w:sz w:val="20"/>
                <w:lang w:eastAsia="en-GB"/>
              </w:rPr>
              <w:t>20%</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3770E30C" w14:textId="77777777" w:rsidR="002C4CA4" w:rsidRPr="00373D94" w:rsidRDefault="002C4CA4" w:rsidP="009A2373">
            <w:pPr>
              <w:jc w:val="right"/>
              <w:rPr>
                <w:sz w:val="20"/>
                <w:lang w:eastAsia="en-GB"/>
              </w:rPr>
            </w:pPr>
            <w:r w:rsidRPr="00373D94">
              <w:rPr>
                <w:sz w:val="20"/>
                <w:lang w:eastAsia="en-GB"/>
              </w:rPr>
              <w:t>3540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00C31D21" w14:textId="77777777" w:rsidR="002C4CA4" w:rsidRPr="00373D94" w:rsidRDefault="002C4CA4" w:rsidP="009A2373">
            <w:pPr>
              <w:jc w:val="right"/>
              <w:rPr>
                <w:sz w:val="20"/>
                <w:lang w:eastAsia="en-GB"/>
              </w:rPr>
            </w:pPr>
            <w:r w:rsidRPr="00373D94">
              <w:rPr>
                <w:sz w:val="20"/>
                <w:lang w:eastAsia="en-GB"/>
              </w:rPr>
              <w:t>25%</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8411F54" w14:textId="77777777" w:rsidR="002C4CA4" w:rsidRPr="00A52AEE" w:rsidRDefault="002C4CA4" w:rsidP="009A2373">
            <w:pPr>
              <w:jc w:val="right"/>
              <w:rPr>
                <w:lang w:eastAsia="en-GB"/>
              </w:rPr>
            </w:pPr>
          </w:p>
        </w:tc>
      </w:tr>
      <w:tr w:rsidR="00373D94" w:rsidRPr="00A52AEE" w14:paraId="16E7B489" w14:textId="77777777" w:rsidTr="00B959B2">
        <w:trPr>
          <w:trHeight w:val="300"/>
        </w:trPr>
        <w:tc>
          <w:tcPr>
            <w:tcW w:w="25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A8960DC" w14:textId="77777777" w:rsidR="002C4CA4" w:rsidRPr="00B959B2" w:rsidRDefault="002C4CA4" w:rsidP="00B959B2">
            <w:pPr>
              <w:jc w:val="center"/>
              <w:rPr>
                <w:b/>
                <w:lang w:eastAsia="en-GB"/>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43559F2E" w14:textId="77777777" w:rsidR="002C4CA4" w:rsidRPr="00373D94" w:rsidRDefault="002C4CA4" w:rsidP="00A52AEE">
            <w:pPr>
              <w:rPr>
                <w:sz w:val="20"/>
                <w:lang w:eastAsia="en-GB"/>
              </w:rPr>
            </w:pPr>
            <w:r w:rsidRPr="00373D94">
              <w:rPr>
                <w:sz w:val="20"/>
                <w:lang w:eastAsia="en-GB"/>
              </w:rPr>
              <w:t>Total</w:t>
            </w:r>
          </w:p>
        </w:tc>
        <w:tc>
          <w:tcPr>
            <w:tcW w:w="434" w:type="pct"/>
            <w:tcBorders>
              <w:top w:val="nil"/>
              <w:left w:val="nil"/>
              <w:bottom w:val="single" w:sz="4" w:space="0" w:color="auto"/>
              <w:right w:val="single" w:sz="4" w:space="0" w:color="auto"/>
            </w:tcBorders>
            <w:shd w:val="clear" w:color="auto" w:fill="FFFFFF" w:themeFill="background1"/>
            <w:vAlign w:val="center"/>
            <w:hideMark/>
          </w:tcPr>
          <w:p w14:paraId="46C87796" w14:textId="77777777" w:rsidR="002C4CA4" w:rsidRPr="00373D94" w:rsidRDefault="002C4CA4" w:rsidP="009A2373">
            <w:pPr>
              <w:jc w:val="right"/>
              <w:rPr>
                <w:sz w:val="20"/>
                <w:lang w:eastAsia="en-GB"/>
              </w:rPr>
            </w:pPr>
            <w:r w:rsidRPr="00373D94">
              <w:rPr>
                <w:sz w:val="20"/>
                <w:lang w:eastAsia="en-GB"/>
              </w:rPr>
              <w:t>42835</w:t>
            </w:r>
          </w:p>
        </w:tc>
        <w:tc>
          <w:tcPr>
            <w:tcW w:w="404" w:type="pct"/>
            <w:vMerge/>
            <w:tcBorders>
              <w:left w:val="single" w:sz="4" w:space="0" w:color="auto"/>
              <w:right w:val="single" w:sz="4" w:space="0" w:color="auto"/>
            </w:tcBorders>
            <w:shd w:val="clear" w:color="auto" w:fill="9CC2E5" w:themeFill="accent1" w:themeFillTint="99"/>
            <w:vAlign w:val="center"/>
            <w:hideMark/>
          </w:tcPr>
          <w:p w14:paraId="13A08119"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0F855A20"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09DF4064" w14:textId="77777777" w:rsidR="002C4CA4" w:rsidRPr="00373D94" w:rsidRDefault="002C4CA4" w:rsidP="009A2373">
            <w:pPr>
              <w:jc w:val="right"/>
              <w:rPr>
                <w:sz w:val="20"/>
                <w:lang w:eastAsia="en-GB"/>
              </w:rPr>
            </w:pP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14:paraId="54B5E9BC" w14:textId="77777777" w:rsidR="002C4CA4" w:rsidRPr="00373D94" w:rsidRDefault="002C4CA4" w:rsidP="009A2373">
            <w:pPr>
              <w:jc w:val="right"/>
              <w:rPr>
                <w:sz w:val="20"/>
                <w:lang w:eastAsia="en-GB"/>
              </w:rPr>
            </w:pPr>
            <w:r w:rsidRPr="00373D94">
              <w:rPr>
                <w:sz w:val="20"/>
                <w:lang w:eastAsia="en-GB"/>
              </w:rPr>
              <w:t>18490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1D4ADFB" w14:textId="77777777" w:rsidR="002C4CA4" w:rsidRPr="00373D94" w:rsidRDefault="002C4CA4" w:rsidP="009A2373">
            <w:pPr>
              <w:jc w:val="right"/>
              <w:rPr>
                <w:sz w:val="20"/>
                <w:lang w:eastAsia="en-GB"/>
              </w:rPr>
            </w:pPr>
            <w:r w:rsidRPr="00373D94">
              <w:rPr>
                <w:sz w:val="20"/>
                <w:lang w:eastAsia="en-GB"/>
              </w:rPr>
              <w:t>3015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7236A79" w14:textId="77777777" w:rsidR="002C4CA4" w:rsidRPr="00373D94" w:rsidRDefault="002C4CA4" w:rsidP="009A2373">
            <w:pPr>
              <w:jc w:val="right"/>
              <w:rPr>
                <w:sz w:val="20"/>
                <w:lang w:eastAsia="en-GB"/>
              </w:rPr>
            </w:pPr>
            <w:r w:rsidRPr="00373D94">
              <w:rPr>
                <w:sz w:val="20"/>
                <w:lang w:eastAsia="en-GB"/>
              </w:rPr>
              <w:t>18490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64B87A33" w14:textId="77777777" w:rsidR="002C4CA4" w:rsidRPr="00373D94" w:rsidRDefault="002C4CA4" w:rsidP="009A2373">
            <w:pPr>
              <w:jc w:val="right"/>
              <w:rPr>
                <w:sz w:val="20"/>
                <w:lang w:eastAsia="en-GB"/>
              </w:rPr>
            </w:pPr>
            <w:r w:rsidRPr="00373D94">
              <w:rPr>
                <w:sz w:val="20"/>
                <w:lang w:eastAsia="en-GB"/>
              </w:rPr>
              <w:t>43%</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1434D2FE" w14:textId="77777777" w:rsidR="002C4CA4" w:rsidRPr="00373D94" w:rsidRDefault="002C4CA4" w:rsidP="009A2373">
            <w:pPr>
              <w:jc w:val="right"/>
              <w:rPr>
                <w:sz w:val="20"/>
                <w:lang w:eastAsia="en-GB"/>
              </w:rPr>
            </w:pPr>
            <w:r w:rsidRPr="00373D94">
              <w:rPr>
                <w:sz w:val="20"/>
                <w:lang w:eastAsia="en-GB"/>
              </w:rPr>
              <w:t>21510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98F134B" w14:textId="77777777" w:rsidR="002C4CA4" w:rsidRPr="00373D94" w:rsidRDefault="002C4CA4" w:rsidP="009A2373">
            <w:pPr>
              <w:jc w:val="right"/>
              <w:rPr>
                <w:sz w:val="20"/>
                <w:lang w:eastAsia="en-GB"/>
              </w:rPr>
            </w:pPr>
            <w:r w:rsidRPr="00373D94">
              <w:rPr>
                <w:sz w:val="20"/>
                <w:lang w:eastAsia="en-GB"/>
              </w:rPr>
              <w:t>50%</w:t>
            </w:r>
          </w:p>
        </w:tc>
        <w:tc>
          <w:tcPr>
            <w:tcW w:w="2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0E406DB" w14:textId="77777777" w:rsidR="002C4CA4" w:rsidRPr="00A52AEE" w:rsidRDefault="002C4CA4" w:rsidP="009A2373">
            <w:pPr>
              <w:jc w:val="right"/>
              <w:rPr>
                <w:lang w:eastAsia="en-GB"/>
              </w:rPr>
            </w:pPr>
          </w:p>
        </w:tc>
      </w:tr>
      <w:tr w:rsidR="00373D94" w:rsidRPr="00373D94" w14:paraId="427002F4" w14:textId="77777777" w:rsidTr="00B959B2">
        <w:trPr>
          <w:trHeight w:val="70"/>
        </w:trPr>
        <w:tc>
          <w:tcPr>
            <w:tcW w:w="25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30E6E34D" w14:textId="77777777" w:rsidR="002C4CA4" w:rsidRPr="00B959B2" w:rsidRDefault="002C4CA4" w:rsidP="00B959B2">
            <w:pPr>
              <w:jc w:val="center"/>
              <w:rPr>
                <w:b/>
                <w:sz w:val="4"/>
                <w:lang w:eastAsia="en-GB"/>
              </w:rPr>
            </w:pPr>
          </w:p>
        </w:tc>
        <w:tc>
          <w:tcPr>
            <w:tcW w:w="379" w:type="pct"/>
            <w:tcBorders>
              <w:top w:val="nil"/>
              <w:left w:val="nil"/>
              <w:bottom w:val="single" w:sz="4" w:space="0" w:color="auto"/>
              <w:right w:val="single" w:sz="4" w:space="0" w:color="auto"/>
            </w:tcBorders>
            <w:shd w:val="clear" w:color="auto" w:fill="BDD6EE" w:themeFill="accent1" w:themeFillTint="66"/>
            <w:vAlign w:val="center"/>
          </w:tcPr>
          <w:p w14:paraId="24AACC0E" w14:textId="77777777" w:rsidR="002C4CA4" w:rsidRPr="00373D94" w:rsidRDefault="002C4CA4" w:rsidP="00A52AEE">
            <w:pPr>
              <w:rPr>
                <w:sz w:val="4"/>
                <w:lang w:eastAsia="en-GB"/>
              </w:rPr>
            </w:pPr>
          </w:p>
        </w:tc>
        <w:tc>
          <w:tcPr>
            <w:tcW w:w="434" w:type="pct"/>
            <w:tcBorders>
              <w:top w:val="nil"/>
              <w:left w:val="nil"/>
              <w:bottom w:val="single" w:sz="4" w:space="0" w:color="auto"/>
              <w:right w:val="single" w:sz="4" w:space="0" w:color="auto"/>
            </w:tcBorders>
            <w:shd w:val="clear" w:color="auto" w:fill="BDD6EE" w:themeFill="accent1" w:themeFillTint="66"/>
            <w:vAlign w:val="center"/>
          </w:tcPr>
          <w:p w14:paraId="4762E8B6" w14:textId="77777777" w:rsidR="002C4CA4" w:rsidRPr="00373D94" w:rsidRDefault="002C4CA4" w:rsidP="009A2373">
            <w:pPr>
              <w:jc w:val="right"/>
              <w:rPr>
                <w:sz w:val="4"/>
                <w:lang w:eastAsia="en-GB"/>
              </w:rPr>
            </w:pPr>
          </w:p>
        </w:tc>
        <w:tc>
          <w:tcPr>
            <w:tcW w:w="404" w:type="pct"/>
            <w:vMerge/>
            <w:tcBorders>
              <w:left w:val="single" w:sz="4" w:space="0" w:color="auto"/>
              <w:right w:val="single" w:sz="4" w:space="0" w:color="auto"/>
            </w:tcBorders>
            <w:shd w:val="clear" w:color="auto" w:fill="BDD6EE" w:themeFill="accent1" w:themeFillTint="66"/>
            <w:vAlign w:val="center"/>
          </w:tcPr>
          <w:p w14:paraId="38866DBA" w14:textId="77777777" w:rsidR="002C4CA4" w:rsidRPr="00373D94" w:rsidRDefault="002C4CA4" w:rsidP="009A2373">
            <w:pPr>
              <w:jc w:val="right"/>
              <w:rPr>
                <w:sz w:val="4"/>
                <w:lang w:eastAsia="en-GB"/>
              </w:rPr>
            </w:pPr>
          </w:p>
        </w:tc>
        <w:tc>
          <w:tcPr>
            <w:tcW w:w="391" w:type="pct"/>
            <w:vMerge/>
            <w:tcBorders>
              <w:left w:val="single" w:sz="4" w:space="0" w:color="auto"/>
              <w:right w:val="single" w:sz="4" w:space="0" w:color="auto"/>
            </w:tcBorders>
            <w:shd w:val="clear" w:color="auto" w:fill="BDD6EE" w:themeFill="accent1" w:themeFillTint="66"/>
            <w:vAlign w:val="center"/>
          </w:tcPr>
          <w:p w14:paraId="182C49B8" w14:textId="77777777" w:rsidR="002C4CA4" w:rsidRPr="00373D94" w:rsidRDefault="002C4CA4" w:rsidP="009A2373">
            <w:pPr>
              <w:jc w:val="right"/>
              <w:rPr>
                <w:sz w:val="4"/>
                <w:lang w:eastAsia="en-GB"/>
              </w:rPr>
            </w:pPr>
          </w:p>
        </w:tc>
        <w:tc>
          <w:tcPr>
            <w:tcW w:w="435" w:type="pct"/>
            <w:vMerge/>
            <w:tcBorders>
              <w:left w:val="single" w:sz="4" w:space="0" w:color="auto"/>
              <w:right w:val="single" w:sz="4" w:space="0" w:color="auto"/>
            </w:tcBorders>
            <w:shd w:val="clear" w:color="auto" w:fill="BDD6EE" w:themeFill="accent1" w:themeFillTint="66"/>
            <w:vAlign w:val="center"/>
          </w:tcPr>
          <w:p w14:paraId="7614E6D1" w14:textId="77777777" w:rsidR="002C4CA4" w:rsidRPr="00373D94" w:rsidRDefault="002C4CA4" w:rsidP="009A2373">
            <w:pPr>
              <w:jc w:val="right"/>
              <w:rPr>
                <w:sz w:val="4"/>
                <w:lang w:eastAsia="en-GB"/>
              </w:rPr>
            </w:pPr>
          </w:p>
        </w:tc>
        <w:tc>
          <w:tcPr>
            <w:tcW w:w="503" w:type="pct"/>
            <w:vMerge w:val="restart"/>
            <w:tcBorders>
              <w:top w:val="nil"/>
              <w:left w:val="nil"/>
              <w:right w:val="single" w:sz="4" w:space="0" w:color="auto"/>
            </w:tcBorders>
            <w:shd w:val="clear" w:color="auto" w:fill="BDD6EE" w:themeFill="accent1" w:themeFillTint="66"/>
            <w:noWrap/>
            <w:vAlign w:val="center"/>
          </w:tcPr>
          <w:p w14:paraId="1AE7CB00" w14:textId="4AAEF782" w:rsidR="002C4CA4" w:rsidRPr="00373D94" w:rsidRDefault="002C4CA4" w:rsidP="009A2373">
            <w:pPr>
              <w:jc w:val="right"/>
              <w:rPr>
                <w:sz w:val="4"/>
                <w:lang w:eastAsia="en-GB"/>
              </w:rPr>
            </w:pPr>
            <w:r w:rsidRPr="00373D94">
              <w:rPr>
                <w:sz w:val="4"/>
                <w:lang w:eastAsia="en-GB"/>
              </w:rPr>
              <w:t> </w:t>
            </w: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49638834" w14:textId="77777777" w:rsidR="002C4CA4" w:rsidRPr="00373D94" w:rsidRDefault="002C4CA4" w:rsidP="009A2373">
            <w:pPr>
              <w:jc w:val="right"/>
              <w:rPr>
                <w:sz w:val="4"/>
                <w:lang w:eastAsia="en-GB"/>
              </w:rPr>
            </w:pPr>
          </w:p>
        </w:tc>
        <w:tc>
          <w:tcPr>
            <w:tcW w:w="435" w:type="pct"/>
            <w:tcBorders>
              <w:top w:val="nil"/>
              <w:left w:val="nil"/>
              <w:bottom w:val="single" w:sz="4" w:space="0" w:color="auto"/>
              <w:right w:val="single" w:sz="4" w:space="0" w:color="auto"/>
            </w:tcBorders>
            <w:shd w:val="clear" w:color="auto" w:fill="BDD6EE" w:themeFill="accent1" w:themeFillTint="66"/>
            <w:noWrap/>
            <w:vAlign w:val="center"/>
          </w:tcPr>
          <w:p w14:paraId="0A6D1E7E" w14:textId="77777777" w:rsidR="002C4CA4" w:rsidRPr="00373D94" w:rsidRDefault="002C4CA4" w:rsidP="009A2373">
            <w:pPr>
              <w:jc w:val="right"/>
              <w:rPr>
                <w:sz w:val="4"/>
                <w:lang w:eastAsia="en-GB"/>
              </w:rPr>
            </w:pPr>
          </w:p>
        </w:tc>
        <w:tc>
          <w:tcPr>
            <w:tcW w:w="321" w:type="pct"/>
            <w:tcBorders>
              <w:top w:val="nil"/>
              <w:left w:val="nil"/>
              <w:bottom w:val="single" w:sz="4" w:space="0" w:color="auto"/>
              <w:right w:val="single" w:sz="4" w:space="0" w:color="auto"/>
            </w:tcBorders>
            <w:shd w:val="clear" w:color="auto" w:fill="BDD6EE" w:themeFill="accent1" w:themeFillTint="66"/>
            <w:noWrap/>
            <w:vAlign w:val="center"/>
          </w:tcPr>
          <w:p w14:paraId="173774F5" w14:textId="77777777" w:rsidR="002C4CA4" w:rsidRPr="00373D94" w:rsidRDefault="002C4CA4" w:rsidP="009A2373">
            <w:pPr>
              <w:jc w:val="right"/>
              <w:rPr>
                <w:sz w:val="4"/>
                <w:lang w:eastAsia="en-GB"/>
              </w:rPr>
            </w:pPr>
          </w:p>
        </w:tc>
        <w:tc>
          <w:tcPr>
            <w:tcW w:w="403" w:type="pct"/>
            <w:tcBorders>
              <w:top w:val="nil"/>
              <w:left w:val="nil"/>
              <w:bottom w:val="single" w:sz="4" w:space="0" w:color="auto"/>
              <w:right w:val="single" w:sz="4" w:space="0" w:color="auto"/>
            </w:tcBorders>
            <w:shd w:val="clear" w:color="auto" w:fill="BDD6EE" w:themeFill="accent1" w:themeFillTint="66"/>
            <w:noWrap/>
            <w:vAlign w:val="center"/>
          </w:tcPr>
          <w:p w14:paraId="458EA2C9" w14:textId="77777777" w:rsidR="002C4CA4" w:rsidRPr="00373D94" w:rsidRDefault="002C4CA4" w:rsidP="009A2373">
            <w:pPr>
              <w:jc w:val="right"/>
              <w:rPr>
                <w:sz w:val="4"/>
                <w:lang w:eastAsia="en-GB"/>
              </w:rPr>
            </w:pPr>
          </w:p>
        </w:tc>
        <w:tc>
          <w:tcPr>
            <w:tcW w:w="362" w:type="pct"/>
            <w:tcBorders>
              <w:top w:val="nil"/>
              <w:left w:val="nil"/>
              <w:bottom w:val="single" w:sz="4" w:space="0" w:color="auto"/>
              <w:right w:val="single" w:sz="4" w:space="0" w:color="auto"/>
            </w:tcBorders>
            <w:shd w:val="clear" w:color="auto" w:fill="BDD6EE" w:themeFill="accent1" w:themeFillTint="66"/>
            <w:noWrap/>
            <w:vAlign w:val="center"/>
          </w:tcPr>
          <w:p w14:paraId="0C07D350" w14:textId="77777777" w:rsidR="002C4CA4" w:rsidRPr="00373D94" w:rsidRDefault="002C4CA4" w:rsidP="009A2373">
            <w:pPr>
              <w:jc w:val="right"/>
              <w:rPr>
                <w:sz w:val="4"/>
                <w:lang w:eastAsia="en-GB"/>
              </w:rPr>
            </w:pPr>
          </w:p>
        </w:tc>
        <w:tc>
          <w:tcPr>
            <w:tcW w:w="239"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234252D2" w14:textId="77777777" w:rsidR="002C4CA4" w:rsidRPr="00373D94" w:rsidRDefault="002C4CA4" w:rsidP="009A2373">
            <w:pPr>
              <w:jc w:val="right"/>
              <w:rPr>
                <w:sz w:val="4"/>
                <w:lang w:eastAsia="en-GB"/>
              </w:rPr>
            </w:pPr>
          </w:p>
        </w:tc>
      </w:tr>
      <w:tr w:rsidR="00373D94" w:rsidRPr="00A52AEE" w14:paraId="52EF0C2A" w14:textId="77777777" w:rsidTr="00B959B2">
        <w:trPr>
          <w:trHeight w:val="300"/>
        </w:trPr>
        <w:tc>
          <w:tcPr>
            <w:tcW w:w="25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205AF5B" w14:textId="77777777" w:rsidR="002C4CA4" w:rsidRPr="00B959B2" w:rsidRDefault="002C4CA4" w:rsidP="00B959B2">
            <w:pPr>
              <w:jc w:val="center"/>
              <w:rPr>
                <w:b/>
                <w:lang w:eastAsia="en-GB"/>
              </w:rPr>
            </w:pPr>
            <w:r w:rsidRPr="00B959B2">
              <w:rPr>
                <w:b/>
                <w:lang w:eastAsia="en-GB"/>
              </w:rPr>
              <w:t>2011/12</w:t>
            </w:r>
          </w:p>
        </w:tc>
        <w:tc>
          <w:tcPr>
            <w:tcW w:w="379" w:type="pct"/>
            <w:tcBorders>
              <w:top w:val="nil"/>
              <w:left w:val="nil"/>
              <w:bottom w:val="single" w:sz="4" w:space="0" w:color="auto"/>
              <w:right w:val="single" w:sz="4" w:space="0" w:color="auto"/>
            </w:tcBorders>
            <w:shd w:val="clear" w:color="000000" w:fill="FFFFFF"/>
            <w:noWrap/>
            <w:vAlign w:val="center"/>
            <w:hideMark/>
          </w:tcPr>
          <w:p w14:paraId="3F2509C1" w14:textId="62F449F3" w:rsidR="002C4CA4" w:rsidRPr="00373D94" w:rsidRDefault="00373D94" w:rsidP="00A52AEE">
            <w:pPr>
              <w:rPr>
                <w:sz w:val="20"/>
                <w:lang w:eastAsia="en-GB"/>
              </w:rPr>
            </w:pPr>
            <w:r>
              <w:rPr>
                <w:sz w:val="20"/>
                <w:lang w:eastAsia="en-GB"/>
              </w:rPr>
              <w:t>17-19</w:t>
            </w:r>
          </w:p>
        </w:tc>
        <w:tc>
          <w:tcPr>
            <w:tcW w:w="434" w:type="pct"/>
            <w:tcBorders>
              <w:top w:val="nil"/>
              <w:left w:val="nil"/>
              <w:bottom w:val="single" w:sz="4" w:space="0" w:color="auto"/>
              <w:right w:val="single" w:sz="4" w:space="0" w:color="auto"/>
            </w:tcBorders>
            <w:shd w:val="clear" w:color="auto" w:fill="auto"/>
            <w:vAlign w:val="center"/>
            <w:hideMark/>
          </w:tcPr>
          <w:p w14:paraId="0AF406D6" w14:textId="77777777" w:rsidR="002C4CA4" w:rsidRPr="00373D94" w:rsidRDefault="002C4CA4" w:rsidP="009A2373">
            <w:pPr>
              <w:jc w:val="right"/>
              <w:rPr>
                <w:sz w:val="20"/>
                <w:lang w:eastAsia="en-GB"/>
              </w:rPr>
            </w:pPr>
            <w:r w:rsidRPr="00373D94">
              <w:rPr>
                <w:sz w:val="20"/>
                <w:lang w:eastAsia="en-GB"/>
              </w:rPr>
              <w:t>28900</w:t>
            </w:r>
          </w:p>
        </w:tc>
        <w:tc>
          <w:tcPr>
            <w:tcW w:w="404" w:type="pct"/>
            <w:vMerge/>
            <w:tcBorders>
              <w:left w:val="single" w:sz="4" w:space="0" w:color="auto"/>
              <w:right w:val="single" w:sz="4" w:space="0" w:color="auto"/>
            </w:tcBorders>
            <w:shd w:val="clear" w:color="auto" w:fill="9CC2E5" w:themeFill="accent1" w:themeFillTint="99"/>
            <w:vAlign w:val="center"/>
            <w:hideMark/>
          </w:tcPr>
          <w:p w14:paraId="4EB6EB6D"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5A728A77"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7736D736" w14:textId="77777777" w:rsidR="002C4CA4" w:rsidRPr="00373D94" w:rsidRDefault="002C4CA4" w:rsidP="009A2373">
            <w:pPr>
              <w:jc w:val="right"/>
              <w:rPr>
                <w:sz w:val="20"/>
                <w:lang w:eastAsia="en-GB"/>
              </w:rPr>
            </w:pPr>
          </w:p>
        </w:tc>
        <w:tc>
          <w:tcPr>
            <w:tcW w:w="503" w:type="pct"/>
            <w:vMerge/>
            <w:tcBorders>
              <w:left w:val="single" w:sz="4" w:space="0" w:color="auto"/>
              <w:right w:val="single" w:sz="4" w:space="0" w:color="auto"/>
            </w:tcBorders>
            <w:shd w:val="clear" w:color="auto" w:fill="9CC2E5" w:themeFill="accent1" w:themeFillTint="99"/>
            <w:noWrap/>
            <w:vAlign w:val="center"/>
            <w:hideMark/>
          </w:tcPr>
          <w:p w14:paraId="0DEB269C" w14:textId="585B894B"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134E90B" w14:textId="77777777" w:rsidR="002C4CA4" w:rsidRPr="00373D94" w:rsidRDefault="002C4CA4" w:rsidP="009A2373">
            <w:pPr>
              <w:jc w:val="right"/>
              <w:rPr>
                <w:sz w:val="20"/>
                <w:lang w:eastAsia="en-GB"/>
              </w:rPr>
            </w:pPr>
            <w:r w:rsidRPr="00373D94">
              <w:rPr>
                <w:sz w:val="20"/>
                <w:lang w:eastAsia="en-GB"/>
              </w:rPr>
              <w:t>12950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5DD1194" w14:textId="77777777" w:rsidR="002C4CA4" w:rsidRPr="00373D94" w:rsidRDefault="002C4CA4" w:rsidP="009A2373">
            <w:pPr>
              <w:jc w:val="right"/>
              <w:rPr>
                <w:sz w:val="20"/>
                <w:lang w:eastAsia="en-GB"/>
              </w:rPr>
            </w:pPr>
            <w:r w:rsidRPr="00373D94">
              <w:rPr>
                <w:sz w:val="20"/>
                <w:lang w:eastAsia="en-GB"/>
              </w:rPr>
              <w:t>12950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7CF838A6" w14:textId="77777777" w:rsidR="002C4CA4" w:rsidRPr="00373D94" w:rsidRDefault="002C4CA4" w:rsidP="009A2373">
            <w:pPr>
              <w:jc w:val="right"/>
              <w:rPr>
                <w:sz w:val="20"/>
                <w:lang w:eastAsia="en-GB"/>
              </w:rPr>
            </w:pPr>
            <w:r w:rsidRPr="00373D94">
              <w:rPr>
                <w:sz w:val="20"/>
                <w:lang w:eastAsia="en-GB"/>
              </w:rPr>
              <w:t>45%</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59A228FF" w14:textId="77777777" w:rsidR="002C4CA4" w:rsidRPr="00373D94" w:rsidRDefault="002C4CA4" w:rsidP="009A2373">
            <w:pPr>
              <w:jc w:val="right"/>
              <w:rPr>
                <w:sz w:val="20"/>
                <w:lang w:eastAsia="en-GB"/>
              </w:rPr>
            </w:pPr>
            <w:r w:rsidRPr="00373D94">
              <w:rPr>
                <w:sz w:val="20"/>
                <w:lang w:eastAsia="en-GB"/>
              </w:rPr>
              <w:t>12950</w:t>
            </w:r>
          </w:p>
        </w:tc>
        <w:tc>
          <w:tcPr>
            <w:tcW w:w="362" w:type="pct"/>
            <w:tcBorders>
              <w:top w:val="nil"/>
              <w:left w:val="nil"/>
              <w:bottom w:val="single" w:sz="4" w:space="0" w:color="auto"/>
              <w:right w:val="single" w:sz="4" w:space="0" w:color="auto"/>
            </w:tcBorders>
            <w:shd w:val="clear" w:color="000000" w:fill="FFFFFF"/>
            <w:noWrap/>
            <w:vAlign w:val="center"/>
            <w:hideMark/>
          </w:tcPr>
          <w:p w14:paraId="3D0B9FAB" w14:textId="77777777" w:rsidR="002C4CA4" w:rsidRPr="00373D94" w:rsidRDefault="002C4CA4" w:rsidP="009A2373">
            <w:pPr>
              <w:jc w:val="right"/>
              <w:rPr>
                <w:sz w:val="20"/>
                <w:lang w:eastAsia="en-GB"/>
              </w:rPr>
            </w:pPr>
            <w:r w:rsidRPr="00373D94">
              <w:rPr>
                <w:sz w:val="20"/>
                <w:lang w:eastAsia="en-GB"/>
              </w:rPr>
              <w:t>45%</w:t>
            </w:r>
          </w:p>
        </w:tc>
        <w:tc>
          <w:tcPr>
            <w:tcW w:w="2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1F94595" w14:textId="77777777" w:rsidR="002C4CA4" w:rsidRPr="00B959B2" w:rsidRDefault="002C4CA4" w:rsidP="009A2373">
            <w:pPr>
              <w:jc w:val="right"/>
              <w:rPr>
                <w:b/>
                <w:lang w:eastAsia="en-GB"/>
              </w:rPr>
            </w:pPr>
            <w:r w:rsidRPr="00B959B2">
              <w:rPr>
                <w:b/>
                <w:lang w:eastAsia="en-GB"/>
              </w:rPr>
              <w:t>1</w:t>
            </w:r>
          </w:p>
        </w:tc>
      </w:tr>
      <w:tr w:rsidR="00373D94" w:rsidRPr="00A52AEE" w14:paraId="2228C2A2" w14:textId="77777777" w:rsidTr="00B959B2">
        <w:trPr>
          <w:trHeight w:val="300"/>
        </w:trPr>
        <w:tc>
          <w:tcPr>
            <w:tcW w:w="259" w:type="pct"/>
            <w:vMerge/>
            <w:tcBorders>
              <w:top w:val="nil"/>
              <w:left w:val="single" w:sz="4" w:space="0" w:color="auto"/>
              <w:bottom w:val="single" w:sz="4" w:space="0" w:color="auto"/>
              <w:right w:val="single" w:sz="4" w:space="0" w:color="auto"/>
            </w:tcBorders>
            <w:vAlign w:val="center"/>
            <w:hideMark/>
          </w:tcPr>
          <w:p w14:paraId="37B29974" w14:textId="77777777" w:rsidR="002C4CA4" w:rsidRPr="00A52AEE" w:rsidRDefault="002C4CA4" w:rsidP="009A2373">
            <w:pPr>
              <w:jc w:val="right"/>
              <w:rPr>
                <w:lang w:eastAsia="en-GB"/>
              </w:rPr>
            </w:pPr>
          </w:p>
        </w:tc>
        <w:tc>
          <w:tcPr>
            <w:tcW w:w="379" w:type="pct"/>
            <w:tcBorders>
              <w:top w:val="nil"/>
              <w:left w:val="nil"/>
              <w:bottom w:val="single" w:sz="4" w:space="0" w:color="auto"/>
              <w:right w:val="single" w:sz="4" w:space="0" w:color="auto"/>
            </w:tcBorders>
            <w:shd w:val="clear" w:color="000000" w:fill="FFFFFF"/>
            <w:noWrap/>
            <w:vAlign w:val="center"/>
            <w:hideMark/>
          </w:tcPr>
          <w:p w14:paraId="59B5BABA" w14:textId="77777777" w:rsidR="002C4CA4" w:rsidRPr="00373D94" w:rsidRDefault="002C4CA4" w:rsidP="009A2373">
            <w:pPr>
              <w:rPr>
                <w:sz w:val="20"/>
                <w:lang w:eastAsia="en-GB"/>
              </w:rPr>
            </w:pPr>
            <w:r w:rsidRPr="00373D94">
              <w:rPr>
                <w:sz w:val="20"/>
                <w:lang w:eastAsia="en-GB"/>
              </w:rPr>
              <w:t>20-24</w:t>
            </w:r>
          </w:p>
        </w:tc>
        <w:tc>
          <w:tcPr>
            <w:tcW w:w="434" w:type="pct"/>
            <w:tcBorders>
              <w:top w:val="nil"/>
              <w:left w:val="nil"/>
              <w:bottom w:val="single" w:sz="4" w:space="0" w:color="auto"/>
              <w:right w:val="single" w:sz="4" w:space="0" w:color="auto"/>
            </w:tcBorders>
            <w:shd w:val="clear" w:color="auto" w:fill="auto"/>
            <w:vAlign w:val="center"/>
            <w:hideMark/>
          </w:tcPr>
          <w:p w14:paraId="2BC94544" w14:textId="77777777" w:rsidR="002C4CA4" w:rsidRPr="00373D94" w:rsidRDefault="002C4CA4" w:rsidP="009A2373">
            <w:pPr>
              <w:jc w:val="right"/>
              <w:rPr>
                <w:sz w:val="20"/>
                <w:lang w:eastAsia="en-GB"/>
              </w:rPr>
            </w:pPr>
            <w:r w:rsidRPr="00373D94">
              <w:rPr>
                <w:sz w:val="20"/>
                <w:lang w:eastAsia="en-GB"/>
              </w:rPr>
              <w:t>5055</w:t>
            </w:r>
          </w:p>
        </w:tc>
        <w:tc>
          <w:tcPr>
            <w:tcW w:w="404" w:type="pct"/>
            <w:vMerge/>
            <w:tcBorders>
              <w:left w:val="single" w:sz="4" w:space="0" w:color="auto"/>
              <w:right w:val="single" w:sz="4" w:space="0" w:color="auto"/>
            </w:tcBorders>
            <w:shd w:val="clear" w:color="auto" w:fill="9CC2E5" w:themeFill="accent1" w:themeFillTint="99"/>
            <w:vAlign w:val="center"/>
            <w:hideMark/>
          </w:tcPr>
          <w:p w14:paraId="6373176B"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51565C48"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791F0C05" w14:textId="77777777" w:rsidR="002C4CA4" w:rsidRPr="00373D94" w:rsidRDefault="002C4CA4" w:rsidP="009A2373">
            <w:pPr>
              <w:jc w:val="right"/>
              <w:rPr>
                <w:sz w:val="20"/>
                <w:lang w:eastAsia="en-GB"/>
              </w:rPr>
            </w:pPr>
          </w:p>
        </w:tc>
        <w:tc>
          <w:tcPr>
            <w:tcW w:w="503" w:type="pct"/>
            <w:vMerge/>
            <w:tcBorders>
              <w:left w:val="single" w:sz="4" w:space="0" w:color="auto"/>
              <w:right w:val="single" w:sz="4" w:space="0" w:color="auto"/>
            </w:tcBorders>
            <w:shd w:val="clear" w:color="auto" w:fill="9CC2E5" w:themeFill="accent1" w:themeFillTint="99"/>
            <w:vAlign w:val="center"/>
            <w:hideMark/>
          </w:tcPr>
          <w:p w14:paraId="371D222A"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73B472F5" w14:textId="77777777" w:rsidR="002C4CA4" w:rsidRPr="00373D94" w:rsidRDefault="002C4CA4" w:rsidP="009A2373">
            <w:pPr>
              <w:jc w:val="right"/>
              <w:rPr>
                <w:sz w:val="20"/>
                <w:lang w:eastAsia="en-GB"/>
              </w:rPr>
            </w:pPr>
            <w:r w:rsidRPr="00373D94">
              <w:rPr>
                <w:sz w:val="20"/>
                <w:lang w:eastAsia="en-GB"/>
              </w:rPr>
              <w:t>1985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6CAB08B4" w14:textId="77777777" w:rsidR="002C4CA4" w:rsidRPr="00373D94" w:rsidRDefault="002C4CA4" w:rsidP="009A2373">
            <w:pPr>
              <w:jc w:val="right"/>
              <w:rPr>
                <w:sz w:val="20"/>
                <w:lang w:eastAsia="en-GB"/>
              </w:rPr>
            </w:pPr>
            <w:r w:rsidRPr="00373D94">
              <w:rPr>
                <w:sz w:val="20"/>
                <w:lang w:eastAsia="en-GB"/>
              </w:rPr>
              <w:t>1985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7879CA36" w14:textId="77777777" w:rsidR="002C4CA4" w:rsidRPr="00373D94" w:rsidRDefault="002C4CA4" w:rsidP="009A2373">
            <w:pPr>
              <w:jc w:val="right"/>
              <w:rPr>
                <w:sz w:val="20"/>
                <w:lang w:eastAsia="en-GB"/>
              </w:rPr>
            </w:pPr>
            <w:r w:rsidRPr="00373D94">
              <w:rPr>
                <w:sz w:val="20"/>
                <w:lang w:eastAsia="en-GB"/>
              </w:rPr>
              <w:t>39%</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734F7E50" w14:textId="77777777" w:rsidR="002C4CA4" w:rsidRPr="00373D94" w:rsidRDefault="002C4CA4" w:rsidP="009A2373">
            <w:pPr>
              <w:jc w:val="right"/>
              <w:rPr>
                <w:sz w:val="20"/>
                <w:lang w:eastAsia="en-GB"/>
              </w:rPr>
            </w:pPr>
            <w:r w:rsidRPr="00373D94">
              <w:rPr>
                <w:sz w:val="20"/>
                <w:lang w:eastAsia="en-GB"/>
              </w:rPr>
              <w:t>1985</w:t>
            </w:r>
          </w:p>
        </w:tc>
        <w:tc>
          <w:tcPr>
            <w:tcW w:w="362" w:type="pct"/>
            <w:tcBorders>
              <w:top w:val="nil"/>
              <w:left w:val="nil"/>
              <w:bottom w:val="single" w:sz="4" w:space="0" w:color="auto"/>
              <w:right w:val="single" w:sz="4" w:space="0" w:color="auto"/>
            </w:tcBorders>
            <w:shd w:val="clear" w:color="000000" w:fill="FFFFFF"/>
            <w:noWrap/>
            <w:vAlign w:val="center"/>
            <w:hideMark/>
          </w:tcPr>
          <w:p w14:paraId="4BADB747" w14:textId="77777777" w:rsidR="002C4CA4" w:rsidRPr="00373D94" w:rsidRDefault="002C4CA4" w:rsidP="009A2373">
            <w:pPr>
              <w:jc w:val="right"/>
              <w:rPr>
                <w:sz w:val="20"/>
                <w:lang w:eastAsia="en-GB"/>
              </w:rPr>
            </w:pPr>
            <w:r w:rsidRPr="00373D94">
              <w:rPr>
                <w:sz w:val="20"/>
                <w:lang w:eastAsia="en-GB"/>
              </w:rPr>
              <w:t>39%</w:t>
            </w:r>
          </w:p>
        </w:tc>
        <w:tc>
          <w:tcPr>
            <w:tcW w:w="239" w:type="pct"/>
            <w:vMerge/>
            <w:tcBorders>
              <w:top w:val="nil"/>
              <w:left w:val="single" w:sz="4" w:space="0" w:color="auto"/>
              <w:bottom w:val="single" w:sz="4" w:space="0" w:color="auto"/>
              <w:right w:val="single" w:sz="4" w:space="0" w:color="auto"/>
            </w:tcBorders>
            <w:vAlign w:val="center"/>
            <w:hideMark/>
          </w:tcPr>
          <w:p w14:paraId="625CEE24" w14:textId="77777777" w:rsidR="002C4CA4" w:rsidRPr="00A52AEE" w:rsidRDefault="002C4CA4" w:rsidP="009A2373">
            <w:pPr>
              <w:jc w:val="right"/>
              <w:rPr>
                <w:lang w:eastAsia="en-GB"/>
              </w:rPr>
            </w:pPr>
          </w:p>
        </w:tc>
      </w:tr>
      <w:tr w:rsidR="00373D94" w:rsidRPr="00A52AEE" w14:paraId="58823F97" w14:textId="77777777" w:rsidTr="00B959B2">
        <w:trPr>
          <w:trHeight w:val="300"/>
        </w:trPr>
        <w:tc>
          <w:tcPr>
            <w:tcW w:w="259" w:type="pct"/>
            <w:vMerge/>
            <w:tcBorders>
              <w:top w:val="nil"/>
              <w:left w:val="single" w:sz="4" w:space="0" w:color="auto"/>
              <w:bottom w:val="single" w:sz="4" w:space="0" w:color="auto"/>
              <w:right w:val="single" w:sz="4" w:space="0" w:color="auto"/>
            </w:tcBorders>
            <w:vAlign w:val="center"/>
            <w:hideMark/>
          </w:tcPr>
          <w:p w14:paraId="10BF7561" w14:textId="77777777" w:rsidR="002C4CA4" w:rsidRPr="00A52AEE" w:rsidRDefault="002C4CA4" w:rsidP="009A2373">
            <w:pPr>
              <w:jc w:val="right"/>
              <w:rPr>
                <w:lang w:eastAsia="en-GB"/>
              </w:rPr>
            </w:pPr>
          </w:p>
        </w:tc>
        <w:tc>
          <w:tcPr>
            <w:tcW w:w="379" w:type="pct"/>
            <w:tcBorders>
              <w:top w:val="nil"/>
              <w:left w:val="nil"/>
              <w:bottom w:val="single" w:sz="4" w:space="0" w:color="auto"/>
              <w:right w:val="single" w:sz="4" w:space="0" w:color="auto"/>
            </w:tcBorders>
            <w:shd w:val="clear" w:color="000000" w:fill="FFFFFF"/>
            <w:noWrap/>
            <w:vAlign w:val="center"/>
            <w:hideMark/>
          </w:tcPr>
          <w:p w14:paraId="1C06CA61" w14:textId="1A164C40" w:rsidR="002C4CA4" w:rsidRPr="00373D94" w:rsidRDefault="00373D94" w:rsidP="009A2373">
            <w:pPr>
              <w:rPr>
                <w:sz w:val="20"/>
                <w:lang w:eastAsia="en-GB"/>
              </w:rPr>
            </w:pPr>
            <w:r>
              <w:rPr>
                <w:sz w:val="20"/>
                <w:lang w:eastAsia="en-GB"/>
              </w:rPr>
              <w:t>25+</w:t>
            </w:r>
          </w:p>
        </w:tc>
        <w:tc>
          <w:tcPr>
            <w:tcW w:w="434" w:type="pct"/>
            <w:tcBorders>
              <w:top w:val="nil"/>
              <w:left w:val="nil"/>
              <w:bottom w:val="single" w:sz="4" w:space="0" w:color="auto"/>
              <w:right w:val="single" w:sz="4" w:space="0" w:color="auto"/>
            </w:tcBorders>
            <w:shd w:val="clear" w:color="auto" w:fill="auto"/>
            <w:vAlign w:val="center"/>
            <w:hideMark/>
          </w:tcPr>
          <w:p w14:paraId="4B8EB14C" w14:textId="77777777" w:rsidR="002C4CA4" w:rsidRPr="00373D94" w:rsidRDefault="002C4CA4" w:rsidP="009A2373">
            <w:pPr>
              <w:jc w:val="right"/>
              <w:rPr>
                <w:sz w:val="20"/>
                <w:lang w:eastAsia="en-GB"/>
              </w:rPr>
            </w:pPr>
            <w:r w:rsidRPr="00373D94">
              <w:rPr>
                <w:sz w:val="20"/>
                <w:lang w:eastAsia="en-GB"/>
              </w:rPr>
              <w:t>12430</w:t>
            </w:r>
          </w:p>
        </w:tc>
        <w:tc>
          <w:tcPr>
            <w:tcW w:w="404" w:type="pct"/>
            <w:vMerge/>
            <w:tcBorders>
              <w:left w:val="single" w:sz="4" w:space="0" w:color="auto"/>
              <w:right w:val="single" w:sz="4" w:space="0" w:color="auto"/>
            </w:tcBorders>
            <w:shd w:val="clear" w:color="auto" w:fill="9CC2E5" w:themeFill="accent1" w:themeFillTint="99"/>
            <w:vAlign w:val="center"/>
            <w:hideMark/>
          </w:tcPr>
          <w:p w14:paraId="3C348414" w14:textId="77777777" w:rsidR="002C4CA4" w:rsidRPr="00373D94" w:rsidRDefault="002C4CA4" w:rsidP="009A2373">
            <w:pPr>
              <w:jc w:val="right"/>
              <w:rPr>
                <w:sz w:val="20"/>
                <w:lang w:eastAsia="en-GB"/>
              </w:rPr>
            </w:pPr>
          </w:p>
        </w:tc>
        <w:tc>
          <w:tcPr>
            <w:tcW w:w="391" w:type="pct"/>
            <w:vMerge/>
            <w:tcBorders>
              <w:left w:val="single" w:sz="4" w:space="0" w:color="auto"/>
              <w:right w:val="single" w:sz="4" w:space="0" w:color="auto"/>
            </w:tcBorders>
            <w:shd w:val="clear" w:color="auto" w:fill="9CC2E5" w:themeFill="accent1" w:themeFillTint="99"/>
            <w:vAlign w:val="center"/>
            <w:hideMark/>
          </w:tcPr>
          <w:p w14:paraId="45BBDA71" w14:textId="77777777" w:rsidR="002C4CA4" w:rsidRPr="00373D94" w:rsidRDefault="002C4CA4" w:rsidP="009A2373">
            <w:pPr>
              <w:jc w:val="right"/>
              <w:rPr>
                <w:sz w:val="20"/>
                <w:lang w:eastAsia="en-GB"/>
              </w:rPr>
            </w:pPr>
          </w:p>
        </w:tc>
        <w:tc>
          <w:tcPr>
            <w:tcW w:w="435" w:type="pct"/>
            <w:vMerge/>
            <w:tcBorders>
              <w:left w:val="single" w:sz="4" w:space="0" w:color="auto"/>
              <w:right w:val="single" w:sz="4" w:space="0" w:color="auto"/>
            </w:tcBorders>
            <w:shd w:val="clear" w:color="auto" w:fill="9CC2E5" w:themeFill="accent1" w:themeFillTint="99"/>
            <w:vAlign w:val="center"/>
            <w:hideMark/>
          </w:tcPr>
          <w:p w14:paraId="52B7FF76" w14:textId="77777777" w:rsidR="002C4CA4" w:rsidRPr="00373D94" w:rsidRDefault="002C4CA4" w:rsidP="009A2373">
            <w:pPr>
              <w:jc w:val="right"/>
              <w:rPr>
                <w:sz w:val="20"/>
                <w:lang w:eastAsia="en-GB"/>
              </w:rPr>
            </w:pPr>
          </w:p>
        </w:tc>
        <w:tc>
          <w:tcPr>
            <w:tcW w:w="503" w:type="pct"/>
            <w:vMerge/>
            <w:tcBorders>
              <w:left w:val="single" w:sz="4" w:space="0" w:color="auto"/>
              <w:right w:val="single" w:sz="4" w:space="0" w:color="auto"/>
            </w:tcBorders>
            <w:shd w:val="clear" w:color="auto" w:fill="9CC2E5" w:themeFill="accent1" w:themeFillTint="99"/>
            <w:vAlign w:val="center"/>
            <w:hideMark/>
          </w:tcPr>
          <w:p w14:paraId="77D0269C"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07661939" w14:textId="77777777" w:rsidR="002C4CA4" w:rsidRPr="00373D94" w:rsidRDefault="002C4CA4" w:rsidP="009A2373">
            <w:pPr>
              <w:jc w:val="right"/>
              <w:rPr>
                <w:sz w:val="20"/>
                <w:lang w:eastAsia="en-GB"/>
              </w:rPr>
            </w:pPr>
            <w:r w:rsidRPr="00373D94">
              <w:rPr>
                <w:sz w:val="20"/>
                <w:lang w:eastAsia="en-GB"/>
              </w:rPr>
              <w:t>2835</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72E25E92" w14:textId="77777777" w:rsidR="002C4CA4" w:rsidRPr="00373D94" w:rsidRDefault="002C4CA4" w:rsidP="009A2373">
            <w:pPr>
              <w:jc w:val="right"/>
              <w:rPr>
                <w:sz w:val="20"/>
                <w:lang w:eastAsia="en-GB"/>
              </w:rPr>
            </w:pPr>
            <w:r w:rsidRPr="00373D94">
              <w:rPr>
                <w:sz w:val="20"/>
                <w:lang w:eastAsia="en-GB"/>
              </w:rPr>
              <w:t>2835</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7152F016" w14:textId="77777777" w:rsidR="002C4CA4" w:rsidRPr="00373D94" w:rsidRDefault="002C4CA4" w:rsidP="009A2373">
            <w:pPr>
              <w:jc w:val="right"/>
              <w:rPr>
                <w:sz w:val="20"/>
                <w:lang w:eastAsia="en-GB"/>
              </w:rPr>
            </w:pPr>
            <w:r w:rsidRPr="00373D94">
              <w:rPr>
                <w:sz w:val="20"/>
                <w:lang w:eastAsia="en-GB"/>
              </w:rPr>
              <w:t>23%</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15D16F4F" w14:textId="77777777" w:rsidR="002C4CA4" w:rsidRPr="00373D94" w:rsidRDefault="002C4CA4" w:rsidP="009A2373">
            <w:pPr>
              <w:jc w:val="right"/>
              <w:rPr>
                <w:sz w:val="20"/>
                <w:lang w:eastAsia="en-GB"/>
              </w:rPr>
            </w:pPr>
            <w:r w:rsidRPr="00373D94">
              <w:rPr>
                <w:sz w:val="20"/>
                <w:lang w:eastAsia="en-GB"/>
              </w:rPr>
              <w:t>2835</w:t>
            </w:r>
          </w:p>
        </w:tc>
        <w:tc>
          <w:tcPr>
            <w:tcW w:w="362" w:type="pct"/>
            <w:tcBorders>
              <w:top w:val="nil"/>
              <w:left w:val="nil"/>
              <w:bottom w:val="single" w:sz="4" w:space="0" w:color="auto"/>
              <w:right w:val="single" w:sz="4" w:space="0" w:color="auto"/>
            </w:tcBorders>
            <w:shd w:val="clear" w:color="000000" w:fill="FFFFFF"/>
            <w:noWrap/>
            <w:vAlign w:val="center"/>
            <w:hideMark/>
          </w:tcPr>
          <w:p w14:paraId="1EA7F228" w14:textId="77777777" w:rsidR="002C4CA4" w:rsidRPr="00373D94" w:rsidRDefault="002C4CA4" w:rsidP="009A2373">
            <w:pPr>
              <w:jc w:val="right"/>
              <w:rPr>
                <w:sz w:val="20"/>
                <w:lang w:eastAsia="en-GB"/>
              </w:rPr>
            </w:pPr>
            <w:r w:rsidRPr="00373D94">
              <w:rPr>
                <w:sz w:val="20"/>
                <w:lang w:eastAsia="en-GB"/>
              </w:rPr>
              <w:t>23%</w:t>
            </w:r>
          </w:p>
        </w:tc>
        <w:tc>
          <w:tcPr>
            <w:tcW w:w="239" w:type="pct"/>
            <w:vMerge/>
            <w:tcBorders>
              <w:top w:val="nil"/>
              <w:left w:val="single" w:sz="4" w:space="0" w:color="auto"/>
              <w:bottom w:val="single" w:sz="4" w:space="0" w:color="auto"/>
              <w:right w:val="single" w:sz="4" w:space="0" w:color="auto"/>
            </w:tcBorders>
            <w:vAlign w:val="center"/>
            <w:hideMark/>
          </w:tcPr>
          <w:p w14:paraId="2C01B4CF" w14:textId="77777777" w:rsidR="002C4CA4" w:rsidRPr="00A52AEE" w:rsidRDefault="002C4CA4" w:rsidP="009A2373">
            <w:pPr>
              <w:jc w:val="right"/>
              <w:rPr>
                <w:lang w:eastAsia="en-GB"/>
              </w:rPr>
            </w:pPr>
          </w:p>
        </w:tc>
      </w:tr>
      <w:tr w:rsidR="00373D94" w:rsidRPr="00A52AEE" w14:paraId="521DDF0D" w14:textId="77777777" w:rsidTr="00B959B2">
        <w:trPr>
          <w:trHeight w:val="300"/>
        </w:trPr>
        <w:tc>
          <w:tcPr>
            <w:tcW w:w="259" w:type="pct"/>
            <w:vMerge/>
            <w:tcBorders>
              <w:top w:val="nil"/>
              <w:left w:val="single" w:sz="4" w:space="0" w:color="auto"/>
              <w:bottom w:val="single" w:sz="4" w:space="0" w:color="auto"/>
              <w:right w:val="single" w:sz="4" w:space="0" w:color="auto"/>
            </w:tcBorders>
            <w:vAlign w:val="center"/>
            <w:hideMark/>
          </w:tcPr>
          <w:p w14:paraId="17CE6E42" w14:textId="77777777" w:rsidR="002C4CA4" w:rsidRPr="00A52AEE" w:rsidRDefault="002C4CA4" w:rsidP="009A2373">
            <w:pPr>
              <w:jc w:val="right"/>
              <w:rPr>
                <w:lang w:eastAsia="en-GB"/>
              </w:rPr>
            </w:pPr>
          </w:p>
        </w:tc>
        <w:tc>
          <w:tcPr>
            <w:tcW w:w="379" w:type="pct"/>
            <w:tcBorders>
              <w:top w:val="nil"/>
              <w:left w:val="nil"/>
              <w:bottom w:val="single" w:sz="4" w:space="0" w:color="auto"/>
              <w:right w:val="single" w:sz="4" w:space="0" w:color="auto"/>
            </w:tcBorders>
            <w:shd w:val="clear" w:color="000000" w:fill="FFFFFF"/>
            <w:vAlign w:val="center"/>
            <w:hideMark/>
          </w:tcPr>
          <w:p w14:paraId="65688AC1" w14:textId="77777777" w:rsidR="002C4CA4" w:rsidRPr="00373D94" w:rsidRDefault="002C4CA4" w:rsidP="009A2373">
            <w:pPr>
              <w:rPr>
                <w:sz w:val="20"/>
                <w:lang w:eastAsia="en-GB"/>
              </w:rPr>
            </w:pPr>
            <w:r w:rsidRPr="00373D94">
              <w:rPr>
                <w:sz w:val="20"/>
                <w:lang w:eastAsia="en-GB"/>
              </w:rPr>
              <w:t>Total</w:t>
            </w:r>
          </w:p>
        </w:tc>
        <w:tc>
          <w:tcPr>
            <w:tcW w:w="434" w:type="pct"/>
            <w:tcBorders>
              <w:top w:val="nil"/>
              <w:left w:val="nil"/>
              <w:bottom w:val="single" w:sz="4" w:space="0" w:color="auto"/>
              <w:right w:val="single" w:sz="4" w:space="0" w:color="auto"/>
            </w:tcBorders>
            <w:shd w:val="clear" w:color="auto" w:fill="auto"/>
            <w:vAlign w:val="center"/>
            <w:hideMark/>
          </w:tcPr>
          <w:p w14:paraId="769FF177" w14:textId="77777777" w:rsidR="002C4CA4" w:rsidRPr="00373D94" w:rsidRDefault="002C4CA4" w:rsidP="009A2373">
            <w:pPr>
              <w:jc w:val="right"/>
              <w:rPr>
                <w:sz w:val="20"/>
                <w:lang w:eastAsia="en-GB"/>
              </w:rPr>
            </w:pPr>
            <w:r w:rsidRPr="00373D94">
              <w:rPr>
                <w:sz w:val="20"/>
                <w:lang w:eastAsia="en-GB"/>
              </w:rPr>
              <w:t>46380</w:t>
            </w:r>
          </w:p>
        </w:tc>
        <w:tc>
          <w:tcPr>
            <w:tcW w:w="404" w:type="pct"/>
            <w:vMerge/>
            <w:tcBorders>
              <w:left w:val="single" w:sz="4" w:space="0" w:color="auto"/>
              <w:bottom w:val="single" w:sz="4" w:space="0" w:color="auto"/>
              <w:right w:val="single" w:sz="4" w:space="0" w:color="auto"/>
            </w:tcBorders>
            <w:shd w:val="clear" w:color="auto" w:fill="9CC2E5" w:themeFill="accent1" w:themeFillTint="99"/>
            <w:vAlign w:val="center"/>
            <w:hideMark/>
          </w:tcPr>
          <w:p w14:paraId="70FF5CE3" w14:textId="77777777" w:rsidR="002C4CA4" w:rsidRPr="00373D94" w:rsidRDefault="002C4CA4" w:rsidP="009A2373">
            <w:pPr>
              <w:jc w:val="right"/>
              <w:rPr>
                <w:sz w:val="20"/>
                <w:lang w:eastAsia="en-GB"/>
              </w:rPr>
            </w:pPr>
          </w:p>
        </w:tc>
        <w:tc>
          <w:tcPr>
            <w:tcW w:w="391" w:type="pct"/>
            <w:vMerge/>
            <w:tcBorders>
              <w:left w:val="single" w:sz="4" w:space="0" w:color="auto"/>
              <w:bottom w:val="single" w:sz="4" w:space="0" w:color="auto"/>
              <w:right w:val="single" w:sz="4" w:space="0" w:color="auto"/>
            </w:tcBorders>
            <w:shd w:val="clear" w:color="auto" w:fill="9CC2E5" w:themeFill="accent1" w:themeFillTint="99"/>
            <w:vAlign w:val="center"/>
            <w:hideMark/>
          </w:tcPr>
          <w:p w14:paraId="0F9B57A5" w14:textId="77777777" w:rsidR="002C4CA4" w:rsidRPr="00373D94" w:rsidRDefault="002C4CA4" w:rsidP="009A2373">
            <w:pPr>
              <w:jc w:val="right"/>
              <w:rPr>
                <w:sz w:val="20"/>
                <w:lang w:eastAsia="en-GB"/>
              </w:rPr>
            </w:pPr>
          </w:p>
        </w:tc>
        <w:tc>
          <w:tcPr>
            <w:tcW w:w="435" w:type="pct"/>
            <w:vMerge/>
            <w:tcBorders>
              <w:left w:val="single" w:sz="4" w:space="0" w:color="auto"/>
              <w:bottom w:val="single" w:sz="4" w:space="0" w:color="auto"/>
              <w:right w:val="single" w:sz="4" w:space="0" w:color="auto"/>
            </w:tcBorders>
            <w:shd w:val="clear" w:color="auto" w:fill="9CC2E5" w:themeFill="accent1" w:themeFillTint="99"/>
            <w:vAlign w:val="center"/>
            <w:hideMark/>
          </w:tcPr>
          <w:p w14:paraId="557E0D10" w14:textId="77777777" w:rsidR="002C4CA4" w:rsidRPr="00373D94" w:rsidRDefault="002C4CA4" w:rsidP="009A2373">
            <w:pPr>
              <w:jc w:val="right"/>
              <w:rPr>
                <w:sz w:val="20"/>
                <w:lang w:eastAsia="en-GB"/>
              </w:rPr>
            </w:pPr>
          </w:p>
        </w:tc>
        <w:tc>
          <w:tcPr>
            <w:tcW w:w="503" w:type="pct"/>
            <w:vMerge/>
            <w:tcBorders>
              <w:left w:val="single" w:sz="4" w:space="0" w:color="auto"/>
              <w:bottom w:val="single" w:sz="4" w:space="0" w:color="auto"/>
              <w:right w:val="single" w:sz="4" w:space="0" w:color="auto"/>
            </w:tcBorders>
            <w:shd w:val="clear" w:color="auto" w:fill="9CC2E5" w:themeFill="accent1" w:themeFillTint="99"/>
            <w:vAlign w:val="center"/>
            <w:hideMark/>
          </w:tcPr>
          <w:p w14:paraId="5FC7FA86" w14:textId="77777777" w:rsidR="002C4CA4" w:rsidRPr="00373D94" w:rsidRDefault="002C4CA4" w:rsidP="009A2373">
            <w:pPr>
              <w:jc w:val="right"/>
              <w:rPr>
                <w:sz w:val="20"/>
                <w:lang w:eastAsia="en-GB"/>
              </w:rPr>
            </w:pP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15E2CD1C" w14:textId="77777777" w:rsidR="002C4CA4" w:rsidRPr="00373D94" w:rsidRDefault="002C4CA4" w:rsidP="009A2373">
            <w:pPr>
              <w:jc w:val="right"/>
              <w:rPr>
                <w:sz w:val="20"/>
                <w:lang w:eastAsia="en-GB"/>
              </w:rPr>
            </w:pPr>
            <w:r w:rsidRPr="00373D94">
              <w:rPr>
                <w:sz w:val="20"/>
                <w:lang w:eastAsia="en-GB"/>
              </w:rPr>
              <w:t>17770</w:t>
            </w:r>
          </w:p>
        </w:tc>
        <w:tc>
          <w:tcPr>
            <w:tcW w:w="435" w:type="pct"/>
            <w:tcBorders>
              <w:top w:val="nil"/>
              <w:left w:val="nil"/>
              <w:bottom w:val="single" w:sz="4" w:space="0" w:color="auto"/>
              <w:right w:val="single" w:sz="4" w:space="0" w:color="auto"/>
            </w:tcBorders>
            <w:shd w:val="clear" w:color="auto" w:fill="FFFFFF" w:themeFill="background1"/>
            <w:noWrap/>
            <w:vAlign w:val="center"/>
            <w:hideMark/>
          </w:tcPr>
          <w:p w14:paraId="38E36A43" w14:textId="77777777" w:rsidR="002C4CA4" w:rsidRPr="00373D94" w:rsidRDefault="002C4CA4" w:rsidP="009A2373">
            <w:pPr>
              <w:jc w:val="right"/>
              <w:rPr>
                <w:sz w:val="20"/>
                <w:lang w:eastAsia="en-GB"/>
              </w:rPr>
            </w:pPr>
            <w:r w:rsidRPr="00373D94">
              <w:rPr>
                <w:sz w:val="20"/>
                <w:lang w:eastAsia="en-GB"/>
              </w:rPr>
              <w:t>17770</w:t>
            </w:r>
          </w:p>
        </w:tc>
        <w:tc>
          <w:tcPr>
            <w:tcW w:w="321" w:type="pct"/>
            <w:tcBorders>
              <w:top w:val="nil"/>
              <w:left w:val="nil"/>
              <w:bottom w:val="single" w:sz="4" w:space="0" w:color="auto"/>
              <w:right w:val="single" w:sz="4" w:space="0" w:color="auto"/>
            </w:tcBorders>
            <w:shd w:val="clear" w:color="auto" w:fill="FFFFFF" w:themeFill="background1"/>
            <w:noWrap/>
            <w:vAlign w:val="center"/>
            <w:hideMark/>
          </w:tcPr>
          <w:p w14:paraId="077063EF" w14:textId="77777777" w:rsidR="002C4CA4" w:rsidRPr="00373D94" w:rsidRDefault="002C4CA4" w:rsidP="009A2373">
            <w:pPr>
              <w:jc w:val="right"/>
              <w:rPr>
                <w:sz w:val="20"/>
                <w:lang w:eastAsia="en-GB"/>
              </w:rPr>
            </w:pPr>
            <w:r w:rsidRPr="00373D94">
              <w:rPr>
                <w:sz w:val="20"/>
                <w:lang w:eastAsia="en-GB"/>
              </w:rPr>
              <w:t>38%</w:t>
            </w:r>
          </w:p>
        </w:tc>
        <w:tc>
          <w:tcPr>
            <w:tcW w:w="403" w:type="pct"/>
            <w:tcBorders>
              <w:top w:val="nil"/>
              <w:left w:val="nil"/>
              <w:bottom w:val="single" w:sz="4" w:space="0" w:color="auto"/>
              <w:right w:val="single" w:sz="4" w:space="0" w:color="auto"/>
            </w:tcBorders>
            <w:shd w:val="clear" w:color="auto" w:fill="FFFFFF" w:themeFill="background1"/>
            <w:noWrap/>
            <w:vAlign w:val="center"/>
            <w:hideMark/>
          </w:tcPr>
          <w:p w14:paraId="7DB68842" w14:textId="77777777" w:rsidR="002C4CA4" w:rsidRPr="00373D94" w:rsidRDefault="002C4CA4" w:rsidP="009A2373">
            <w:pPr>
              <w:jc w:val="right"/>
              <w:rPr>
                <w:sz w:val="20"/>
                <w:lang w:eastAsia="en-GB"/>
              </w:rPr>
            </w:pPr>
            <w:r w:rsidRPr="00373D94">
              <w:rPr>
                <w:sz w:val="20"/>
                <w:lang w:eastAsia="en-GB"/>
              </w:rPr>
              <w:t>17770</w:t>
            </w:r>
          </w:p>
        </w:tc>
        <w:tc>
          <w:tcPr>
            <w:tcW w:w="362" w:type="pct"/>
            <w:tcBorders>
              <w:top w:val="nil"/>
              <w:left w:val="nil"/>
              <w:bottom w:val="single" w:sz="4" w:space="0" w:color="auto"/>
              <w:right w:val="single" w:sz="4" w:space="0" w:color="auto"/>
            </w:tcBorders>
            <w:shd w:val="clear" w:color="000000" w:fill="FFFFFF"/>
            <w:noWrap/>
            <w:vAlign w:val="center"/>
            <w:hideMark/>
          </w:tcPr>
          <w:p w14:paraId="5E965445" w14:textId="77777777" w:rsidR="002C4CA4" w:rsidRPr="00373D94" w:rsidRDefault="002C4CA4" w:rsidP="009A2373">
            <w:pPr>
              <w:jc w:val="right"/>
              <w:rPr>
                <w:sz w:val="20"/>
                <w:lang w:eastAsia="en-GB"/>
              </w:rPr>
            </w:pPr>
            <w:r w:rsidRPr="00373D94">
              <w:rPr>
                <w:sz w:val="20"/>
                <w:lang w:eastAsia="en-GB"/>
              </w:rPr>
              <w:t>38%</w:t>
            </w:r>
          </w:p>
        </w:tc>
        <w:tc>
          <w:tcPr>
            <w:tcW w:w="239" w:type="pct"/>
            <w:vMerge/>
            <w:tcBorders>
              <w:top w:val="nil"/>
              <w:left w:val="single" w:sz="4" w:space="0" w:color="auto"/>
              <w:bottom w:val="single" w:sz="4" w:space="0" w:color="auto"/>
              <w:right w:val="single" w:sz="4" w:space="0" w:color="auto"/>
            </w:tcBorders>
            <w:vAlign w:val="center"/>
            <w:hideMark/>
          </w:tcPr>
          <w:p w14:paraId="482BC47E" w14:textId="77777777" w:rsidR="002C4CA4" w:rsidRPr="00A52AEE" w:rsidRDefault="002C4CA4" w:rsidP="009A2373">
            <w:pPr>
              <w:jc w:val="right"/>
              <w:rPr>
                <w:lang w:eastAsia="en-GB"/>
              </w:rPr>
            </w:pPr>
          </w:p>
        </w:tc>
      </w:tr>
    </w:tbl>
    <w:p w14:paraId="0F686549" w14:textId="77777777" w:rsidR="0096237E" w:rsidRPr="00A52AEE" w:rsidRDefault="0096237E" w:rsidP="009A2373">
      <w:pPr>
        <w:jc w:val="right"/>
      </w:pPr>
    </w:p>
    <w:p w14:paraId="11D21257" w14:textId="53EBCA9A" w:rsidR="000D5C3E" w:rsidRPr="00A52AEE" w:rsidRDefault="001F1D4D" w:rsidP="008D527A">
      <w:pPr>
        <w:pStyle w:val="Heading2"/>
      </w:pPr>
      <w:bookmarkStart w:id="106" w:name="_Toc429151327"/>
      <w:r w:rsidRPr="00A52AEE">
        <w:t>5.3</w:t>
      </w:r>
      <w:r w:rsidRPr="00A52AEE">
        <w:tab/>
        <w:t xml:space="preserve">Progression </w:t>
      </w:r>
      <w:r w:rsidR="00593BBA" w:rsidRPr="00A52AEE">
        <w:t>into</w:t>
      </w:r>
      <w:r w:rsidR="002C4CA4" w:rsidRPr="00A52AEE">
        <w:t xml:space="preserve"> </w:t>
      </w:r>
      <w:r w:rsidRPr="00A52AEE">
        <w:t>prescribed and non-prescribed HE</w:t>
      </w:r>
      <w:r w:rsidR="00373D94">
        <w:rPr>
          <w:rStyle w:val="FootnoteReference"/>
        </w:rPr>
        <w:footnoteReference w:id="5"/>
      </w:r>
      <w:bookmarkEnd w:id="106"/>
    </w:p>
    <w:p w14:paraId="4316594A" w14:textId="73C6DDEB" w:rsidR="000D5C3E" w:rsidRPr="00A52AEE" w:rsidRDefault="00B03413" w:rsidP="00A52AEE">
      <w:pPr>
        <w:rPr>
          <w:lang w:eastAsia="en-GB"/>
        </w:rPr>
      </w:pPr>
      <w:r>
        <w:rPr>
          <w:lang w:eastAsia="en-GB"/>
        </w:rPr>
        <w:t>Table 22</w:t>
      </w:r>
      <w:r w:rsidR="000D5C3E" w:rsidRPr="00A52AEE">
        <w:rPr>
          <w:lang w:eastAsia="en-GB"/>
        </w:rPr>
        <w:t xml:space="preserve"> shows the progression rate broken down by funding type and the figures illustrate that the majority of progression for </w:t>
      </w:r>
      <w:r w:rsidR="0076166E" w:rsidRPr="00A52AEE">
        <w:rPr>
          <w:lang w:eastAsia="en-GB"/>
        </w:rPr>
        <w:t>London</w:t>
      </w:r>
      <w:r w:rsidR="000D5C3E" w:rsidRPr="00A52AEE">
        <w:rPr>
          <w:lang w:eastAsia="en-GB"/>
        </w:rPr>
        <w:t xml:space="preserve"> college students is to prescribed HE. However, although starting from a low rate, non-prescribed HE saw a significant increase in progression rates for the 2011-12 cohort (who progressed in 2012-13) and this was across all age groups. The dip in progression rates was with prescribed HE and centres on young student progression rather than mature student progression.</w:t>
      </w:r>
    </w:p>
    <w:p w14:paraId="4B6C42E0" w14:textId="77777777" w:rsidR="000D5C3E" w:rsidRPr="00A52AEE" w:rsidRDefault="000D5C3E" w:rsidP="00A52AEE">
      <w:pPr>
        <w:rPr>
          <w:lang w:eastAsia="en-GB"/>
        </w:rPr>
      </w:pPr>
    </w:p>
    <w:p w14:paraId="58754E8A" w14:textId="77777777" w:rsidR="00B959B2" w:rsidRDefault="00B959B2" w:rsidP="00A52AEE">
      <w:pPr>
        <w:rPr>
          <w:b/>
        </w:rPr>
      </w:pPr>
    </w:p>
    <w:p w14:paraId="413899FD" w14:textId="77777777" w:rsidR="00B959B2" w:rsidRDefault="00B959B2" w:rsidP="00A52AEE">
      <w:pPr>
        <w:rPr>
          <w:b/>
        </w:rPr>
      </w:pPr>
    </w:p>
    <w:p w14:paraId="134E60CC" w14:textId="2FB497E4" w:rsidR="000D5C3E" w:rsidRDefault="004D2866" w:rsidP="00A52AEE">
      <w:pPr>
        <w:rPr>
          <w:b/>
        </w:rPr>
      </w:pPr>
      <w:r>
        <w:rPr>
          <w:b/>
        </w:rPr>
        <w:t>Table 22:</w:t>
      </w:r>
      <w:r w:rsidR="000D5C3E" w:rsidRPr="00AF3CBA">
        <w:rPr>
          <w:b/>
        </w:rPr>
        <w:t xml:space="preserve"> Time series progression data for five </w:t>
      </w:r>
      <w:r w:rsidR="0076166E" w:rsidRPr="00AF3CBA">
        <w:rPr>
          <w:b/>
        </w:rPr>
        <w:t>London</w:t>
      </w:r>
      <w:r w:rsidR="000D5C3E" w:rsidRPr="00AF3CBA">
        <w:rPr>
          <w:b/>
        </w:rPr>
        <w:t xml:space="preserve"> college </w:t>
      </w:r>
      <w:r w:rsidR="0021637B" w:rsidRPr="00AF3CBA">
        <w:rPr>
          <w:b/>
        </w:rPr>
        <w:t>Level</w:t>
      </w:r>
      <w:r w:rsidR="000D5C3E" w:rsidRPr="00AF3CBA">
        <w:rPr>
          <w:b/>
        </w:rPr>
        <w:t xml:space="preserve"> 3 cohorts</w:t>
      </w:r>
    </w:p>
    <w:p w14:paraId="78FCAAA4" w14:textId="77777777" w:rsidR="00AF3CBA" w:rsidRPr="00AF3CBA" w:rsidRDefault="00AF3CBA" w:rsidP="00A52AEE">
      <w:pPr>
        <w:rPr>
          <w:b/>
        </w:rPr>
      </w:pPr>
    </w:p>
    <w:tbl>
      <w:tblPr>
        <w:tblW w:w="4903" w:type="pct"/>
        <w:tblLayout w:type="fixed"/>
        <w:tblLook w:val="04A0" w:firstRow="1" w:lastRow="0" w:firstColumn="1" w:lastColumn="0" w:noHBand="0" w:noVBand="1"/>
      </w:tblPr>
      <w:tblGrid>
        <w:gridCol w:w="2417"/>
        <w:gridCol w:w="1134"/>
        <w:gridCol w:w="1133"/>
        <w:gridCol w:w="1133"/>
        <w:gridCol w:w="1133"/>
        <w:gridCol w:w="900"/>
        <w:gridCol w:w="1526"/>
      </w:tblGrid>
      <w:tr w:rsidR="002C4CA4" w:rsidRPr="00AF3CBA" w14:paraId="6573487B" w14:textId="77777777" w:rsidTr="00CE4337">
        <w:trPr>
          <w:trHeight w:val="1162"/>
          <w:tblHeader/>
        </w:trPr>
        <w:tc>
          <w:tcPr>
            <w:tcW w:w="1289"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40E42848" w14:textId="77777777" w:rsidR="000D5C3E" w:rsidRPr="00AF3CBA" w:rsidRDefault="000D5C3E" w:rsidP="00AF3CBA">
            <w:pPr>
              <w:rPr>
                <w:b/>
                <w:color w:val="FFFFFF" w:themeColor="background1"/>
                <w:lang w:eastAsia="en-GB"/>
              </w:rPr>
            </w:pPr>
            <w:r w:rsidRPr="00AF3CBA">
              <w:rPr>
                <w:b/>
                <w:color w:val="FFFFFF" w:themeColor="background1"/>
                <w:lang w:eastAsia="en-GB"/>
              </w:rPr>
              <w:t>Age Group</w:t>
            </w:r>
          </w:p>
        </w:tc>
        <w:tc>
          <w:tcPr>
            <w:tcW w:w="605"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0BEA3883"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2007-08</w:t>
            </w:r>
          </w:p>
        </w:tc>
        <w:tc>
          <w:tcPr>
            <w:tcW w:w="604"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3386B1B6"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2008-09</w:t>
            </w:r>
          </w:p>
        </w:tc>
        <w:tc>
          <w:tcPr>
            <w:tcW w:w="604"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515C6ED4"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2009-10</w:t>
            </w:r>
          </w:p>
        </w:tc>
        <w:tc>
          <w:tcPr>
            <w:tcW w:w="604"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6214A171"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2010-11</w:t>
            </w:r>
          </w:p>
        </w:tc>
        <w:tc>
          <w:tcPr>
            <w:tcW w:w="480" w:type="pc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4C825181"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2011-12</w:t>
            </w:r>
          </w:p>
        </w:tc>
        <w:tc>
          <w:tcPr>
            <w:tcW w:w="814" w:type="pct"/>
            <w:tcBorders>
              <w:top w:val="single" w:sz="8" w:space="0" w:color="auto"/>
              <w:left w:val="nil"/>
              <w:right w:val="single" w:sz="8" w:space="0" w:color="auto"/>
            </w:tcBorders>
            <w:shd w:val="clear" w:color="auto" w:fill="1F4E79" w:themeFill="accent1" w:themeFillShade="80"/>
            <w:vAlign w:val="center"/>
            <w:hideMark/>
          </w:tcPr>
          <w:p w14:paraId="3E7D9974"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 point</w:t>
            </w:r>
          </w:p>
          <w:p w14:paraId="42843AD4" w14:textId="425850A3" w:rsidR="00CE4337" w:rsidRPr="00AF3CBA" w:rsidRDefault="00CE4337" w:rsidP="00AF3CBA">
            <w:pPr>
              <w:jc w:val="center"/>
              <w:rPr>
                <w:b/>
                <w:color w:val="FFFFFF" w:themeColor="background1"/>
                <w:lang w:eastAsia="en-GB"/>
              </w:rPr>
            </w:pPr>
            <w:r w:rsidRPr="00AF3CBA">
              <w:rPr>
                <w:b/>
                <w:color w:val="FFFFFF" w:themeColor="background1"/>
                <w:lang w:eastAsia="en-GB"/>
              </w:rPr>
              <w:t>d</w:t>
            </w:r>
            <w:r w:rsidR="000D5C3E" w:rsidRPr="00AF3CBA">
              <w:rPr>
                <w:b/>
                <w:color w:val="FFFFFF" w:themeColor="background1"/>
                <w:lang w:eastAsia="en-GB"/>
              </w:rPr>
              <w:t>iff</w:t>
            </w:r>
            <w:r w:rsidRPr="00AF3CBA">
              <w:rPr>
                <w:b/>
                <w:color w:val="FFFFFF" w:themeColor="background1"/>
                <w:lang w:eastAsia="en-GB"/>
              </w:rPr>
              <w:t>erence</w:t>
            </w:r>
          </w:p>
          <w:p w14:paraId="7374DDF0" w14:textId="48CAEEBF" w:rsidR="000D5C3E" w:rsidRPr="00AF3CBA" w:rsidRDefault="00CE4337" w:rsidP="00AF3CBA">
            <w:pPr>
              <w:jc w:val="center"/>
              <w:rPr>
                <w:b/>
                <w:color w:val="FFFFFF" w:themeColor="background1"/>
                <w:lang w:eastAsia="en-GB"/>
              </w:rPr>
            </w:pPr>
            <w:r w:rsidRPr="00AF3CBA">
              <w:rPr>
                <w:b/>
                <w:color w:val="FFFFFF" w:themeColor="background1"/>
                <w:lang w:eastAsia="en-GB"/>
              </w:rPr>
              <w:t>2007-08 to 2011-12 5.4</w:t>
            </w:r>
          </w:p>
        </w:tc>
      </w:tr>
      <w:tr w:rsidR="002C4CA4" w:rsidRPr="00AF3CBA" w14:paraId="182F7B74" w14:textId="77777777" w:rsidTr="00B959B2">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auto" w:fill="2E74B5" w:themeFill="accent1" w:themeFillShade="BF"/>
            <w:noWrap/>
            <w:vAlign w:val="center"/>
            <w:hideMark/>
          </w:tcPr>
          <w:p w14:paraId="12B0801C" w14:textId="77777777" w:rsidR="000D5C3E" w:rsidRPr="00AF3CBA" w:rsidRDefault="000D5C3E" w:rsidP="00AF3CBA">
            <w:pPr>
              <w:jc w:val="center"/>
              <w:rPr>
                <w:b/>
                <w:color w:val="FFFFFF" w:themeColor="background1"/>
                <w:lang w:eastAsia="en-GB"/>
              </w:rPr>
            </w:pPr>
            <w:r w:rsidRPr="00AF3CBA">
              <w:rPr>
                <w:b/>
                <w:color w:val="FFFFFF" w:themeColor="background1"/>
                <w:lang w:eastAsia="en-GB"/>
              </w:rPr>
              <w:t>Non-prescribed higher education</w:t>
            </w:r>
          </w:p>
        </w:tc>
      </w:tr>
      <w:tr w:rsidR="000D5C3E" w:rsidRPr="00A52AEE" w14:paraId="43ECF8FE"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709FDD57" w14:textId="77777777" w:rsidR="000D5C3E" w:rsidRPr="00A52AEE" w:rsidRDefault="000D5C3E" w:rsidP="00A52AEE">
            <w:pPr>
              <w:rPr>
                <w:lang w:eastAsia="en-GB"/>
              </w:rPr>
            </w:pPr>
            <w:r w:rsidRPr="00A52AEE">
              <w:rPr>
                <w:lang w:eastAsia="en-GB"/>
              </w:rPr>
              <w:t>Less than 20</w:t>
            </w:r>
          </w:p>
        </w:tc>
        <w:tc>
          <w:tcPr>
            <w:tcW w:w="605" w:type="pct"/>
            <w:tcBorders>
              <w:top w:val="nil"/>
              <w:left w:val="nil"/>
              <w:bottom w:val="single" w:sz="8" w:space="0" w:color="auto"/>
              <w:right w:val="single" w:sz="8" w:space="0" w:color="auto"/>
            </w:tcBorders>
            <w:shd w:val="clear" w:color="000000" w:fill="FFFFFF"/>
            <w:noWrap/>
            <w:vAlign w:val="center"/>
            <w:hideMark/>
          </w:tcPr>
          <w:p w14:paraId="3FFB4865" w14:textId="77777777" w:rsidR="000D5C3E" w:rsidRPr="00A52AEE" w:rsidRDefault="000D5C3E" w:rsidP="00AF3CBA">
            <w:pPr>
              <w:jc w:val="right"/>
              <w:rPr>
                <w:lang w:eastAsia="en-GB"/>
              </w:rPr>
            </w:pPr>
            <w:r w:rsidRPr="00A52AEE">
              <w:rPr>
                <w:lang w:eastAsia="en-GB"/>
              </w:rPr>
              <w:t>0%</w:t>
            </w:r>
          </w:p>
        </w:tc>
        <w:tc>
          <w:tcPr>
            <w:tcW w:w="604" w:type="pct"/>
            <w:tcBorders>
              <w:top w:val="nil"/>
              <w:left w:val="nil"/>
              <w:bottom w:val="single" w:sz="8" w:space="0" w:color="auto"/>
              <w:right w:val="single" w:sz="8" w:space="0" w:color="auto"/>
            </w:tcBorders>
            <w:shd w:val="clear" w:color="000000" w:fill="FFFFFF"/>
            <w:noWrap/>
            <w:vAlign w:val="center"/>
            <w:hideMark/>
          </w:tcPr>
          <w:p w14:paraId="261512D9" w14:textId="77777777" w:rsidR="000D5C3E" w:rsidRPr="00A52AEE" w:rsidRDefault="000D5C3E" w:rsidP="00AF3CBA">
            <w:pPr>
              <w:jc w:val="right"/>
              <w:rPr>
                <w:lang w:eastAsia="en-GB"/>
              </w:rPr>
            </w:pPr>
            <w:r w:rsidRPr="00A52AEE">
              <w:rPr>
                <w:lang w:eastAsia="en-GB"/>
              </w:rPr>
              <w:t>1%</w:t>
            </w:r>
          </w:p>
        </w:tc>
        <w:tc>
          <w:tcPr>
            <w:tcW w:w="604" w:type="pct"/>
            <w:tcBorders>
              <w:top w:val="nil"/>
              <w:left w:val="nil"/>
              <w:bottom w:val="single" w:sz="8" w:space="0" w:color="auto"/>
              <w:right w:val="single" w:sz="8" w:space="0" w:color="auto"/>
            </w:tcBorders>
            <w:shd w:val="clear" w:color="000000" w:fill="FFFFFF"/>
            <w:noWrap/>
            <w:vAlign w:val="center"/>
            <w:hideMark/>
          </w:tcPr>
          <w:p w14:paraId="1180E59A" w14:textId="77777777" w:rsidR="000D5C3E" w:rsidRPr="00A52AEE" w:rsidRDefault="000D5C3E" w:rsidP="00AF3CBA">
            <w:pPr>
              <w:jc w:val="right"/>
              <w:rPr>
                <w:lang w:eastAsia="en-GB"/>
              </w:rPr>
            </w:pPr>
            <w:r w:rsidRPr="00A52AEE">
              <w:rPr>
                <w:lang w:eastAsia="en-GB"/>
              </w:rPr>
              <w:t>1%</w:t>
            </w:r>
          </w:p>
        </w:tc>
        <w:tc>
          <w:tcPr>
            <w:tcW w:w="604" w:type="pct"/>
            <w:tcBorders>
              <w:top w:val="nil"/>
              <w:left w:val="nil"/>
              <w:bottom w:val="single" w:sz="8" w:space="0" w:color="auto"/>
              <w:right w:val="single" w:sz="8" w:space="0" w:color="auto"/>
            </w:tcBorders>
            <w:shd w:val="clear" w:color="000000" w:fill="FFFFFF"/>
            <w:noWrap/>
            <w:vAlign w:val="center"/>
            <w:hideMark/>
          </w:tcPr>
          <w:p w14:paraId="18F50576" w14:textId="77777777" w:rsidR="000D5C3E" w:rsidRPr="00A52AEE" w:rsidRDefault="000D5C3E" w:rsidP="00AF3CBA">
            <w:pPr>
              <w:jc w:val="right"/>
              <w:rPr>
                <w:lang w:eastAsia="en-GB"/>
              </w:rPr>
            </w:pPr>
            <w:r w:rsidRPr="00A52AEE">
              <w:rPr>
                <w:lang w:eastAsia="en-GB"/>
              </w:rPr>
              <w:t>1%</w:t>
            </w:r>
          </w:p>
        </w:tc>
        <w:tc>
          <w:tcPr>
            <w:tcW w:w="480" w:type="pct"/>
            <w:tcBorders>
              <w:top w:val="nil"/>
              <w:left w:val="nil"/>
              <w:bottom w:val="single" w:sz="8" w:space="0" w:color="auto"/>
              <w:right w:val="single" w:sz="8" w:space="0" w:color="auto"/>
            </w:tcBorders>
            <w:shd w:val="clear" w:color="000000" w:fill="FFFFFF"/>
            <w:noWrap/>
            <w:vAlign w:val="center"/>
            <w:hideMark/>
          </w:tcPr>
          <w:p w14:paraId="0ADF4268" w14:textId="77777777" w:rsidR="000D5C3E" w:rsidRPr="00A52AEE" w:rsidRDefault="000D5C3E" w:rsidP="00AF3CBA">
            <w:pPr>
              <w:jc w:val="right"/>
              <w:rPr>
                <w:lang w:eastAsia="en-GB"/>
              </w:rPr>
            </w:pPr>
            <w:r w:rsidRPr="00A52AEE">
              <w:rPr>
                <w:lang w:eastAsia="en-GB"/>
              </w:rPr>
              <w:t>3%</w:t>
            </w:r>
          </w:p>
        </w:tc>
        <w:tc>
          <w:tcPr>
            <w:tcW w:w="814" w:type="pct"/>
            <w:tcBorders>
              <w:top w:val="nil"/>
              <w:left w:val="nil"/>
              <w:bottom w:val="single" w:sz="8" w:space="0" w:color="auto"/>
              <w:right w:val="single" w:sz="8" w:space="0" w:color="auto"/>
            </w:tcBorders>
            <w:shd w:val="clear" w:color="000000" w:fill="FFFFFF"/>
            <w:noWrap/>
            <w:vAlign w:val="center"/>
            <w:hideMark/>
          </w:tcPr>
          <w:p w14:paraId="32034EA6" w14:textId="77777777" w:rsidR="000D5C3E" w:rsidRPr="00A52AEE" w:rsidRDefault="000D5C3E" w:rsidP="00AF3CBA">
            <w:pPr>
              <w:jc w:val="right"/>
              <w:rPr>
                <w:lang w:eastAsia="en-GB"/>
              </w:rPr>
            </w:pPr>
            <w:r w:rsidRPr="00A52AEE">
              <w:rPr>
                <w:lang w:eastAsia="en-GB"/>
              </w:rPr>
              <w:t>3%</w:t>
            </w:r>
          </w:p>
        </w:tc>
      </w:tr>
      <w:tr w:rsidR="000D5C3E" w:rsidRPr="00A52AEE" w14:paraId="62156492"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7518F512" w14:textId="77777777" w:rsidR="000D5C3E" w:rsidRPr="00A52AEE" w:rsidRDefault="000D5C3E" w:rsidP="00A52AEE">
            <w:pPr>
              <w:rPr>
                <w:lang w:eastAsia="en-GB"/>
              </w:rPr>
            </w:pPr>
            <w:r w:rsidRPr="00A52AEE">
              <w:rPr>
                <w:lang w:eastAsia="en-GB"/>
              </w:rPr>
              <w:t>20-24 years</w:t>
            </w:r>
          </w:p>
        </w:tc>
        <w:tc>
          <w:tcPr>
            <w:tcW w:w="605" w:type="pct"/>
            <w:tcBorders>
              <w:top w:val="nil"/>
              <w:left w:val="nil"/>
              <w:bottom w:val="single" w:sz="8" w:space="0" w:color="auto"/>
              <w:right w:val="single" w:sz="8" w:space="0" w:color="auto"/>
            </w:tcBorders>
            <w:shd w:val="clear" w:color="000000" w:fill="FFFFFF"/>
            <w:noWrap/>
            <w:vAlign w:val="center"/>
            <w:hideMark/>
          </w:tcPr>
          <w:p w14:paraId="597EBAB5" w14:textId="77777777" w:rsidR="000D5C3E" w:rsidRPr="00A52AEE" w:rsidRDefault="000D5C3E" w:rsidP="00AF3CBA">
            <w:pPr>
              <w:jc w:val="right"/>
              <w:rPr>
                <w:lang w:eastAsia="en-GB"/>
              </w:rPr>
            </w:pPr>
            <w:r w:rsidRPr="00A52AEE">
              <w:rPr>
                <w:lang w:eastAsia="en-GB"/>
              </w:rPr>
              <w:t>1%</w:t>
            </w:r>
          </w:p>
        </w:tc>
        <w:tc>
          <w:tcPr>
            <w:tcW w:w="604" w:type="pct"/>
            <w:tcBorders>
              <w:top w:val="nil"/>
              <w:left w:val="nil"/>
              <w:bottom w:val="single" w:sz="8" w:space="0" w:color="auto"/>
              <w:right w:val="single" w:sz="8" w:space="0" w:color="auto"/>
            </w:tcBorders>
            <w:shd w:val="clear" w:color="000000" w:fill="FFFFFF"/>
            <w:noWrap/>
            <w:vAlign w:val="center"/>
            <w:hideMark/>
          </w:tcPr>
          <w:p w14:paraId="6DCDA5AA" w14:textId="77777777" w:rsidR="000D5C3E" w:rsidRPr="00A52AEE" w:rsidRDefault="000D5C3E" w:rsidP="00AF3CBA">
            <w:pPr>
              <w:jc w:val="right"/>
              <w:rPr>
                <w:lang w:eastAsia="en-GB"/>
              </w:rPr>
            </w:pPr>
            <w:r w:rsidRPr="00A52AEE">
              <w:rPr>
                <w:lang w:eastAsia="en-GB"/>
              </w:rPr>
              <w:t>2%</w:t>
            </w:r>
          </w:p>
        </w:tc>
        <w:tc>
          <w:tcPr>
            <w:tcW w:w="604" w:type="pct"/>
            <w:tcBorders>
              <w:top w:val="nil"/>
              <w:left w:val="nil"/>
              <w:bottom w:val="single" w:sz="8" w:space="0" w:color="auto"/>
              <w:right w:val="single" w:sz="8" w:space="0" w:color="auto"/>
            </w:tcBorders>
            <w:shd w:val="clear" w:color="000000" w:fill="FFFFFF"/>
            <w:noWrap/>
            <w:vAlign w:val="center"/>
            <w:hideMark/>
          </w:tcPr>
          <w:p w14:paraId="05596AE4" w14:textId="77777777" w:rsidR="000D5C3E" w:rsidRPr="00A52AEE" w:rsidRDefault="000D5C3E" w:rsidP="00AF3CBA">
            <w:pPr>
              <w:jc w:val="right"/>
              <w:rPr>
                <w:lang w:eastAsia="en-GB"/>
              </w:rPr>
            </w:pPr>
            <w:r w:rsidRPr="00A52AEE">
              <w:rPr>
                <w:lang w:eastAsia="en-GB"/>
              </w:rPr>
              <w:t>2%</w:t>
            </w:r>
          </w:p>
        </w:tc>
        <w:tc>
          <w:tcPr>
            <w:tcW w:w="604" w:type="pct"/>
            <w:tcBorders>
              <w:top w:val="nil"/>
              <w:left w:val="nil"/>
              <w:bottom w:val="single" w:sz="8" w:space="0" w:color="auto"/>
              <w:right w:val="single" w:sz="8" w:space="0" w:color="auto"/>
            </w:tcBorders>
            <w:shd w:val="clear" w:color="000000" w:fill="FFFFFF"/>
            <w:noWrap/>
            <w:vAlign w:val="center"/>
            <w:hideMark/>
          </w:tcPr>
          <w:p w14:paraId="52665151" w14:textId="77777777" w:rsidR="000D5C3E" w:rsidRPr="00A52AEE" w:rsidRDefault="000D5C3E" w:rsidP="00AF3CBA">
            <w:pPr>
              <w:jc w:val="right"/>
              <w:rPr>
                <w:lang w:eastAsia="en-GB"/>
              </w:rPr>
            </w:pPr>
            <w:r w:rsidRPr="00A52AEE">
              <w:rPr>
                <w:lang w:eastAsia="en-GB"/>
              </w:rPr>
              <w:t>2%</w:t>
            </w:r>
          </w:p>
        </w:tc>
        <w:tc>
          <w:tcPr>
            <w:tcW w:w="480" w:type="pct"/>
            <w:tcBorders>
              <w:top w:val="nil"/>
              <w:left w:val="nil"/>
              <w:bottom w:val="single" w:sz="8" w:space="0" w:color="auto"/>
              <w:right w:val="single" w:sz="8" w:space="0" w:color="auto"/>
            </w:tcBorders>
            <w:shd w:val="clear" w:color="000000" w:fill="FFFFFF"/>
            <w:noWrap/>
            <w:vAlign w:val="center"/>
            <w:hideMark/>
          </w:tcPr>
          <w:p w14:paraId="3A4A7BE0" w14:textId="77777777" w:rsidR="000D5C3E" w:rsidRPr="00A52AEE" w:rsidRDefault="000D5C3E" w:rsidP="00AF3CBA">
            <w:pPr>
              <w:jc w:val="right"/>
              <w:rPr>
                <w:lang w:eastAsia="en-GB"/>
              </w:rPr>
            </w:pPr>
            <w:r w:rsidRPr="00A52AEE">
              <w:rPr>
                <w:lang w:eastAsia="en-GB"/>
              </w:rPr>
              <w:t>5%</w:t>
            </w:r>
          </w:p>
        </w:tc>
        <w:tc>
          <w:tcPr>
            <w:tcW w:w="814" w:type="pct"/>
            <w:tcBorders>
              <w:top w:val="nil"/>
              <w:left w:val="nil"/>
              <w:bottom w:val="single" w:sz="8" w:space="0" w:color="auto"/>
              <w:right w:val="single" w:sz="8" w:space="0" w:color="auto"/>
            </w:tcBorders>
            <w:shd w:val="clear" w:color="000000" w:fill="FFFFFF"/>
            <w:noWrap/>
            <w:vAlign w:val="center"/>
            <w:hideMark/>
          </w:tcPr>
          <w:p w14:paraId="567F05FB" w14:textId="77777777" w:rsidR="000D5C3E" w:rsidRPr="00A52AEE" w:rsidRDefault="000D5C3E" w:rsidP="00AF3CBA">
            <w:pPr>
              <w:jc w:val="right"/>
              <w:rPr>
                <w:lang w:eastAsia="en-GB"/>
              </w:rPr>
            </w:pPr>
            <w:r w:rsidRPr="00A52AEE">
              <w:rPr>
                <w:lang w:eastAsia="en-GB"/>
              </w:rPr>
              <w:t>4%</w:t>
            </w:r>
          </w:p>
        </w:tc>
      </w:tr>
      <w:tr w:rsidR="000D5C3E" w:rsidRPr="00A52AEE" w14:paraId="188A2140"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69C00E93" w14:textId="77777777" w:rsidR="000D5C3E" w:rsidRPr="00A52AEE" w:rsidRDefault="000D5C3E" w:rsidP="00A52AEE">
            <w:pPr>
              <w:rPr>
                <w:lang w:eastAsia="en-GB"/>
              </w:rPr>
            </w:pPr>
            <w:r w:rsidRPr="00A52AEE">
              <w:rPr>
                <w:lang w:eastAsia="en-GB"/>
              </w:rPr>
              <w:t>25 years+</w:t>
            </w:r>
          </w:p>
        </w:tc>
        <w:tc>
          <w:tcPr>
            <w:tcW w:w="605" w:type="pct"/>
            <w:tcBorders>
              <w:top w:val="nil"/>
              <w:left w:val="nil"/>
              <w:bottom w:val="single" w:sz="8" w:space="0" w:color="auto"/>
              <w:right w:val="single" w:sz="8" w:space="0" w:color="auto"/>
            </w:tcBorders>
            <w:shd w:val="clear" w:color="000000" w:fill="FFFFFF"/>
            <w:noWrap/>
            <w:vAlign w:val="center"/>
            <w:hideMark/>
          </w:tcPr>
          <w:p w14:paraId="07FC1FEE" w14:textId="77777777" w:rsidR="000D5C3E" w:rsidRPr="00A52AEE" w:rsidRDefault="000D5C3E" w:rsidP="00AF3CBA">
            <w:pPr>
              <w:jc w:val="right"/>
              <w:rPr>
                <w:lang w:eastAsia="en-GB"/>
              </w:rPr>
            </w:pPr>
            <w:r w:rsidRPr="00A52AEE">
              <w:rPr>
                <w:lang w:eastAsia="en-GB"/>
              </w:rPr>
              <w:t>2%</w:t>
            </w:r>
          </w:p>
        </w:tc>
        <w:tc>
          <w:tcPr>
            <w:tcW w:w="604" w:type="pct"/>
            <w:tcBorders>
              <w:top w:val="nil"/>
              <w:left w:val="nil"/>
              <w:bottom w:val="single" w:sz="8" w:space="0" w:color="auto"/>
              <w:right w:val="single" w:sz="8" w:space="0" w:color="auto"/>
            </w:tcBorders>
            <w:shd w:val="clear" w:color="000000" w:fill="FFFFFF"/>
            <w:noWrap/>
            <w:vAlign w:val="center"/>
            <w:hideMark/>
          </w:tcPr>
          <w:p w14:paraId="6E61B0F8" w14:textId="77777777" w:rsidR="000D5C3E" w:rsidRPr="00A52AEE" w:rsidRDefault="000D5C3E" w:rsidP="00AF3CBA">
            <w:pPr>
              <w:jc w:val="right"/>
              <w:rPr>
                <w:lang w:eastAsia="en-GB"/>
              </w:rPr>
            </w:pPr>
            <w:r w:rsidRPr="00A52AEE">
              <w:rPr>
                <w:lang w:eastAsia="en-GB"/>
              </w:rPr>
              <w:t>4%</w:t>
            </w:r>
          </w:p>
        </w:tc>
        <w:tc>
          <w:tcPr>
            <w:tcW w:w="604" w:type="pct"/>
            <w:tcBorders>
              <w:top w:val="nil"/>
              <w:left w:val="nil"/>
              <w:bottom w:val="single" w:sz="8" w:space="0" w:color="auto"/>
              <w:right w:val="single" w:sz="8" w:space="0" w:color="auto"/>
            </w:tcBorders>
            <w:shd w:val="clear" w:color="000000" w:fill="FFFFFF"/>
            <w:noWrap/>
            <w:vAlign w:val="center"/>
            <w:hideMark/>
          </w:tcPr>
          <w:p w14:paraId="34CF0D2F" w14:textId="77777777" w:rsidR="000D5C3E" w:rsidRPr="00A52AEE" w:rsidRDefault="000D5C3E" w:rsidP="00AF3CBA">
            <w:pPr>
              <w:jc w:val="right"/>
              <w:rPr>
                <w:lang w:eastAsia="en-GB"/>
              </w:rPr>
            </w:pPr>
            <w:r w:rsidRPr="00A52AEE">
              <w:rPr>
                <w:lang w:eastAsia="en-GB"/>
              </w:rPr>
              <w:t>3%</w:t>
            </w:r>
          </w:p>
        </w:tc>
        <w:tc>
          <w:tcPr>
            <w:tcW w:w="604" w:type="pct"/>
            <w:tcBorders>
              <w:top w:val="nil"/>
              <w:left w:val="nil"/>
              <w:bottom w:val="single" w:sz="8" w:space="0" w:color="auto"/>
              <w:right w:val="single" w:sz="8" w:space="0" w:color="auto"/>
            </w:tcBorders>
            <w:shd w:val="clear" w:color="000000" w:fill="FFFFFF"/>
            <w:noWrap/>
            <w:vAlign w:val="center"/>
            <w:hideMark/>
          </w:tcPr>
          <w:p w14:paraId="06399DEB" w14:textId="77777777" w:rsidR="000D5C3E" w:rsidRPr="00A52AEE" w:rsidRDefault="000D5C3E" w:rsidP="00AF3CBA">
            <w:pPr>
              <w:jc w:val="right"/>
              <w:rPr>
                <w:lang w:eastAsia="en-GB"/>
              </w:rPr>
            </w:pPr>
            <w:r w:rsidRPr="00A52AEE">
              <w:rPr>
                <w:lang w:eastAsia="en-GB"/>
              </w:rPr>
              <w:t>4%</w:t>
            </w:r>
          </w:p>
        </w:tc>
        <w:tc>
          <w:tcPr>
            <w:tcW w:w="480" w:type="pct"/>
            <w:tcBorders>
              <w:top w:val="nil"/>
              <w:left w:val="nil"/>
              <w:bottom w:val="single" w:sz="8" w:space="0" w:color="auto"/>
              <w:right w:val="single" w:sz="8" w:space="0" w:color="auto"/>
            </w:tcBorders>
            <w:shd w:val="clear" w:color="000000" w:fill="FFFFFF"/>
            <w:noWrap/>
            <w:vAlign w:val="center"/>
            <w:hideMark/>
          </w:tcPr>
          <w:p w14:paraId="6B6BEBAD" w14:textId="77777777" w:rsidR="000D5C3E" w:rsidRPr="00A52AEE" w:rsidRDefault="000D5C3E" w:rsidP="00AF3CBA">
            <w:pPr>
              <w:jc w:val="right"/>
              <w:rPr>
                <w:lang w:eastAsia="en-GB"/>
              </w:rPr>
            </w:pPr>
            <w:r w:rsidRPr="00A52AEE">
              <w:rPr>
                <w:lang w:eastAsia="en-GB"/>
              </w:rPr>
              <w:t>8%</w:t>
            </w:r>
          </w:p>
        </w:tc>
        <w:tc>
          <w:tcPr>
            <w:tcW w:w="814" w:type="pct"/>
            <w:tcBorders>
              <w:top w:val="nil"/>
              <w:left w:val="nil"/>
              <w:bottom w:val="single" w:sz="8" w:space="0" w:color="auto"/>
              <w:right w:val="single" w:sz="8" w:space="0" w:color="auto"/>
            </w:tcBorders>
            <w:shd w:val="clear" w:color="000000" w:fill="FFFFFF"/>
            <w:noWrap/>
            <w:vAlign w:val="center"/>
            <w:hideMark/>
          </w:tcPr>
          <w:p w14:paraId="263D4B9A" w14:textId="77777777" w:rsidR="000D5C3E" w:rsidRPr="00A52AEE" w:rsidRDefault="000D5C3E" w:rsidP="00AF3CBA">
            <w:pPr>
              <w:jc w:val="right"/>
              <w:rPr>
                <w:lang w:eastAsia="en-GB"/>
              </w:rPr>
            </w:pPr>
            <w:r w:rsidRPr="00A52AEE">
              <w:rPr>
                <w:lang w:eastAsia="en-GB"/>
              </w:rPr>
              <w:t>6%</w:t>
            </w:r>
          </w:p>
        </w:tc>
      </w:tr>
      <w:tr w:rsidR="000D5C3E" w:rsidRPr="00A52AEE" w14:paraId="33BC29D7"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062A409D" w14:textId="67EE56AD" w:rsidR="000D5C3E" w:rsidRPr="00A52AEE" w:rsidRDefault="000D5C3E" w:rsidP="00A52AEE">
            <w:pPr>
              <w:rPr>
                <w:lang w:eastAsia="en-GB"/>
              </w:rPr>
            </w:pPr>
            <w:r w:rsidRPr="00A52AEE">
              <w:rPr>
                <w:lang w:eastAsia="en-GB"/>
              </w:rPr>
              <w:t xml:space="preserve"> Total</w:t>
            </w:r>
          </w:p>
        </w:tc>
        <w:tc>
          <w:tcPr>
            <w:tcW w:w="605" w:type="pct"/>
            <w:tcBorders>
              <w:top w:val="nil"/>
              <w:left w:val="nil"/>
              <w:bottom w:val="single" w:sz="8" w:space="0" w:color="auto"/>
              <w:right w:val="single" w:sz="8" w:space="0" w:color="auto"/>
            </w:tcBorders>
            <w:shd w:val="clear" w:color="000000" w:fill="FFFFFF"/>
            <w:noWrap/>
            <w:vAlign w:val="center"/>
            <w:hideMark/>
          </w:tcPr>
          <w:p w14:paraId="1DFD6888" w14:textId="77777777" w:rsidR="000D5C3E" w:rsidRPr="00A52AEE" w:rsidRDefault="000D5C3E" w:rsidP="00AF3CBA">
            <w:pPr>
              <w:jc w:val="right"/>
              <w:rPr>
                <w:lang w:eastAsia="en-GB"/>
              </w:rPr>
            </w:pPr>
            <w:r w:rsidRPr="00A52AEE">
              <w:rPr>
                <w:lang w:eastAsia="en-GB"/>
              </w:rPr>
              <w:t>1%</w:t>
            </w:r>
          </w:p>
        </w:tc>
        <w:tc>
          <w:tcPr>
            <w:tcW w:w="604" w:type="pct"/>
            <w:tcBorders>
              <w:top w:val="nil"/>
              <w:left w:val="nil"/>
              <w:bottom w:val="single" w:sz="8" w:space="0" w:color="auto"/>
              <w:right w:val="single" w:sz="8" w:space="0" w:color="auto"/>
            </w:tcBorders>
            <w:shd w:val="clear" w:color="000000" w:fill="FFFFFF"/>
            <w:noWrap/>
            <w:vAlign w:val="center"/>
            <w:hideMark/>
          </w:tcPr>
          <w:p w14:paraId="1D9FE44D" w14:textId="77777777" w:rsidR="000D5C3E" w:rsidRPr="00A52AEE" w:rsidRDefault="000D5C3E" w:rsidP="00AF3CBA">
            <w:pPr>
              <w:jc w:val="right"/>
              <w:rPr>
                <w:lang w:eastAsia="en-GB"/>
              </w:rPr>
            </w:pPr>
            <w:r w:rsidRPr="00A52AEE">
              <w:rPr>
                <w:lang w:eastAsia="en-GB"/>
              </w:rPr>
              <w:t>2%</w:t>
            </w:r>
          </w:p>
        </w:tc>
        <w:tc>
          <w:tcPr>
            <w:tcW w:w="604" w:type="pct"/>
            <w:tcBorders>
              <w:top w:val="nil"/>
              <w:left w:val="nil"/>
              <w:bottom w:val="single" w:sz="8" w:space="0" w:color="auto"/>
              <w:right w:val="single" w:sz="8" w:space="0" w:color="auto"/>
            </w:tcBorders>
            <w:shd w:val="clear" w:color="000000" w:fill="FFFFFF"/>
            <w:noWrap/>
            <w:vAlign w:val="center"/>
            <w:hideMark/>
          </w:tcPr>
          <w:p w14:paraId="1A062EF9" w14:textId="77777777" w:rsidR="000D5C3E" w:rsidRPr="00A52AEE" w:rsidRDefault="000D5C3E" w:rsidP="00AF3CBA">
            <w:pPr>
              <w:jc w:val="right"/>
              <w:rPr>
                <w:lang w:eastAsia="en-GB"/>
              </w:rPr>
            </w:pPr>
            <w:r w:rsidRPr="00A52AEE">
              <w:rPr>
                <w:lang w:eastAsia="en-GB"/>
              </w:rPr>
              <w:t>2%</w:t>
            </w:r>
          </w:p>
        </w:tc>
        <w:tc>
          <w:tcPr>
            <w:tcW w:w="604" w:type="pct"/>
            <w:tcBorders>
              <w:top w:val="nil"/>
              <w:left w:val="nil"/>
              <w:bottom w:val="single" w:sz="8" w:space="0" w:color="auto"/>
              <w:right w:val="single" w:sz="8" w:space="0" w:color="auto"/>
            </w:tcBorders>
            <w:shd w:val="clear" w:color="000000" w:fill="FFFFFF"/>
            <w:noWrap/>
            <w:vAlign w:val="center"/>
            <w:hideMark/>
          </w:tcPr>
          <w:p w14:paraId="7A44C77E" w14:textId="77777777" w:rsidR="000D5C3E" w:rsidRPr="00A52AEE" w:rsidRDefault="000D5C3E" w:rsidP="00AF3CBA">
            <w:pPr>
              <w:jc w:val="right"/>
              <w:rPr>
                <w:lang w:eastAsia="en-GB"/>
              </w:rPr>
            </w:pPr>
            <w:r w:rsidRPr="00A52AEE">
              <w:rPr>
                <w:lang w:eastAsia="en-GB"/>
              </w:rPr>
              <w:t>2%</w:t>
            </w:r>
          </w:p>
        </w:tc>
        <w:tc>
          <w:tcPr>
            <w:tcW w:w="480" w:type="pct"/>
            <w:tcBorders>
              <w:top w:val="nil"/>
              <w:left w:val="nil"/>
              <w:bottom w:val="single" w:sz="8" w:space="0" w:color="auto"/>
              <w:right w:val="single" w:sz="8" w:space="0" w:color="auto"/>
            </w:tcBorders>
            <w:shd w:val="clear" w:color="000000" w:fill="FFFFFF"/>
            <w:noWrap/>
            <w:vAlign w:val="center"/>
            <w:hideMark/>
          </w:tcPr>
          <w:p w14:paraId="3BA62017" w14:textId="77777777" w:rsidR="000D5C3E" w:rsidRPr="00A52AEE" w:rsidRDefault="000D5C3E" w:rsidP="00AF3CBA">
            <w:pPr>
              <w:jc w:val="right"/>
              <w:rPr>
                <w:lang w:eastAsia="en-GB"/>
              </w:rPr>
            </w:pPr>
            <w:r w:rsidRPr="00A52AEE">
              <w:rPr>
                <w:lang w:eastAsia="en-GB"/>
              </w:rPr>
              <w:t>4%</w:t>
            </w:r>
          </w:p>
        </w:tc>
        <w:tc>
          <w:tcPr>
            <w:tcW w:w="814" w:type="pct"/>
            <w:tcBorders>
              <w:top w:val="nil"/>
              <w:left w:val="nil"/>
              <w:bottom w:val="single" w:sz="8" w:space="0" w:color="auto"/>
              <w:right w:val="single" w:sz="8" w:space="0" w:color="auto"/>
            </w:tcBorders>
            <w:shd w:val="clear" w:color="000000" w:fill="FFFFFF"/>
            <w:noWrap/>
            <w:vAlign w:val="center"/>
            <w:hideMark/>
          </w:tcPr>
          <w:p w14:paraId="6F29DACF" w14:textId="77777777" w:rsidR="000D5C3E" w:rsidRPr="00A52AEE" w:rsidRDefault="000D5C3E" w:rsidP="00AF3CBA">
            <w:pPr>
              <w:jc w:val="right"/>
              <w:rPr>
                <w:lang w:eastAsia="en-GB"/>
              </w:rPr>
            </w:pPr>
            <w:r w:rsidRPr="00A52AEE">
              <w:rPr>
                <w:lang w:eastAsia="en-GB"/>
              </w:rPr>
              <w:t>3%</w:t>
            </w:r>
          </w:p>
        </w:tc>
      </w:tr>
      <w:tr w:rsidR="000D5C3E" w:rsidRPr="00AF3CBA" w14:paraId="4A98F947" w14:textId="77777777" w:rsidTr="00B959B2">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auto" w:fill="2E74B5" w:themeFill="accent1" w:themeFillShade="BF"/>
            <w:noWrap/>
            <w:vAlign w:val="center"/>
            <w:hideMark/>
          </w:tcPr>
          <w:p w14:paraId="549DF3A6" w14:textId="77777777" w:rsidR="000D5C3E" w:rsidRPr="00AF3CBA" w:rsidRDefault="000D5C3E" w:rsidP="00AF3CBA">
            <w:pPr>
              <w:jc w:val="center"/>
              <w:rPr>
                <w:b/>
                <w:color w:val="FFFFFF" w:themeColor="background1"/>
                <w:sz w:val="22"/>
                <w:lang w:eastAsia="en-GB"/>
              </w:rPr>
            </w:pPr>
            <w:r w:rsidRPr="00AF3CBA">
              <w:rPr>
                <w:b/>
                <w:color w:val="FFFFFF" w:themeColor="background1"/>
                <w:lang w:eastAsia="en-GB"/>
              </w:rPr>
              <w:t>Prescribed higher education</w:t>
            </w:r>
          </w:p>
        </w:tc>
      </w:tr>
      <w:tr w:rsidR="000D5C3E" w:rsidRPr="00A52AEE" w14:paraId="53FE73EC"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699FE7B1" w14:textId="77777777" w:rsidR="000D5C3E" w:rsidRPr="00A52AEE" w:rsidRDefault="000D5C3E" w:rsidP="00A52AEE">
            <w:pPr>
              <w:rPr>
                <w:lang w:eastAsia="en-GB"/>
              </w:rPr>
            </w:pPr>
            <w:r w:rsidRPr="00A52AEE">
              <w:rPr>
                <w:lang w:eastAsia="en-GB"/>
              </w:rPr>
              <w:t>Less than 20</w:t>
            </w:r>
          </w:p>
        </w:tc>
        <w:tc>
          <w:tcPr>
            <w:tcW w:w="605" w:type="pct"/>
            <w:tcBorders>
              <w:top w:val="nil"/>
              <w:left w:val="nil"/>
              <w:bottom w:val="single" w:sz="8" w:space="0" w:color="auto"/>
              <w:right w:val="single" w:sz="8" w:space="0" w:color="auto"/>
            </w:tcBorders>
            <w:shd w:val="clear" w:color="000000" w:fill="FFFFFF"/>
            <w:noWrap/>
            <w:vAlign w:val="center"/>
            <w:hideMark/>
          </w:tcPr>
          <w:p w14:paraId="36885568" w14:textId="77777777" w:rsidR="000D5C3E" w:rsidRPr="00A52AEE" w:rsidRDefault="000D5C3E" w:rsidP="00AF3CBA">
            <w:pPr>
              <w:jc w:val="right"/>
              <w:rPr>
                <w:lang w:eastAsia="en-GB"/>
              </w:rPr>
            </w:pPr>
            <w:r w:rsidRPr="00A52AEE">
              <w:rPr>
                <w:lang w:eastAsia="en-GB"/>
              </w:rPr>
              <w:t>62%</w:t>
            </w:r>
          </w:p>
        </w:tc>
        <w:tc>
          <w:tcPr>
            <w:tcW w:w="604" w:type="pct"/>
            <w:tcBorders>
              <w:top w:val="nil"/>
              <w:left w:val="nil"/>
              <w:bottom w:val="single" w:sz="8" w:space="0" w:color="auto"/>
              <w:right w:val="single" w:sz="8" w:space="0" w:color="auto"/>
            </w:tcBorders>
            <w:shd w:val="clear" w:color="000000" w:fill="FFFFFF"/>
            <w:noWrap/>
            <w:vAlign w:val="center"/>
            <w:hideMark/>
          </w:tcPr>
          <w:p w14:paraId="27414409" w14:textId="77777777" w:rsidR="000D5C3E" w:rsidRPr="00A52AEE" w:rsidRDefault="000D5C3E" w:rsidP="00AF3CBA">
            <w:pPr>
              <w:jc w:val="right"/>
              <w:rPr>
                <w:lang w:eastAsia="en-GB"/>
              </w:rPr>
            </w:pPr>
            <w:r w:rsidRPr="00A52AEE">
              <w:rPr>
                <w:lang w:eastAsia="en-GB"/>
              </w:rPr>
              <w:t>61%</w:t>
            </w:r>
          </w:p>
        </w:tc>
        <w:tc>
          <w:tcPr>
            <w:tcW w:w="604" w:type="pct"/>
            <w:tcBorders>
              <w:top w:val="nil"/>
              <w:left w:val="nil"/>
              <w:bottom w:val="single" w:sz="8" w:space="0" w:color="auto"/>
              <w:right w:val="single" w:sz="8" w:space="0" w:color="auto"/>
            </w:tcBorders>
            <w:shd w:val="clear" w:color="000000" w:fill="FFFFFF"/>
            <w:noWrap/>
            <w:vAlign w:val="center"/>
            <w:hideMark/>
          </w:tcPr>
          <w:p w14:paraId="0DDBCB2A" w14:textId="77777777" w:rsidR="000D5C3E" w:rsidRPr="00A52AEE" w:rsidRDefault="000D5C3E" w:rsidP="00AF3CBA">
            <w:pPr>
              <w:jc w:val="right"/>
              <w:rPr>
                <w:lang w:eastAsia="en-GB"/>
              </w:rPr>
            </w:pPr>
            <w:r w:rsidRPr="00A52AEE">
              <w:rPr>
                <w:lang w:eastAsia="en-GB"/>
              </w:rPr>
              <w:t>58%</w:t>
            </w:r>
          </w:p>
        </w:tc>
        <w:tc>
          <w:tcPr>
            <w:tcW w:w="604" w:type="pct"/>
            <w:tcBorders>
              <w:top w:val="nil"/>
              <w:left w:val="nil"/>
              <w:bottom w:val="single" w:sz="8" w:space="0" w:color="auto"/>
              <w:right w:val="single" w:sz="8" w:space="0" w:color="auto"/>
            </w:tcBorders>
            <w:shd w:val="clear" w:color="000000" w:fill="FFFFFF"/>
            <w:noWrap/>
            <w:vAlign w:val="center"/>
            <w:hideMark/>
          </w:tcPr>
          <w:p w14:paraId="440DBF15" w14:textId="77777777" w:rsidR="000D5C3E" w:rsidRPr="00A52AEE" w:rsidRDefault="000D5C3E" w:rsidP="00AF3CBA">
            <w:pPr>
              <w:jc w:val="right"/>
              <w:rPr>
                <w:lang w:eastAsia="en-GB"/>
              </w:rPr>
            </w:pPr>
            <w:r w:rsidRPr="00A52AEE">
              <w:rPr>
                <w:lang w:eastAsia="en-GB"/>
              </w:rPr>
              <w:t>56%</w:t>
            </w:r>
          </w:p>
        </w:tc>
        <w:tc>
          <w:tcPr>
            <w:tcW w:w="480" w:type="pct"/>
            <w:tcBorders>
              <w:top w:val="nil"/>
              <w:left w:val="nil"/>
              <w:bottom w:val="single" w:sz="8" w:space="0" w:color="auto"/>
              <w:right w:val="single" w:sz="8" w:space="0" w:color="auto"/>
            </w:tcBorders>
            <w:shd w:val="clear" w:color="000000" w:fill="FFFFFF"/>
            <w:noWrap/>
            <w:vAlign w:val="center"/>
            <w:hideMark/>
          </w:tcPr>
          <w:p w14:paraId="5E6864A4" w14:textId="77777777" w:rsidR="000D5C3E" w:rsidRPr="00A52AEE" w:rsidRDefault="000D5C3E" w:rsidP="00AF3CBA">
            <w:pPr>
              <w:jc w:val="right"/>
              <w:rPr>
                <w:lang w:eastAsia="en-GB"/>
              </w:rPr>
            </w:pPr>
            <w:r w:rsidRPr="00A52AEE">
              <w:rPr>
                <w:lang w:eastAsia="en-GB"/>
              </w:rPr>
              <w:t>42%</w:t>
            </w:r>
          </w:p>
        </w:tc>
        <w:tc>
          <w:tcPr>
            <w:tcW w:w="814" w:type="pct"/>
            <w:tcBorders>
              <w:top w:val="nil"/>
              <w:left w:val="nil"/>
              <w:bottom w:val="single" w:sz="8" w:space="0" w:color="auto"/>
              <w:right w:val="single" w:sz="8" w:space="0" w:color="auto"/>
            </w:tcBorders>
            <w:shd w:val="clear" w:color="000000" w:fill="FFFFFF"/>
            <w:noWrap/>
            <w:vAlign w:val="center"/>
            <w:hideMark/>
          </w:tcPr>
          <w:p w14:paraId="65E9C383" w14:textId="77777777" w:rsidR="000D5C3E" w:rsidRPr="00A52AEE" w:rsidRDefault="000D5C3E" w:rsidP="00AF3CBA">
            <w:pPr>
              <w:jc w:val="right"/>
              <w:rPr>
                <w:lang w:eastAsia="en-GB"/>
              </w:rPr>
            </w:pPr>
            <w:r w:rsidRPr="00A52AEE">
              <w:rPr>
                <w:lang w:eastAsia="en-GB"/>
              </w:rPr>
              <w:t>-20%</w:t>
            </w:r>
          </w:p>
        </w:tc>
      </w:tr>
      <w:tr w:rsidR="000D5C3E" w:rsidRPr="00A52AEE" w14:paraId="49431520"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63B1FDD2" w14:textId="77777777" w:rsidR="000D5C3E" w:rsidRPr="00A52AEE" w:rsidRDefault="000D5C3E" w:rsidP="00A52AEE">
            <w:pPr>
              <w:rPr>
                <w:lang w:eastAsia="en-GB"/>
              </w:rPr>
            </w:pPr>
            <w:r w:rsidRPr="00A52AEE">
              <w:rPr>
                <w:lang w:eastAsia="en-GB"/>
              </w:rPr>
              <w:t>20-24 years</w:t>
            </w:r>
          </w:p>
        </w:tc>
        <w:tc>
          <w:tcPr>
            <w:tcW w:w="605" w:type="pct"/>
            <w:tcBorders>
              <w:top w:val="nil"/>
              <w:left w:val="nil"/>
              <w:bottom w:val="single" w:sz="8" w:space="0" w:color="auto"/>
              <w:right w:val="single" w:sz="8" w:space="0" w:color="auto"/>
            </w:tcBorders>
            <w:shd w:val="clear" w:color="000000" w:fill="FFFFFF"/>
            <w:noWrap/>
            <w:vAlign w:val="center"/>
            <w:hideMark/>
          </w:tcPr>
          <w:p w14:paraId="3E63605E" w14:textId="77777777" w:rsidR="000D5C3E" w:rsidRPr="00A52AEE" w:rsidRDefault="000D5C3E" w:rsidP="00AF3CBA">
            <w:pPr>
              <w:jc w:val="right"/>
              <w:rPr>
                <w:lang w:eastAsia="en-GB"/>
              </w:rPr>
            </w:pPr>
            <w:r w:rsidRPr="00A52AEE">
              <w:rPr>
                <w:lang w:eastAsia="en-GB"/>
              </w:rPr>
              <w:t>39%</w:t>
            </w:r>
          </w:p>
        </w:tc>
        <w:tc>
          <w:tcPr>
            <w:tcW w:w="604" w:type="pct"/>
            <w:tcBorders>
              <w:top w:val="nil"/>
              <w:left w:val="nil"/>
              <w:bottom w:val="single" w:sz="8" w:space="0" w:color="auto"/>
              <w:right w:val="single" w:sz="8" w:space="0" w:color="auto"/>
            </w:tcBorders>
            <w:shd w:val="clear" w:color="000000" w:fill="FFFFFF"/>
            <w:noWrap/>
            <w:vAlign w:val="center"/>
            <w:hideMark/>
          </w:tcPr>
          <w:p w14:paraId="0574D264" w14:textId="77777777" w:rsidR="000D5C3E" w:rsidRPr="00A52AEE" w:rsidRDefault="000D5C3E" w:rsidP="00AF3CBA">
            <w:pPr>
              <w:jc w:val="right"/>
              <w:rPr>
                <w:lang w:eastAsia="en-GB"/>
              </w:rPr>
            </w:pPr>
            <w:r w:rsidRPr="00A52AEE">
              <w:rPr>
                <w:lang w:eastAsia="en-GB"/>
              </w:rPr>
              <w:t>37%</w:t>
            </w:r>
          </w:p>
        </w:tc>
        <w:tc>
          <w:tcPr>
            <w:tcW w:w="604" w:type="pct"/>
            <w:tcBorders>
              <w:top w:val="nil"/>
              <w:left w:val="nil"/>
              <w:bottom w:val="single" w:sz="8" w:space="0" w:color="auto"/>
              <w:right w:val="single" w:sz="8" w:space="0" w:color="auto"/>
            </w:tcBorders>
            <w:shd w:val="clear" w:color="000000" w:fill="FFFFFF"/>
            <w:noWrap/>
            <w:vAlign w:val="center"/>
            <w:hideMark/>
          </w:tcPr>
          <w:p w14:paraId="6DB7EA71" w14:textId="77777777" w:rsidR="000D5C3E" w:rsidRPr="00A52AEE" w:rsidRDefault="000D5C3E" w:rsidP="00AF3CBA">
            <w:pPr>
              <w:jc w:val="right"/>
              <w:rPr>
                <w:lang w:eastAsia="en-GB"/>
              </w:rPr>
            </w:pPr>
            <w:r w:rsidRPr="00A52AEE">
              <w:rPr>
                <w:lang w:eastAsia="en-GB"/>
              </w:rPr>
              <w:t>37%</w:t>
            </w:r>
          </w:p>
        </w:tc>
        <w:tc>
          <w:tcPr>
            <w:tcW w:w="604" w:type="pct"/>
            <w:tcBorders>
              <w:top w:val="nil"/>
              <w:left w:val="nil"/>
              <w:bottom w:val="single" w:sz="8" w:space="0" w:color="auto"/>
              <w:right w:val="single" w:sz="8" w:space="0" w:color="auto"/>
            </w:tcBorders>
            <w:shd w:val="clear" w:color="000000" w:fill="FFFFFF"/>
            <w:noWrap/>
            <w:vAlign w:val="center"/>
            <w:hideMark/>
          </w:tcPr>
          <w:p w14:paraId="43A9E005" w14:textId="77777777" w:rsidR="000D5C3E" w:rsidRPr="00A52AEE" w:rsidRDefault="000D5C3E" w:rsidP="00AF3CBA">
            <w:pPr>
              <w:jc w:val="right"/>
              <w:rPr>
                <w:lang w:eastAsia="en-GB"/>
              </w:rPr>
            </w:pPr>
            <w:r w:rsidRPr="00A52AEE">
              <w:rPr>
                <w:lang w:eastAsia="en-GB"/>
              </w:rPr>
              <w:t>40%</w:t>
            </w:r>
          </w:p>
        </w:tc>
        <w:tc>
          <w:tcPr>
            <w:tcW w:w="480" w:type="pct"/>
            <w:tcBorders>
              <w:top w:val="nil"/>
              <w:left w:val="nil"/>
              <w:bottom w:val="single" w:sz="8" w:space="0" w:color="auto"/>
              <w:right w:val="single" w:sz="8" w:space="0" w:color="auto"/>
            </w:tcBorders>
            <w:shd w:val="clear" w:color="000000" w:fill="FFFFFF"/>
            <w:noWrap/>
            <w:vAlign w:val="center"/>
            <w:hideMark/>
          </w:tcPr>
          <w:p w14:paraId="6703FA1A" w14:textId="77777777" w:rsidR="000D5C3E" w:rsidRPr="00A52AEE" w:rsidRDefault="000D5C3E" w:rsidP="00AF3CBA">
            <w:pPr>
              <w:jc w:val="right"/>
              <w:rPr>
                <w:lang w:eastAsia="en-GB"/>
              </w:rPr>
            </w:pPr>
            <w:r w:rsidRPr="00A52AEE">
              <w:rPr>
                <w:lang w:eastAsia="en-GB"/>
              </w:rPr>
              <w:t>35%</w:t>
            </w:r>
          </w:p>
        </w:tc>
        <w:tc>
          <w:tcPr>
            <w:tcW w:w="814" w:type="pct"/>
            <w:tcBorders>
              <w:top w:val="nil"/>
              <w:left w:val="nil"/>
              <w:bottom w:val="single" w:sz="8" w:space="0" w:color="auto"/>
              <w:right w:val="single" w:sz="8" w:space="0" w:color="auto"/>
            </w:tcBorders>
            <w:shd w:val="clear" w:color="000000" w:fill="FFFFFF"/>
            <w:noWrap/>
            <w:vAlign w:val="center"/>
            <w:hideMark/>
          </w:tcPr>
          <w:p w14:paraId="1E9EB2EE" w14:textId="77777777" w:rsidR="000D5C3E" w:rsidRPr="00A52AEE" w:rsidRDefault="000D5C3E" w:rsidP="00AF3CBA">
            <w:pPr>
              <w:jc w:val="right"/>
              <w:rPr>
                <w:lang w:eastAsia="en-GB"/>
              </w:rPr>
            </w:pPr>
            <w:r w:rsidRPr="00A52AEE">
              <w:rPr>
                <w:lang w:eastAsia="en-GB"/>
              </w:rPr>
              <w:t>-4%</w:t>
            </w:r>
          </w:p>
        </w:tc>
      </w:tr>
      <w:tr w:rsidR="000D5C3E" w:rsidRPr="00A52AEE" w14:paraId="7EC0128F"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2D8E3D19" w14:textId="77777777" w:rsidR="000D5C3E" w:rsidRPr="00A52AEE" w:rsidRDefault="000D5C3E" w:rsidP="00A52AEE">
            <w:pPr>
              <w:rPr>
                <w:lang w:eastAsia="en-GB"/>
              </w:rPr>
            </w:pPr>
            <w:r w:rsidRPr="00A52AEE">
              <w:rPr>
                <w:lang w:eastAsia="en-GB"/>
              </w:rPr>
              <w:t>25 years+</w:t>
            </w:r>
          </w:p>
        </w:tc>
        <w:tc>
          <w:tcPr>
            <w:tcW w:w="605" w:type="pct"/>
            <w:tcBorders>
              <w:top w:val="nil"/>
              <w:left w:val="nil"/>
              <w:bottom w:val="single" w:sz="8" w:space="0" w:color="auto"/>
              <w:right w:val="single" w:sz="8" w:space="0" w:color="auto"/>
            </w:tcBorders>
            <w:shd w:val="clear" w:color="000000" w:fill="FFFFFF"/>
            <w:noWrap/>
            <w:vAlign w:val="center"/>
            <w:hideMark/>
          </w:tcPr>
          <w:p w14:paraId="44CAC511" w14:textId="77777777" w:rsidR="000D5C3E" w:rsidRPr="00A52AEE" w:rsidRDefault="000D5C3E" w:rsidP="00AF3CBA">
            <w:pPr>
              <w:jc w:val="right"/>
              <w:rPr>
                <w:lang w:eastAsia="en-GB"/>
              </w:rPr>
            </w:pPr>
            <w:r w:rsidRPr="00A52AEE">
              <w:rPr>
                <w:lang w:eastAsia="en-GB"/>
              </w:rPr>
              <w:t>13%</w:t>
            </w:r>
          </w:p>
        </w:tc>
        <w:tc>
          <w:tcPr>
            <w:tcW w:w="604" w:type="pct"/>
            <w:tcBorders>
              <w:top w:val="nil"/>
              <w:left w:val="nil"/>
              <w:bottom w:val="single" w:sz="8" w:space="0" w:color="auto"/>
              <w:right w:val="single" w:sz="8" w:space="0" w:color="auto"/>
            </w:tcBorders>
            <w:shd w:val="clear" w:color="000000" w:fill="FFFFFF"/>
            <w:noWrap/>
            <w:vAlign w:val="center"/>
            <w:hideMark/>
          </w:tcPr>
          <w:p w14:paraId="31F706FA" w14:textId="77777777" w:rsidR="000D5C3E" w:rsidRPr="00A52AEE" w:rsidRDefault="000D5C3E" w:rsidP="00AF3CBA">
            <w:pPr>
              <w:jc w:val="right"/>
              <w:rPr>
                <w:lang w:eastAsia="en-GB"/>
              </w:rPr>
            </w:pPr>
            <w:r w:rsidRPr="00A52AEE">
              <w:rPr>
                <w:lang w:eastAsia="en-GB"/>
              </w:rPr>
              <w:t>12%</w:t>
            </w:r>
          </w:p>
        </w:tc>
        <w:tc>
          <w:tcPr>
            <w:tcW w:w="604" w:type="pct"/>
            <w:tcBorders>
              <w:top w:val="nil"/>
              <w:left w:val="nil"/>
              <w:bottom w:val="single" w:sz="8" w:space="0" w:color="auto"/>
              <w:right w:val="single" w:sz="8" w:space="0" w:color="auto"/>
            </w:tcBorders>
            <w:shd w:val="clear" w:color="000000" w:fill="FFFFFF"/>
            <w:noWrap/>
            <w:vAlign w:val="center"/>
            <w:hideMark/>
          </w:tcPr>
          <w:p w14:paraId="6CD36A93" w14:textId="77777777" w:rsidR="000D5C3E" w:rsidRPr="00A52AEE" w:rsidRDefault="000D5C3E" w:rsidP="00AF3CBA">
            <w:pPr>
              <w:jc w:val="right"/>
              <w:rPr>
                <w:lang w:eastAsia="en-GB"/>
              </w:rPr>
            </w:pPr>
            <w:r w:rsidRPr="00A52AEE">
              <w:rPr>
                <w:lang w:eastAsia="en-GB"/>
              </w:rPr>
              <w:t>12%</w:t>
            </w:r>
          </w:p>
        </w:tc>
        <w:tc>
          <w:tcPr>
            <w:tcW w:w="604" w:type="pct"/>
            <w:tcBorders>
              <w:top w:val="nil"/>
              <w:left w:val="nil"/>
              <w:bottom w:val="single" w:sz="8" w:space="0" w:color="auto"/>
              <w:right w:val="single" w:sz="8" w:space="0" w:color="auto"/>
            </w:tcBorders>
            <w:shd w:val="clear" w:color="000000" w:fill="FFFFFF"/>
            <w:noWrap/>
            <w:vAlign w:val="center"/>
            <w:hideMark/>
          </w:tcPr>
          <w:p w14:paraId="05AC8DBB" w14:textId="77777777" w:rsidR="000D5C3E" w:rsidRPr="00A52AEE" w:rsidRDefault="000D5C3E" w:rsidP="00AF3CBA">
            <w:pPr>
              <w:jc w:val="right"/>
              <w:rPr>
                <w:lang w:eastAsia="en-GB"/>
              </w:rPr>
            </w:pPr>
            <w:r w:rsidRPr="00A52AEE">
              <w:rPr>
                <w:lang w:eastAsia="en-GB"/>
              </w:rPr>
              <w:t>16%</w:t>
            </w:r>
          </w:p>
        </w:tc>
        <w:tc>
          <w:tcPr>
            <w:tcW w:w="480" w:type="pct"/>
            <w:tcBorders>
              <w:top w:val="nil"/>
              <w:left w:val="nil"/>
              <w:bottom w:val="single" w:sz="8" w:space="0" w:color="auto"/>
              <w:right w:val="single" w:sz="8" w:space="0" w:color="auto"/>
            </w:tcBorders>
            <w:shd w:val="clear" w:color="000000" w:fill="FFFFFF"/>
            <w:noWrap/>
            <w:vAlign w:val="center"/>
            <w:hideMark/>
          </w:tcPr>
          <w:p w14:paraId="47C5EA04" w14:textId="77777777" w:rsidR="000D5C3E" w:rsidRPr="00A52AEE" w:rsidRDefault="000D5C3E" w:rsidP="00AF3CBA">
            <w:pPr>
              <w:jc w:val="right"/>
              <w:rPr>
                <w:lang w:eastAsia="en-GB"/>
              </w:rPr>
            </w:pPr>
            <w:r w:rsidRPr="00A52AEE">
              <w:rPr>
                <w:lang w:eastAsia="en-GB"/>
              </w:rPr>
              <w:t>15%</w:t>
            </w:r>
          </w:p>
        </w:tc>
        <w:tc>
          <w:tcPr>
            <w:tcW w:w="814" w:type="pct"/>
            <w:tcBorders>
              <w:top w:val="nil"/>
              <w:left w:val="nil"/>
              <w:bottom w:val="single" w:sz="8" w:space="0" w:color="auto"/>
              <w:right w:val="single" w:sz="8" w:space="0" w:color="auto"/>
            </w:tcBorders>
            <w:shd w:val="clear" w:color="000000" w:fill="FFFFFF"/>
            <w:noWrap/>
            <w:vAlign w:val="center"/>
            <w:hideMark/>
          </w:tcPr>
          <w:p w14:paraId="0EAF864E" w14:textId="77777777" w:rsidR="000D5C3E" w:rsidRPr="00A52AEE" w:rsidRDefault="000D5C3E" w:rsidP="00AF3CBA">
            <w:pPr>
              <w:jc w:val="right"/>
              <w:rPr>
                <w:lang w:eastAsia="en-GB"/>
              </w:rPr>
            </w:pPr>
            <w:r w:rsidRPr="00A52AEE">
              <w:rPr>
                <w:lang w:eastAsia="en-GB"/>
              </w:rPr>
              <w:t>1%</w:t>
            </w:r>
          </w:p>
        </w:tc>
      </w:tr>
      <w:tr w:rsidR="000D5C3E" w:rsidRPr="00A52AEE" w14:paraId="0C1ACE09"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2994E8F1" w14:textId="3D80128D" w:rsidR="000D5C3E" w:rsidRPr="00A52AEE" w:rsidRDefault="000D5C3E" w:rsidP="00A52AEE">
            <w:pPr>
              <w:rPr>
                <w:lang w:eastAsia="en-GB"/>
              </w:rPr>
            </w:pPr>
            <w:r w:rsidRPr="00A52AEE">
              <w:rPr>
                <w:lang w:eastAsia="en-GB"/>
              </w:rPr>
              <w:t xml:space="preserve"> Total</w:t>
            </w:r>
          </w:p>
        </w:tc>
        <w:tc>
          <w:tcPr>
            <w:tcW w:w="605" w:type="pct"/>
            <w:tcBorders>
              <w:top w:val="nil"/>
              <w:left w:val="nil"/>
              <w:bottom w:val="single" w:sz="8" w:space="0" w:color="auto"/>
              <w:right w:val="single" w:sz="8" w:space="0" w:color="auto"/>
            </w:tcBorders>
            <w:shd w:val="clear" w:color="000000" w:fill="FFFFFF"/>
            <w:noWrap/>
            <w:vAlign w:val="center"/>
            <w:hideMark/>
          </w:tcPr>
          <w:p w14:paraId="50B93C18" w14:textId="77777777" w:rsidR="000D5C3E" w:rsidRPr="00A52AEE" w:rsidRDefault="000D5C3E" w:rsidP="00AF3CBA">
            <w:pPr>
              <w:jc w:val="right"/>
              <w:rPr>
                <w:lang w:eastAsia="en-GB"/>
              </w:rPr>
            </w:pPr>
            <w:r w:rsidRPr="00A52AEE">
              <w:rPr>
                <w:lang w:eastAsia="en-GB"/>
              </w:rPr>
              <w:t>41%</w:t>
            </w:r>
          </w:p>
        </w:tc>
        <w:tc>
          <w:tcPr>
            <w:tcW w:w="604" w:type="pct"/>
            <w:tcBorders>
              <w:top w:val="nil"/>
              <w:left w:val="nil"/>
              <w:bottom w:val="single" w:sz="8" w:space="0" w:color="auto"/>
              <w:right w:val="single" w:sz="8" w:space="0" w:color="auto"/>
            </w:tcBorders>
            <w:shd w:val="clear" w:color="000000" w:fill="FFFFFF"/>
            <w:noWrap/>
            <w:vAlign w:val="center"/>
            <w:hideMark/>
          </w:tcPr>
          <w:p w14:paraId="6D4336B0" w14:textId="77777777" w:rsidR="000D5C3E" w:rsidRPr="00A52AEE" w:rsidRDefault="000D5C3E" w:rsidP="00AF3CBA">
            <w:pPr>
              <w:jc w:val="right"/>
              <w:rPr>
                <w:lang w:eastAsia="en-GB"/>
              </w:rPr>
            </w:pPr>
            <w:r w:rsidRPr="00A52AEE">
              <w:rPr>
                <w:lang w:eastAsia="en-GB"/>
              </w:rPr>
              <w:t>38%</w:t>
            </w:r>
          </w:p>
        </w:tc>
        <w:tc>
          <w:tcPr>
            <w:tcW w:w="604" w:type="pct"/>
            <w:tcBorders>
              <w:top w:val="nil"/>
              <w:left w:val="nil"/>
              <w:bottom w:val="single" w:sz="8" w:space="0" w:color="auto"/>
              <w:right w:val="single" w:sz="8" w:space="0" w:color="auto"/>
            </w:tcBorders>
            <w:shd w:val="clear" w:color="000000" w:fill="FFFFFF"/>
            <w:noWrap/>
            <w:vAlign w:val="center"/>
            <w:hideMark/>
          </w:tcPr>
          <w:p w14:paraId="4695F333" w14:textId="77777777" w:rsidR="000D5C3E" w:rsidRPr="00A52AEE" w:rsidRDefault="000D5C3E" w:rsidP="00AF3CBA">
            <w:pPr>
              <w:jc w:val="right"/>
              <w:rPr>
                <w:lang w:eastAsia="en-GB"/>
              </w:rPr>
            </w:pPr>
            <w:r w:rsidRPr="00A52AEE">
              <w:rPr>
                <w:lang w:eastAsia="en-GB"/>
              </w:rPr>
              <w:t>37%</w:t>
            </w:r>
          </w:p>
        </w:tc>
        <w:tc>
          <w:tcPr>
            <w:tcW w:w="604" w:type="pct"/>
            <w:tcBorders>
              <w:top w:val="nil"/>
              <w:left w:val="nil"/>
              <w:bottom w:val="single" w:sz="8" w:space="0" w:color="auto"/>
              <w:right w:val="single" w:sz="8" w:space="0" w:color="auto"/>
            </w:tcBorders>
            <w:shd w:val="clear" w:color="000000" w:fill="FFFFFF"/>
            <w:noWrap/>
            <w:vAlign w:val="center"/>
            <w:hideMark/>
          </w:tcPr>
          <w:p w14:paraId="019FCFB6" w14:textId="77777777" w:rsidR="000D5C3E" w:rsidRPr="00A52AEE" w:rsidRDefault="000D5C3E" w:rsidP="00AF3CBA">
            <w:pPr>
              <w:jc w:val="right"/>
              <w:rPr>
                <w:lang w:eastAsia="en-GB"/>
              </w:rPr>
            </w:pPr>
            <w:r w:rsidRPr="00A52AEE">
              <w:rPr>
                <w:lang w:eastAsia="en-GB"/>
              </w:rPr>
              <w:t>41%</w:t>
            </w:r>
          </w:p>
        </w:tc>
        <w:tc>
          <w:tcPr>
            <w:tcW w:w="480" w:type="pct"/>
            <w:tcBorders>
              <w:top w:val="nil"/>
              <w:left w:val="nil"/>
              <w:bottom w:val="single" w:sz="8" w:space="0" w:color="auto"/>
              <w:right w:val="single" w:sz="8" w:space="0" w:color="auto"/>
            </w:tcBorders>
            <w:shd w:val="clear" w:color="000000" w:fill="FFFFFF"/>
            <w:noWrap/>
            <w:vAlign w:val="center"/>
            <w:hideMark/>
          </w:tcPr>
          <w:p w14:paraId="6AF026F9" w14:textId="77777777" w:rsidR="000D5C3E" w:rsidRPr="00A52AEE" w:rsidRDefault="000D5C3E" w:rsidP="00AF3CBA">
            <w:pPr>
              <w:jc w:val="right"/>
              <w:rPr>
                <w:lang w:eastAsia="en-GB"/>
              </w:rPr>
            </w:pPr>
            <w:r w:rsidRPr="00A52AEE">
              <w:rPr>
                <w:lang w:eastAsia="en-GB"/>
              </w:rPr>
              <w:t>34%</w:t>
            </w:r>
          </w:p>
        </w:tc>
        <w:tc>
          <w:tcPr>
            <w:tcW w:w="814" w:type="pct"/>
            <w:tcBorders>
              <w:top w:val="nil"/>
              <w:left w:val="nil"/>
              <w:bottom w:val="single" w:sz="8" w:space="0" w:color="auto"/>
              <w:right w:val="single" w:sz="8" w:space="0" w:color="auto"/>
            </w:tcBorders>
            <w:shd w:val="clear" w:color="000000" w:fill="FFFFFF"/>
            <w:noWrap/>
            <w:vAlign w:val="center"/>
            <w:hideMark/>
          </w:tcPr>
          <w:p w14:paraId="1A13FE98" w14:textId="77777777" w:rsidR="000D5C3E" w:rsidRPr="00A52AEE" w:rsidRDefault="000D5C3E" w:rsidP="00AF3CBA">
            <w:pPr>
              <w:jc w:val="right"/>
              <w:rPr>
                <w:lang w:eastAsia="en-GB"/>
              </w:rPr>
            </w:pPr>
            <w:r w:rsidRPr="00A52AEE">
              <w:rPr>
                <w:lang w:eastAsia="en-GB"/>
              </w:rPr>
              <w:t>-7%</w:t>
            </w:r>
          </w:p>
        </w:tc>
      </w:tr>
      <w:tr w:rsidR="000D5C3E" w:rsidRPr="00AF3CBA" w14:paraId="02DCE32C" w14:textId="77777777" w:rsidTr="00B959B2">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auto" w:fill="2E74B5" w:themeFill="accent1" w:themeFillShade="BF"/>
            <w:noWrap/>
            <w:vAlign w:val="center"/>
            <w:hideMark/>
          </w:tcPr>
          <w:p w14:paraId="7B5EE750" w14:textId="77777777" w:rsidR="000D5C3E" w:rsidRPr="00AF3CBA" w:rsidRDefault="000D5C3E" w:rsidP="00AF3CBA">
            <w:pPr>
              <w:jc w:val="center"/>
              <w:rPr>
                <w:b/>
                <w:color w:val="FFFFFF" w:themeColor="background1"/>
                <w:sz w:val="22"/>
                <w:lang w:eastAsia="en-GB"/>
              </w:rPr>
            </w:pPr>
            <w:r w:rsidRPr="00AF3CBA">
              <w:rPr>
                <w:b/>
                <w:color w:val="FFFFFF" w:themeColor="background1"/>
                <w:lang w:eastAsia="en-GB"/>
              </w:rPr>
              <w:t>All higher education progression</w:t>
            </w:r>
          </w:p>
        </w:tc>
      </w:tr>
      <w:tr w:rsidR="000D5C3E" w:rsidRPr="00A52AEE" w14:paraId="4242003C"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6F03D33E" w14:textId="77777777" w:rsidR="000D5C3E" w:rsidRPr="00A52AEE" w:rsidRDefault="000D5C3E" w:rsidP="00A52AEE">
            <w:pPr>
              <w:rPr>
                <w:lang w:eastAsia="en-GB"/>
              </w:rPr>
            </w:pPr>
            <w:r w:rsidRPr="00A52AEE">
              <w:rPr>
                <w:lang w:eastAsia="en-GB"/>
              </w:rPr>
              <w:t>Less than 20</w:t>
            </w:r>
          </w:p>
        </w:tc>
        <w:tc>
          <w:tcPr>
            <w:tcW w:w="605" w:type="pct"/>
            <w:tcBorders>
              <w:top w:val="nil"/>
              <w:left w:val="nil"/>
              <w:bottom w:val="single" w:sz="8" w:space="0" w:color="auto"/>
              <w:right w:val="single" w:sz="8" w:space="0" w:color="auto"/>
            </w:tcBorders>
            <w:shd w:val="clear" w:color="000000" w:fill="FFFFFF"/>
            <w:noWrap/>
            <w:vAlign w:val="center"/>
            <w:hideMark/>
          </w:tcPr>
          <w:p w14:paraId="00CBDD94" w14:textId="77777777" w:rsidR="000D5C3E" w:rsidRPr="00A52AEE" w:rsidRDefault="000D5C3E" w:rsidP="00AF3CBA">
            <w:pPr>
              <w:jc w:val="right"/>
              <w:rPr>
                <w:lang w:eastAsia="en-GB"/>
              </w:rPr>
            </w:pPr>
            <w:r w:rsidRPr="00A52AEE">
              <w:rPr>
                <w:lang w:eastAsia="en-GB"/>
              </w:rPr>
              <w:t>62%</w:t>
            </w:r>
          </w:p>
        </w:tc>
        <w:tc>
          <w:tcPr>
            <w:tcW w:w="604" w:type="pct"/>
            <w:tcBorders>
              <w:top w:val="nil"/>
              <w:left w:val="nil"/>
              <w:bottom w:val="single" w:sz="8" w:space="0" w:color="auto"/>
              <w:right w:val="single" w:sz="8" w:space="0" w:color="auto"/>
            </w:tcBorders>
            <w:shd w:val="clear" w:color="000000" w:fill="FFFFFF"/>
            <w:noWrap/>
            <w:vAlign w:val="center"/>
            <w:hideMark/>
          </w:tcPr>
          <w:p w14:paraId="2800181C" w14:textId="77777777" w:rsidR="000D5C3E" w:rsidRPr="00A52AEE" w:rsidRDefault="000D5C3E" w:rsidP="00AF3CBA">
            <w:pPr>
              <w:jc w:val="right"/>
              <w:rPr>
                <w:lang w:eastAsia="en-GB"/>
              </w:rPr>
            </w:pPr>
            <w:r w:rsidRPr="00A52AEE">
              <w:rPr>
                <w:lang w:eastAsia="en-GB"/>
              </w:rPr>
              <w:t>62%</w:t>
            </w:r>
          </w:p>
        </w:tc>
        <w:tc>
          <w:tcPr>
            <w:tcW w:w="604" w:type="pct"/>
            <w:tcBorders>
              <w:top w:val="nil"/>
              <w:left w:val="nil"/>
              <w:bottom w:val="single" w:sz="8" w:space="0" w:color="auto"/>
              <w:right w:val="single" w:sz="8" w:space="0" w:color="auto"/>
            </w:tcBorders>
            <w:shd w:val="clear" w:color="000000" w:fill="FFFFFF"/>
            <w:noWrap/>
            <w:vAlign w:val="center"/>
            <w:hideMark/>
          </w:tcPr>
          <w:p w14:paraId="26A9BD7F" w14:textId="77777777" w:rsidR="000D5C3E" w:rsidRPr="00A52AEE" w:rsidRDefault="000D5C3E" w:rsidP="00AF3CBA">
            <w:pPr>
              <w:jc w:val="right"/>
              <w:rPr>
                <w:lang w:eastAsia="en-GB"/>
              </w:rPr>
            </w:pPr>
            <w:r w:rsidRPr="00A52AEE">
              <w:rPr>
                <w:lang w:eastAsia="en-GB"/>
              </w:rPr>
              <w:t>58%</w:t>
            </w:r>
          </w:p>
        </w:tc>
        <w:tc>
          <w:tcPr>
            <w:tcW w:w="604" w:type="pct"/>
            <w:tcBorders>
              <w:top w:val="nil"/>
              <w:left w:val="nil"/>
              <w:bottom w:val="single" w:sz="8" w:space="0" w:color="auto"/>
              <w:right w:val="single" w:sz="8" w:space="0" w:color="auto"/>
            </w:tcBorders>
            <w:shd w:val="clear" w:color="000000" w:fill="FFFFFF"/>
            <w:noWrap/>
            <w:vAlign w:val="center"/>
            <w:hideMark/>
          </w:tcPr>
          <w:p w14:paraId="58D76F83" w14:textId="77777777" w:rsidR="000D5C3E" w:rsidRPr="00A52AEE" w:rsidRDefault="000D5C3E" w:rsidP="00AF3CBA">
            <w:pPr>
              <w:jc w:val="right"/>
              <w:rPr>
                <w:lang w:eastAsia="en-GB"/>
              </w:rPr>
            </w:pPr>
            <w:r w:rsidRPr="00A52AEE">
              <w:rPr>
                <w:lang w:eastAsia="en-GB"/>
              </w:rPr>
              <w:t>57%</w:t>
            </w:r>
          </w:p>
        </w:tc>
        <w:tc>
          <w:tcPr>
            <w:tcW w:w="480" w:type="pct"/>
            <w:tcBorders>
              <w:top w:val="nil"/>
              <w:left w:val="nil"/>
              <w:bottom w:val="single" w:sz="8" w:space="0" w:color="auto"/>
              <w:right w:val="single" w:sz="8" w:space="0" w:color="auto"/>
            </w:tcBorders>
            <w:shd w:val="clear" w:color="000000" w:fill="FFFFFF"/>
            <w:noWrap/>
            <w:vAlign w:val="center"/>
            <w:hideMark/>
          </w:tcPr>
          <w:p w14:paraId="5BDDE9E4" w14:textId="77777777" w:rsidR="000D5C3E" w:rsidRPr="00A52AEE" w:rsidRDefault="000D5C3E" w:rsidP="00AF3CBA">
            <w:pPr>
              <w:jc w:val="right"/>
              <w:rPr>
                <w:lang w:eastAsia="en-GB"/>
              </w:rPr>
            </w:pPr>
            <w:r w:rsidRPr="00A52AEE">
              <w:rPr>
                <w:lang w:eastAsia="en-GB"/>
              </w:rPr>
              <w:t>45%</w:t>
            </w:r>
          </w:p>
        </w:tc>
        <w:tc>
          <w:tcPr>
            <w:tcW w:w="814" w:type="pct"/>
            <w:tcBorders>
              <w:top w:val="nil"/>
              <w:left w:val="nil"/>
              <w:bottom w:val="single" w:sz="8" w:space="0" w:color="auto"/>
              <w:right w:val="single" w:sz="8" w:space="0" w:color="auto"/>
            </w:tcBorders>
            <w:shd w:val="clear" w:color="000000" w:fill="FFFFFF"/>
            <w:noWrap/>
            <w:vAlign w:val="center"/>
            <w:hideMark/>
          </w:tcPr>
          <w:p w14:paraId="6B62A432" w14:textId="77777777" w:rsidR="000D5C3E" w:rsidRPr="00A52AEE" w:rsidRDefault="000D5C3E" w:rsidP="00AF3CBA">
            <w:pPr>
              <w:jc w:val="right"/>
              <w:rPr>
                <w:lang w:eastAsia="en-GB"/>
              </w:rPr>
            </w:pPr>
            <w:r w:rsidRPr="00A52AEE">
              <w:rPr>
                <w:lang w:eastAsia="en-GB"/>
              </w:rPr>
              <w:t>-17%</w:t>
            </w:r>
          </w:p>
        </w:tc>
      </w:tr>
      <w:tr w:rsidR="000D5C3E" w:rsidRPr="00A52AEE" w14:paraId="67A4EAC2"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790FD130" w14:textId="77777777" w:rsidR="000D5C3E" w:rsidRPr="00A52AEE" w:rsidRDefault="000D5C3E" w:rsidP="00A52AEE">
            <w:pPr>
              <w:rPr>
                <w:lang w:eastAsia="en-GB"/>
              </w:rPr>
            </w:pPr>
            <w:r w:rsidRPr="00A52AEE">
              <w:rPr>
                <w:lang w:eastAsia="en-GB"/>
              </w:rPr>
              <w:t>20-24 years</w:t>
            </w:r>
          </w:p>
        </w:tc>
        <w:tc>
          <w:tcPr>
            <w:tcW w:w="605" w:type="pct"/>
            <w:tcBorders>
              <w:top w:val="nil"/>
              <w:left w:val="nil"/>
              <w:bottom w:val="single" w:sz="8" w:space="0" w:color="auto"/>
              <w:right w:val="single" w:sz="8" w:space="0" w:color="auto"/>
            </w:tcBorders>
            <w:shd w:val="clear" w:color="000000" w:fill="FFFFFF"/>
            <w:noWrap/>
            <w:vAlign w:val="center"/>
            <w:hideMark/>
          </w:tcPr>
          <w:p w14:paraId="6ED92502" w14:textId="77777777" w:rsidR="000D5C3E" w:rsidRPr="00A52AEE" w:rsidRDefault="000D5C3E" w:rsidP="00AF3CBA">
            <w:pPr>
              <w:jc w:val="right"/>
              <w:rPr>
                <w:lang w:eastAsia="en-GB"/>
              </w:rPr>
            </w:pPr>
            <w:r w:rsidRPr="00A52AEE">
              <w:rPr>
                <w:lang w:eastAsia="en-GB"/>
              </w:rPr>
              <w:t>40%</w:t>
            </w:r>
          </w:p>
        </w:tc>
        <w:tc>
          <w:tcPr>
            <w:tcW w:w="604" w:type="pct"/>
            <w:tcBorders>
              <w:top w:val="nil"/>
              <w:left w:val="nil"/>
              <w:bottom w:val="single" w:sz="8" w:space="0" w:color="auto"/>
              <w:right w:val="single" w:sz="8" w:space="0" w:color="auto"/>
            </w:tcBorders>
            <w:shd w:val="clear" w:color="000000" w:fill="FFFFFF"/>
            <w:noWrap/>
            <w:vAlign w:val="center"/>
            <w:hideMark/>
          </w:tcPr>
          <w:p w14:paraId="1B6DA043" w14:textId="77777777" w:rsidR="000D5C3E" w:rsidRPr="00A52AEE" w:rsidRDefault="000D5C3E" w:rsidP="00AF3CBA">
            <w:pPr>
              <w:jc w:val="right"/>
              <w:rPr>
                <w:lang w:eastAsia="en-GB"/>
              </w:rPr>
            </w:pPr>
            <w:r w:rsidRPr="00A52AEE">
              <w:rPr>
                <w:lang w:eastAsia="en-GB"/>
              </w:rPr>
              <w:t>39%</w:t>
            </w:r>
          </w:p>
        </w:tc>
        <w:tc>
          <w:tcPr>
            <w:tcW w:w="604" w:type="pct"/>
            <w:tcBorders>
              <w:top w:val="nil"/>
              <w:left w:val="nil"/>
              <w:bottom w:val="single" w:sz="8" w:space="0" w:color="auto"/>
              <w:right w:val="single" w:sz="8" w:space="0" w:color="auto"/>
            </w:tcBorders>
            <w:shd w:val="clear" w:color="000000" w:fill="FFFFFF"/>
            <w:noWrap/>
            <w:vAlign w:val="center"/>
            <w:hideMark/>
          </w:tcPr>
          <w:p w14:paraId="57A9D86B" w14:textId="77777777" w:rsidR="000D5C3E" w:rsidRPr="00A52AEE" w:rsidRDefault="000D5C3E" w:rsidP="00AF3CBA">
            <w:pPr>
              <w:jc w:val="right"/>
              <w:rPr>
                <w:lang w:eastAsia="en-GB"/>
              </w:rPr>
            </w:pPr>
            <w:r w:rsidRPr="00A52AEE">
              <w:rPr>
                <w:lang w:eastAsia="en-GB"/>
              </w:rPr>
              <w:t>39%</w:t>
            </w:r>
          </w:p>
        </w:tc>
        <w:tc>
          <w:tcPr>
            <w:tcW w:w="604" w:type="pct"/>
            <w:tcBorders>
              <w:top w:val="nil"/>
              <w:left w:val="nil"/>
              <w:bottom w:val="single" w:sz="8" w:space="0" w:color="auto"/>
              <w:right w:val="single" w:sz="8" w:space="0" w:color="auto"/>
            </w:tcBorders>
            <w:shd w:val="clear" w:color="000000" w:fill="FFFFFF"/>
            <w:noWrap/>
            <w:vAlign w:val="center"/>
            <w:hideMark/>
          </w:tcPr>
          <w:p w14:paraId="29E075E9" w14:textId="77777777" w:rsidR="000D5C3E" w:rsidRPr="00A52AEE" w:rsidRDefault="000D5C3E" w:rsidP="00AF3CBA">
            <w:pPr>
              <w:jc w:val="right"/>
              <w:rPr>
                <w:lang w:eastAsia="en-GB"/>
              </w:rPr>
            </w:pPr>
            <w:r w:rsidRPr="00A52AEE">
              <w:rPr>
                <w:lang w:eastAsia="en-GB"/>
              </w:rPr>
              <w:t>42%</w:t>
            </w:r>
          </w:p>
        </w:tc>
        <w:tc>
          <w:tcPr>
            <w:tcW w:w="480" w:type="pct"/>
            <w:tcBorders>
              <w:top w:val="nil"/>
              <w:left w:val="nil"/>
              <w:bottom w:val="single" w:sz="8" w:space="0" w:color="auto"/>
              <w:right w:val="single" w:sz="8" w:space="0" w:color="auto"/>
            </w:tcBorders>
            <w:shd w:val="clear" w:color="000000" w:fill="FFFFFF"/>
            <w:noWrap/>
            <w:vAlign w:val="center"/>
            <w:hideMark/>
          </w:tcPr>
          <w:p w14:paraId="23183AD9" w14:textId="77777777" w:rsidR="000D5C3E" w:rsidRPr="00A52AEE" w:rsidRDefault="000D5C3E" w:rsidP="00AF3CBA">
            <w:pPr>
              <w:jc w:val="right"/>
              <w:rPr>
                <w:lang w:eastAsia="en-GB"/>
              </w:rPr>
            </w:pPr>
            <w:r w:rsidRPr="00A52AEE">
              <w:rPr>
                <w:lang w:eastAsia="en-GB"/>
              </w:rPr>
              <w:t>39%</w:t>
            </w:r>
          </w:p>
        </w:tc>
        <w:tc>
          <w:tcPr>
            <w:tcW w:w="814" w:type="pct"/>
            <w:tcBorders>
              <w:top w:val="nil"/>
              <w:left w:val="nil"/>
              <w:bottom w:val="single" w:sz="8" w:space="0" w:color="auto"/>
              <w:right w:val="single" w:sz="8" w:space="0" w:color="auto"/>
            </w:tcBorders>
            <w:shd w:val="clear" w:color="000000" w:fill="FFFFFF"/>
            <w:noWrap/>
            <w:vAlign w:val="center"/>
            <w:hideMark/>
          </w:tcPr>
          <w:p w14:paraId="73964A15" w14:textId="77777777" w:rsidR="000D5C3E" w:rsidRPr="00A52AEE" w:rsidRDefault="000D5C3E" w:rsidP="00AF3CBA">
            <w:pPr>
              <w:jc w:val="right"/>
              <w:rPr>
                <w:lang w:eastAsia="en-GB"/>
              </w:rPr>
            </w:pPr>
            <w:r w:rsidRPr="00A52AEE">
              <w:rPr>
                <w:lang w:eastAsia="en-GB"/>
              </w:rPr>
              <w:t>-1%</w:t>
            </w:r>
          </w:p>
        </w:tc>
      </w:tr>
      <w:tr w:rsidR="000D5C3E" w:rsidRPr="00A52AEE" w14:paraId="4461A41E"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3CCEFA4E" w14:textId="77777777" w:rsidR="000D5C3E" w:rsidRPr="00A52AEE" w:rsidRDefault="000D5C3E" w:rsidP="00A52AEE">
            <w:pPr>
              <w:rPr>
                <w:lang w:eastAsia="en-GB"/>
              </w:rPr>
            </w:pPr>
            <w:r w:rsidRPr="00A52AEE">
              <w:rPr>
                <w:lang w:eastAsia="en-GB"/>
              </w:rPr>
              <w:t>25 years+</w:t>
            </w:r>
          </w:p>
        </w:tc>
        <w:tc>
          <w:tcPr>
            <w:tcW w:w="605" w:type="pct"/>
            <w:tcBorders>
              <w:top w:val="nil"/>
              <w:left w:val="nil"/>
              <w:bottom w:val="single" w:sz="8" w:space="0" w:color="auto"/>
              <w:right w:val="single" w:sz="8" w:space="0" w:color="auto"/>
            </w:tcBorders>
            <w:shd w:val="clear" w:color="000000" w:fill="FFFFFF"/>
            <w:noWrap/>
            <w:vAlign w:val="center"/>
            <w:hideMark/>
          </w:tcPr>
          <w:p w14:paraId="6B655667" w14:textId="77777777" w:rsidR="000D5C3E" w:rsidRPr="00A52AEE" w:rsidRDefault="000D5C3E" w:rsidP="00AF3CBA">
            <w:pPr>
              <w:jc w:val="right"/>
              <w:rPr>
                <w:lang w:eastAsia="en-GB"/>
              </w:rPr>
            </w:pPr>
            <w:r w:rsidRPr="00A52AEE">
              <w:rPr>
                <w:lang w:eastAsia="en-GB"/>
              </w:rPr>
              <w:t>15%</w:t>
            </w:r>
          </w:p>
        </w:tc>
        <w:tc>
          <w:tcPr>
            <w:tcW w:w="604" w:type="pct"/>
            <w:tcBorders>
              <w:top w:val="nil"/>
              <w:left w:val="nil"/>
              <w:bottom w:val="single" w:sz="8" w:space="0" w:color="auto"/>
              <w:right w:val="single" w:sz="8" w:space="0" w:color="auto"/>
            </w:tcBorders>
            <w:shd w:val="clear" w:color="000000" w:fill="FFFFFF"/>
            <w:noWrap/>
            <w:vAlign w:val="center"/>
            <w:hideMark/>
          </w:tcPr>
          <w:p w14:paraId="29B0A5FB" w14:textId="77777777" w:rsidR="000D5C3E" w:rsidRPr="00A52AEE" w:rsidRDefault="000D5C3E" w:rsidP="00AF3CBA">
            <w:pPr>
              <w:jc w:val="right"/>
              <w:rPr>
                <w:lang w:eastAsia="en-GB"/>
              </w:rPr>
            </w:pPr>
            <w:r w:rsidRPr="00A52AEE">
              <w:rPr>
                <w:lang w:eastAsia="en-GB"/>
              </w:rPr>
              <w:t>15%</w:t>
            </w:r>
          </w:p>
        </w:tc>
        <w:tc>
          <w:tcPr>
            <w:tcW w:w="604" w:type="pct"/>
            <w:tcBorders>
              <w:top w:val="nil"/>
              <w:left w:val="nil"/>
              <w:bottom w:val="single" w:sz="8" w:space="0" w:color="auto"/>
              <w:right w:val="single" w:sz="8" w:space="0" w:color="auto"/>
            </w:tcBorders>
            <w:shd w:val="clear" w:color="000000" w:fill="FFFFFF"/>
            <w:noWrap/>
            <w:vAlign w:val="center"/>
            <w:hideMark/>
          </w:tcPr>
          <w:p w14:paraId="78DC4BB2" w14:textId="77777777" w:rsidR="000D5C3E" w:rsidRPr="00A52AEE" w:rsidRDefault="000D5C3E" w:rsidP="00AF3CBA">
            <w:pPr>
              <w:jc w:val="right"/>
              <w:rPr>
                <w:lang w:eastAsia="en-GB"/>
              </w:rPr>
            </w:pPr>
            <w:r w:rsidRPr="00A52AEE">
              <w:rPr>
                <w:lang w:eastAsia="en-GB"/>
              </w:rPr>
              <w:t>16%</w:t>
            </w:r>
          </w:p>
        </w:tc>
        <w:tc>
          <w:tcPr>
            <w:tcW w:w="604" w:type="pct"/>
            <w:tcBorders>
              <w:top w:val="nil"/>
              <w:left w:val="nil"/>
              <w:bottom w:val="single" w:sz="8" w:space="0" w:color="auto"/>
              <w:right w:val="single" w:sz="8" w:space="0" w:color="auto"/>
            </w:tcBorders>
            <w:shd w:val="clear" w:color="000000" w:fill="FFFFFF"/>
            <w:noWrap/>
            <w:vAlign w:val="center"/>
            <w:hideMark/>
          </w:tcPr>
          <w:p w14:paraId="3650F0BD" w14:textId="77777777" w:rsidR="000D5C3E" w:rsidRPr="00A52AEE" w:rsidRDefault="000D5C3E" w:rsidP="00AF3CBA">
            <w:pPr>
              <w:jc w:val="right"/>
              <w:rPr>
                <w:lang w:eastAsia="en-GB"/>
              </w:rPr>
            </w:pPr>
            <w:r w:rsidRPr="00A52AEE">
              <w:rPr>
                <w:lang w:eastAsia="en-GB"/>
              </w:rPr>
              <w:t>20%</w:t>
            </w:r>
          </w:p>
        </w:tc>
        <w:tc>
          <w:tcPr>
            <w:tcW w:w="480" w:type="pct"/>
            <w:tcBorders>
              <w:top w:val="nil"/>
              <w:left w:val="nil"/>
              <w:bottom w:val="single" w:sz="8" w:space="0" w:color="auto"/>
              <w:right w:val="single" w:sz="8" w:space="0" w:color="auto"/>
            </w:tcBorders>
            <w:shd w:val="clear" w:color="000000" w:fill="FFFFFF"/>
            <w:noWrap/>
            <w:vAlign w:val="center"/>
            <w:hideMark/>
          </w:tcPr>
          <w:p w14:paraId="5A304CEA" w14:textId="77777777" w:rsidR="000D5C3E" w:rsidRPr="00A52AEE" w:rsidRDefault="000D5C3E" w:rsidP="00AF3CBA">
            <w:pPr>
              <w:jc w:val="right"/>
              <w:rPr>
                <w:lang w:eastAsia="en-GB"/>
              </w:rPr>
            </w:pPr>
            <w:r w:rsidRPr="00A52AEE">
              <w:rPr>
                <w:lang w:eastAsia="en-GB"/>
              </w:rPr>
              <w:t>23%</w:t>
            </w:r>
          </w:p>
        </w:tc>
        <w:tc>
          <w:tcPr>
            <w:tcW w:w="814" w:type="pct"/>
            <w:tcBorders>
              <w:top w:val="nil"/>
              <w:left w:val="nil"/>
              <w:bottom w:val="single" w:sz="8" w:space="0" w:color="auto"/>
              <w:right w:val="single" w:sz="8" w:space="0" w:color="auto"/>
            </w:tcBorders>
            <w:shd w:val="clear" w:color="000000" w:fill="FFFFFF"/>
            <w:noWrap/>
            <w:vAlign w:val="center"/>
            <w:hideMark/>
          </w:tcPr>
          <w:p w14:paraId="0A038713" w14:textId="77777777" w:rsidR="000D5C3E" w:rsidRPr="00A52AEE" w:rsidRDefault="000D5C3E" w:rsidP="00AF3CBA">
            <w:pPr>
              <w:jc w:val="right"/>
              <w:rPr>
                <w:lang w:eastAsia="en-GB"/>
              </w:rPr>
            </w:pPr>
            <w:r w:rsidRPr="00A52AEE">
              <w:rPr>
                <w:lang w:eastAsia="en-GB"/>
              </w:rPr>
              <w:t>8%</w:t>
            </w:r>
          </w:p>
        </w:tc>
      </w:tr>
      <w:tr w:rsidR="000D5C3E" w:rsidRPr="00A52AEE" w14:paraId="238D4D60" w14:textId="77777777" w:rsidTr="00CE4337">
        <w:trPr>
          <w:trHeight w:val="330"/>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70E1DFEC" w14:textId="75546DAE" w:rsidR="000D5C3E" w:rsidRPr="00A52AEE" w:rsidRDefault="000D5C3E" w:rsidP="00A52AEE">
            <w:pPr>
              <w:rPr>
                <w:lang w:eastAsia="en-GB"/>
              </w:rPr>
            </w:pPr>
            <w:r w:rsidRPr="00A52AEE">
              <w:rPr>
                <w:lang w:eastAsia="en-GB"/>
              </w:rPr>
              <w:t xml:space="preserve"> Total</w:t>
            </w:r>
          </w:p>
        </w:tc>
        <w:tc>
          <w:tcPr>
            <w:tcW w:w="605" w:type="pct"/>
            <w:tcBorders>
              <w:top w:val="nil"/>
              <w:left w:val="nil"/>
              <w:bottom w:val="single" w:sz="8" w:space="0" w:color="auto"/>
              <w:right w:val="single" w:sz="8" w:space="0" w:color="auto"/>
            </w:tcBorders>
            <w:shd w:val="clear" w:color="000000" w:fill="FFFFFF"/>
            <w:noWrap/>
            <w:vAlign w:val="center"/>
            <w:hideMark/>
          </w:tcPr>
          <w:p w14:paraId="24585673" w14:textId="77777777" w:rsidR="000D5C3E" w:rsidRPr="00A52AEE" w:rsidRDefault="000D5C3E" w:rsidP="00AF3CBA">
            <w:pPr>
              <w:jc w:val="right"/>
              <w:rPr>
                <w:lang w:eastAsia="en-GB"/>
              </w:rPr>
            </w:pPr>
            <w:r w:rsidRPr="00A52AEE">
              <w:rPr>
                <w:lang w:eastAsia="en-GB"/>
              </w:rPr>
              <w:t>42%</w:t>
            </w:r>
          </w:p>
        </w:tc>
        <w:tc>
          <w:tcPr>
            <w:tcW w:w="604" w:type="pct"/>
            <w:tcBorders>
              <w:top w:val="nil"/>
              <w:left w:val="nil"/>
              <w:bottom w:val="single" w:sz="8" w:space="0" w:color="auto"/>
              <w:right w:val="single" w:sz="8" w:space="0" w:color="auto"/>
            </w:tcBorders>
            <w:shd w:val="clear" w:color="000000" w:fill="FFFFFF"/>
            <w:noWrap/>
            <w:vAlign w:val="center"/>
            <w:hideMark/>
          </w:tcPr>
          <w:p w14:paraId="6BF93B0A" w14:textId="77777777" w:rsidR="000D5C3E" w:rsidRPr="00A52AEE" w:rsidRDefault="000D5C3E" w:rsidP="00AF3CBA">
            <w:pPr>
              <w:jc w:val="right"/>
              <w:rPr>
                <w:lang w:eastAsia="en-GB"/>
              </w:rPr>
            </w:pPr>
            <w:r w:rsidRPr="00A52AEE">
              <w:rPr>
                <w:lang w:eastAsia="en-GB"/>
              </w:rPr>
              <w:t>40%</w:t>
            </w:r>
          </w:p>
        </w:tc>
        <w:tc>
          <w:tcPr>
            <w:tcW w:w="604" w:type="pct"/>
            <w:tcBorders>
              <w:top w:val="nil"/>
              <w:left w:val="nil"/>
              <w:bottom w:val="single" w:sz="8" w:space="0" w:color="auto"/>
              <w:right w:val="single" w:sz="8" w:space="0" w:color="auto"/>
            </w:tcBorders>
            <w:shd w:val="clear" w:color="000000" w:fill="FFFFFF"/>
            <w:noWrap/>
            <w:vAlign w:val="center"/>
            <w:hideMark/>
          </w:tcPr>
          <w:p w14:paraId="535AD07D" w14:textId="77777777" w:rsidR="000D5C3E" w:rsidRPr="00A52AEE" w:rsidRDefault="000D5C3E" w:rsidP="00AF3CBA">
            <w:pPr>
              <w:jc w:val="right"/>
              <w:rPr>
                <w:lang w:eastAsia="en-GB"/>
              </w:rPr>
            </w:pPr>
            <w:r w:rsidRPr="00A52AEE">
              <w:rPr>
                <w:lang w:eastAsia="en-GB"/>
              </w:rPr>
              <w:t>39%</w:t>
            </w:r>
          </w:p>
        </w:tc>
        <w:tc>
          <w:tcPr>
            <w:tcW w:w="604" w:type="pct"/>
            <w:tcBorders>
              <w:top w:val="nil"/>
              <w:left w:val="nil"/>
              <w:bottom w:val="single" w:sz="8" w:space="0" w:color="auto"/>
              <w:right w:val="single" w:sz="8" w:space="0" w:color="auto"/>
            </w:tcBorders>
            <w:shd w:val="clear" w:color="000000" w:fill="FFFFFF"/>
            <w:noWrap/>
            <w:vAlign w:val="center"/>
            <w:hideMark/>
          </w:tcPr>
          <w:p w14:paraId="5DFD2DF0" w14:textId="77777777" w:rsidR="000D5C3E" w:rsidRPr="00A52AEE" w:rsidRDefault="000D5C3E" w:rsidP="00AF3CBA">
            <w:pPr>
              <w:jc w:val="right"/>
              <w:rPr>
                <w:lang w:eastAsia="en-GB"/>
              </w:rPr>
            </w:pPr>
            <w:r w:rsidRPr="00A52AEE">
              <w:rPr>
                <w:lang w:eastAsia="en-GB"/>
              </w:rPr>
              <w:t>43%</w:t>
            </w:r>
          </w:p>
        </w:tc>
        <w:tc>
          <w:tcPr>
            <w:tcW w:w="480" w:type="pct"/>
            <w:tcBorders>
              <w:top w:val="nil"/>
              <w:left w:val="nil"/>
              <w:bottom w:val="single" w:sz="8" w:space="0" w:color="auto"/>
              <w:right w:val="single" w:sz="8" w:space="0" w:color="auto"/>
            </w:tcBorders>
            <w:shd w:val="clear" w:color="000000" w:fill="FFFFFF"/>
            <w:noWrap/>
            <w:vAlign w:val="center"/>
            <w:hideMark/>
          </w:tcPr>
          <w:p w14:paraId="54D84AEB" w14:textId="77777777" w:rsidR="000D5C3E" w:rsidRPr="00A52AEE" w:rsidRDefault="000D5C3E" w:rsidP="00AF3CBA">
            <w:pPr>
              <w:jc w:val="right"/>
              <w:rPr>
                <w:lang w:eastAsia="en-GB"/>
              </w:rPr>
            </w:pPr>
            <w:r w:rsidRPr="00A52AEE">
              <w:rPr>
                <w:lang w:eastAsia="en-GB"/>
              </w:rPr>
              <w:t>38%</w:t>
            </w:r>
          </w:p>
        </w:tc>
        <w:tc>
          <w:tcPr>
            <w:tcW w:w="814" w:type="pct"/>
            <w:tcBorders>
              <w:top w:val="nil"/>
              <w:left w:val="nil"/>
              <w:bottom w:val="single" w:sz="8" w:space="0" w:color="auto"/>
              <w:right w:val="single" w:sz="8" w:space="0" w:color="auto"/>
            </w:tcBorders>
            <w:shd w:val="clear" w:color="000000" w:fill="FFFFFF"/>
            <w:noWrap/>
            <w:vAlign w:val="center"/>
            <w:hideMark/>
          </w:tcPr>
          <w:p w14:paraId="08BF0772" w14:textId="77777777" w:rsidR="000D5C3E" w:rsidRPr="00A52AEE" w:rsidRDefault="000D5C3E" w:rsidP="00AF3CBA">
            <w:pPr>
              <w:jc w:val="right"/>
              <w:rPr>
                <w:lang w:eastAsia="en-GB"/>
              </w:rPr>
            </w:pPr>
            <w:r w:rsidRPr="00A52AEE">
              <w:rPr>
                <w:lang w:eastAsia="en-GB"/>
              </w:rPr>
              <w:t>-4%</w:t>
            </w:r>
          </w:p>
        </w:tc>
      </w:tr>
    </w:tbl>
    <w:p w14:paraId="7EDE0EBF" w14:textId="77777777" w:rsidR="000D5C3E" w:rsidRPr="00A52AEE" w:rsidRDefault="000D5C3E" w:rsidP="009A2373"/>
    <w:p w14:paraId="1ACEFD24" w14:textId="77777777" w:rsidR="000D5C3E" w:rsidRPr="00A52AEE" w:rsidRDefault="000D5C3E" w:rsidP="009A2373"/>
    <w:p w14:paraId="01375ADD" w14:textId="4A170174" w:rsidR="00296BB8" w:rsidRPr="00A52AEE" w:rsidRDefault="00CE4337" w:rsidP="008D527A">
      <w:pPr>
        <w:pStyle w:val="Heading2"/>
      </w:pPr>
      <w:bookmarkStart w:id="107" w:name="_Toc405201398"/>
      <w:bookmarkStart w:id="108" w:name="_Toc411437031"/>
      <w:bookmarkStart w:id="109" w:name="_Toc429151328"/>
      <w:r w:rsidRPr="00A52AEE">
        <w:t>5.4</w:t>
      </w:r>
      <w:r w:rsidRPr="00A52AEE">
        <w:tab/>
      </w:r>
      <w:r w:rsidR="00296BB8" w:rsidRPr="00A52AEE">
        <w:t>Immediate progression by age and gender</w:t>
      </w:r>
      <w:bookmarkEnd w:id="107"/>
      <w:bookmarkEnd w:id="108"/>
      <w:bookmarkEnd w:id="109"/>
    </w:p>
    <w:p w14:paraId="43A58AF4" w14:textId="0799A8E8" w:rsidR="00296BB8" w:rsidRPr="00A52AEE" w:rsidRDefault="00296BB8" w:rsidP="00A52AEE">
      <w:r w:rsidRPr="00A52AEE">
        <w:t>The progression rate dip seen for the 2011-12 cohort who entered HE in 2012-13 was higher for young male students than young female students (-19% points for males, -16% points for females). Progression for young females is similar to that of a young males but rates for mature females aged 25+ are considerably higher than that of mature males.</w:t>
      </w:r>
    </w:p>
    <w:p w14:paraId="40D09519" w14:textId="7C435601" w:rsidR="00296BB8" w:rsidRPr="00A52AEE" w:rsidRDefault="00296BB8" w:rsidP="00A52AEE">
      <w:r w:rsidRPr="00A52AEE">
        <w:t xml:space="preserve"> </w:t>
      </w:r>
    </w:p>
    <w:p w14:paraId="1CF4B8F3" w14:textId="3B1B2ABA" w:rsidR="00296BB8" w:rsidRPr="00AF3CBA" w:rsidRDefault="00296BB8" w:rsidP="00A52AEE">
      <w:pPr>
        <w:rPr>
          <w:b/>
        </w:rPr>
      </w:pPr>
      <w:r w:rsidRPr="00AF3CBA">
        <w:rPr>
          <w:b/>
        </w:rPr>
        <w:t xml:space="preserve">Table </w:t>
      </w:r>
      <w:r w:rsidR="004D2866">
        <w:rPr>
          <w:b/>
        </w:rPr>
        <w:t>23</w:t>
      </w:r>
      <w:r w:rsidRPr="00AF3CBA">
        <w:rPr>
          <w:b/>
        </w:rPr>
        <w:t>: Immediate HE progression by gender and age comparing the 2007 and 2011 cohorts</w:t>
      </w:r>
    </w:p>
    <w:p w14:paraId="73680616" w14:textId="77777777" w:rsidR="00296BB8" w:rsidRPr="00A52AEE" w:rsidRDefault="00296BB8" w:rsidP="00A52AEE"/>
    <w:tbl>
      <w:tblPr>
        <w:tblW w:w="5150" w:type="pct"/>
        <w:tblLayout w:type="fixed"/>
        <w:tblLook w:val="04A0" w:firstRow="1" w:lastRow="0" w:firstColumn="1" w:lastColumn="0" w:noHBand="0" w:noVBand="1"/>
      </w:tblPr>
      <w:tblGrid>
        <w:gridCol w:w="1080"/>
        <w:gridCol w:w="1375"/>
        <w:gridCol w:w="833"/>
        <w:gridCol w:w="1385"/>
        <w:gridCol w:w="1304"/>
        <w:gridCol w:w="794"/>
        <w:gridCol w:w="1560"/>
        <w:gridCol w:w="1517"/>
      </w:tblGrid>
      <w:tr w:rsidR="00AF3CBA" w:rsidRPr="00AF3CBA" w14:paraId="5E37D84A" w14:textId="77777777" w:rsidTr="005E08C9">
        <w:trPr>
          <w:trHeight w:val="300"/>
          <w:tblHeader/>
        </w:trPr>
        <w:tc>
          <w:tcPr>
            <w:tcW w:w="549"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423871B3" w14:textId="77777777" w:rsidR="00296BB8" w:rsidRPr="00AF3CBA" w:rsidRDefault="00296BB8" w:rsidP="00AF3CBA">
            <w:pPr>
              <w:rPr>
                <w:b/>
                <w:color w:val="FFFFFF" w:themeColor="background1"/>
                <w:lang w:eastAsia="en-GB"/>
              </w:rPr>
            </w:pPr>
            <w:r w:rsidRPr="00AF3CBA">
              <w:rPr>
                <w:b/>
                <w:color w:val="FFFFFF" w:themeColor="background1"/>
                <w:lang w:eastAsia="en-GB"/>
              </w:rPr>
              <w:t>Gender</w:t>
            </w:r>
          </w:p>
        </w:tc>
        <w:tc>
          <w:tcPr>
            <w:tcW w:w="1824" w:type="pct"/>
            <w:gridSpan w:val="3"/>
            <w:vMerge w:val="restart"/>
            <w:tcBorders>
              <w:top w:val="single" w:sz="8" w:space="0" w:color="auto"/>
              <w:left w:val="single" w:sz="8" w:space="0" w:color="auto"/>
              <w:bottom w:val="single" w:sz="8" w:space="0" w:color="000000"/>
              <w:right w:val="single" w:sz="8" w:space="0" w:color="000000"/>
            </w:tcBorders>
            <w:shd w:val="clear" w:color="auto" w:fill="1F4E79" w:themeFill="accent1" w:themeFillShade="80"/>
            <w:noWrap/>
            <w:vAlign w:val="center"/>
            <w:hideMark/>
          </w:tcPr>
          <w:p w14:paraId="0A6EBE11" w14:textId="7C50F7C8" w:rsidR="00296BB8" w:rsidRPr="00AF3CBA" w:rsidRDefault="00296BB8" w:rsidP="00AF3CBA">
            <w:pPr>
              <w:jc w:val="center"/>
              <w:rPr>
                <w:b/>
                <w:color w:val="FFFFFF" w:themeColor="background1"/>
                <w:lang w:eastAsia="en-GB"/>
              </w:rPr>
            </w:pPr>
            <w:r w:rsidRPr="00AF3CBA">
              <w:rPr>
                <w:b/>
                <w:color w:val="FFFFFF" w:themeColor="background1"/>
                <w:lang w:eastAsia="en-GB"/>
              </w:rPr>
              <w:t>2007-08 into HE 2008-09</w:t>
            </w:r>
          </w:p>
        </w:tc>
        <w:tc>
          <w:tcPr>
            <w:tcW w:w="1857" w:type="pct"/>
            <w:gridSpan w:val="3"/>
            <w:vMerge w:val="restart"/>
            <w:tcBorders>
              <w:top w:val="single" w:sz="8" w:space="0" w:color="auto"/>
              <w:left w:val="single" w:sz="8" w:space="0" w:color="000000"/>
              <w:bottom w:val="single" w:sz="8" w:space="0" w:color="000000"/>
              <w:right w:val="nil"/>
            </w:tcBorders>
            <w:shd w:val="clear" w:color="auto" w:fill="1F4E79" w:themeFill="accent1" w:themeFillShade="80"/>
            <w:noWrap/>
            <w:vAlign w:val="center"/>
            <w:hideMark/>
          </w:tcPr>
          <w:p w14:paraId="557E4414" w14:textId="70B385BC" w:rsidR="00296BB8" w:rsidRPr="00AF3CBA" w:rsidRDefault="00296BB8" w:rsidP="00AF3CBA">
            <w:pPr>
              <w:jc w:val="center"/>
              <w:rPr>
                <w:b/>
                <w:color w:val="FFFFFF" w:themeColor="background1"/>
                <w:lang w:eastAsia="en-GB"/>
              </w:rPr>
            </w:pPr>
            <w:r w:rsidRPr="00AF3CBA">
              <w:rPr>
                <w:b/>
                <w:color w:val="FFFFFF" w:themeColor="background1"/>
                <w:lang w:eastAsia="en-GB"/>
              </w:rPr>
              <w:t>2011-12 into HE 2012-13</w:t>
            </w:r>
          </w:p>
        </w:tc>
        <w:tc>
          <w:tcPr>
            <w:tcW w:w="770"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8068C0E" w14:textId="768F52F3" w:rsidR="00296BB8" w:rsidRPr="00AF3CBA" w:rsidRDefault="00296BB8" w:rsidP="00AF3CBA">
            <w:pPr>
              <w:jc w:val="center"/>
              <w:rPr>
                <w:b/>
                <w:color w:val="FFFFFF" w:themeColor="background1"/>
                <w:lang w:eastAsia="en-GB"/>
              </w:rPr>
            </w:pPr>
            <w:r w:rsidRPr="00AF3CBA">
              <w:rPr>
                <w:b/>
                <w:color w:val="FFFFFF" w:themeColor="background1"/>
                <w:lang w:eastAsia="en-GB"/>
              </w:rPr>
              <w:t>Diff</w:t>
            </w:r>
            <w:r w:rsidR="00CE4337" w:rsidRPr="00AF3CBA">
              <w:rPr>
                <w:b/>
                <w:color w:val="FFFFFF" w:themeColor="background1"/>
                <w:lang w:eastAsia="en-GB"/>
              </w:rPr>
              <w:t>erence</w:t>
            </w:r>
            <w:r w:rsidRPr="00AF3CBA">
              <w:rPr>
                <w:b/>
                <w:color w:val="FFFFFF" w:themeColor="background1"/>
                <w:lang w:eastAsia="en-GB"/>
              </w:rPr>
              <w:t xml:space="preserve"> HE progression</w:t>
            </w:r>
          </w:p>
        </w:tc>
      </w:tr>
      <w:tr w:rsidR="00AF3CBA" w:rsidRPr="00AF3CBA" w14:paraId="3F013DB8" w14:textId="77777777" w:rsidTr="005E08C9">
        <w:trPr>
          <w:trHeight w:val="507"/>
          <w:tblHeader/>
        </w:trPr>
        <w:tc>
          <w:tcPr>
            <w:tcW w:w="549"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1F717B9B" w14:textId="77777777" w:rsidR="00296BB8" w:rsidRPr="00AF3CBA" w:rsidRDefault="00296BB8" w:rsidP="00AF3CBA">
            <w:pPr>
              <w:jc w:val="center"/>
              <w:rPr>
                <w:b/>
                <w:color w:val="FFFFFF" w:themeColor="background1"/>
                <w:lang w:eastAsia="en-GB"/>
              </w:rPr>
            </w:pPr>
          </w:p>
        </w:tc>
        <w:tc>
          <w:tcPr>
            <w:tcW w:w="1824" w:type="pct"/>
            <w:gridSpan w:val="3"/>
            <w:vMerge/>
            <w:tcBorders>
              <w:top w:val="single" w:sz="8" w:space="0" w:color="auto"/>
              <w:left w:val="single" w:sz="8" w:space="0" w:color="auto"/>
              <w:bottom w:val="single" w:sz="8" w:space="0" w:color="000000"/>
              <w:right w:val="single" w:sz="8" w:space="0" w:color="000000"/>
            </w:tcBorders>
            <w:shd w:val="clear" w:color="auto" w:fill="1F4E79" w:themeFill="accent1" w:themeFillShade="80"/>
            <w:vAlign w:val="center"/>
            <w:hideMark/>
          </w:tcPr>
          <w:p w14:paraId="5F9FB24A" w14:textId="77777777" w:rsidR="00296BB8" w:rsidRPr="00AF3CBA" w:rsidRDefault="00296BB8" w:rsidP="00AF3CBA">
            <w:pPr>
              <w:jc w:val="center"/>
              <w:rPr>
                <w:b/>
                <w:color w:val="FFFFFF" w:themeColor="background1"/>
                <w:lang w:eastAsia="en-GB"/>
              </w:rPr>
            </w:pPr>
          </w:p>
        </w:tc>
        <w:tc>
          <w:tcPr>
            <w:tcW w:w="1857" w:type="pct"/>
            <w:gridSpan w:val="3"/>
            <w:vMerge/>
            <w:tcBorders>
              <w:top w:val="single" w:sz="8" w:space="0" w:color="auto"/>
              <w:left w:val="single" w:sz="8" w:space="0" w:color="000000"/>
              <w:bottom w:val="single" w:sz="8" w:space="0" w:color="000000"/>
              <w:right w:val="nil"/>
            </w:tcBorders>
            <w:shd w:val="clear" w:color="auto" w:fill="1F4E79" w:themeFill="accent1" w:themeFillShade="80"/>
            <w:vAlign w:val="center"/>
            <w:hideMark/>
          </w:tcPr>
          <w:p w14:paraId="0C879794" w14:textId="77777777" w:rsidR="00296BB8" w:rsidRPr="00AF3CBA" w:rsidRDefault="00296BB8" w:rsidP="00AF3CBA">
            <w:pPr>
              <w:jc w:val="center"/>
              <w:rPr>
                <w:b/>
                <w:color w:val="FFFFFF" w:themeColor="background1"/>
                <w:lang w:eastAsia="en-GB"/>
              </w:rPr>
            </w:pPr>
          </w:p>
        </w:tc>
        <w:tc>
          <w:tcPr>
            <w:tcW w:w="770"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48CEC24F" w14:textId="77777777" w:rsidR="00296BB8" w:rsidRPr="00AF3CBA" w:rsidRDefault="00296BB8" w:rsidP="00AF3CBA">
            <w:pPr>
              <w:jc w:val="center"/>
              <w:rPr>
                <w:b/>
                <w:color w:val="FFFFFF" w:themeColor="background1"/>
                <w:lang w:eastAsia="en-GB"/>
              </w:rPr>
            </w:pPr>
          </w:p>
        </w:tc>
      </w:tr>
      <w:tr w:rsidR="00AF3CBA" w:rsidRPr="00AF3CBA" w14:paraId="742C83C3" w14:textId="77777777" w:rsidTr="005E08C9">
        <w:trPr>
          <w:trHeight w:val="915"/>
          <w:tblHeader/>
        </w:trPr>
        <w:tc>
          <w:tcPr>
            <w:tcW w:w="549"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2DA9A0B3" w14:textId="77777777" w:rsidR="00296BB8" w:rsidRPr="00AF3CBA" w:rsidRDefault="00296BB8" w:rsidP="00AF3CBA">
            <w:pPr>
              <w:jc w:val="center"/>
              <w:rPr>
                <w:b/>
                <w:color w:val="FFFFFF" w:themeColor="background1"/>
                <w:lang w:eastAsia="en-GB"/>
              </w:rPr>
            </w:pPr>
          </w:p>
        </w:tc>
        <w:tc>
          <w:tcPr>
            <w:tcW w:w="698" w:type="pct"/>
            <w:tcBorders>
              <w:top w:val="nil"/>
              <w:left w:val="nil"/>
              <w:bottom w:val="nil"/>
              <w:right w:val="single" w:sz="8" w:space="0" w:color="auto"/>
            </w:tcBorders>
            <w:shd w:val="clear" w:color="auto" w:fill="1F4E79" w:themeFill="accent1" w:themeFillShade="80"/>
            <w:vAlign w:val="center"/>
            <w:hideMark/>
          </w:tcPr>
          <w:p w14:paraId="5F86B93C"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Population</w:t>
            </w:r>
          </w:p>
        </w:tc>
        <w:tc>
          <w:tcPr>
            <w:tcW w:w="423" w:type="pct"/>
            <w:tcBorders>
              <w:top w:val="nil"/>
              <w:left w:val="nil"/>
              <w:bottom w:val="nil"/>
              <w:right w:val="nil"/>
            </w:tcBorders>
            <w:shd w:val="clear" w:color="auto" w:fill="1F4E79" w:themeFill="accent1" w:themeFillShade="80"/>
            <w:vAlign w:val="center"/>
            <w:hideMark/>
          </w:tcPr>
          <w:p w14:paraId="4E7D1434" w14:textId="5BFCC4B7" w:rsidR="00296BB8" w:rsidRPr="00AF3CBA" w:rsidRDefault="00296BB8" w:rsidP="00AF3CBA">
            <w:pPr>
              <w:jc w:val="center"/>
              <w:rPr>
                <w:b/>
                <w:color w:val="FFFFFF" w:themeColor="background1"/>
                <w:lang w:eastAsia="en-GB"/>
              </w:rPr>
            </w:pPr>
            <w:r w:rsidRPr="00AF3CBA">
              <w:rPr>
                <w:b/>
                <w:color w:val="FFFFFF" w:themeColor="background1"/>
                <w:lang w:eastAsia="en-GB"/>
              </w:rPr>
              <w:t>%</w:t>
            </w:r>
          </w:p>
        </w:tc>
        <w:tc>
          <w:tcPr>
            <w:tcW w:w="703" w:type="pct"/>
            <w:tcBorders>
              <w:top w:val="nil"/>
              <w:left w:val="single" w:sz="8" w:space="0" w:color="auto"/>
              <w:bottom w:val="nil"/>
              <w:right w:val="single" w:sz="8" w:space="0" w:color="auto"/>
            </w:tcBorders>
            <w:shd w:val="clear" w:color="auto" w:fill="1F4E79" w:themeFill="accent1" w:themeFillShade="80"/>
            <w:vAlign w:val="center"/>
            <w:hideMark/>
          </w:tcPr>
          <w:p w14:paraId="2F7CEDD3"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 HE progression rate</w:t>
            </w:r>
          </w:p>
        </w:tc>
        <w:tc>
          <w:tcPr>
            <w:tcW w:w="662" w:type="pct"/>
            <w:tcBorders>
              <w:top w:val="nil"/>
              <w:left w:val="nil"/>
              <w:bottom w:val="nil"/>
              <w:right w:val="single" w:sz="8" w:space="0" w:color="auto"/>
            </w:tcBorders>
            <w:shd w:val="clear" w:color="auto" w:fill="1F4E79" w:themeFill="accent1" w:themeFillShade="80"/>
            <w:vAlign w:val="center"/>
            <w:hideMark/>
          </w:tcPr>
          <w:p w14:paraId="66BC96CF"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Population</w:t>
            </w:r>
          </w:p>
        </w:tc>
        <w:tc>
          <w:tcPr>
            <w:tcW w:w="403" w:type="pct"/>
            <w:tcBorders>
              <w:top w:val="nil"/>
              <w:left w:val="nil"/>
              <w:bottom w:val="nil"/>
              <w:right w:val="nil"/>
            </w:tcBorders>
            <w:shd w:val="clear" w:color="auto" w:fill="1F4E79" w:themeFill="accent1" w:themeFillShade="80"/>
            <w:vAlign w:val="center"/>
            <w:hideMark/>
          </w:tcPr>
          <w:p w14:paraId="6BF27743" w14:textId="0B138902" w:rsidR="00296BB8" w:rsidRPr="00AF3CBA" w:rsidRDefault="00296BB8" w:rsidP="00AF3CBA">
            <w:pPr>
              <w:jc w:val="center"/>
              <w:rPr>
                <w:b/>
                <w:color w:val="FFFFFF" w:themeColor="background1"/>
                <w:lang w:eastAsia="en-GB"/>
              </w:rPr>
            </w:pPr>
            <w:r w:rsidRPr="00AF3CBA">
              <w:rPr>
                <w:b/>
                <w:color w:val="FFFFFF" w:themeColor="background1"/>
                <w:lang w:eastAsia="en-GB"/>
              </w:rPr>
              <w:t>%</w:t>
            </w:r>
          </w:p>
        </w:tc>
        <w:tc>
          <w:tcPr>
            <w:tcW w:w="792" w:type="pct"/>
            <w:tcBorders>
              <w:top w:val="nil"/>
              <w:left w:val="single" w:sz="8" w:space="0" w:color="auto"/>
              <w:bottom w:val="nil"/>
              <w:right w:val="single" w:sz="8" w:space="0" w:color="auto"/>
            </w:tcBorders>
            <w:shd w:val="clear" w:color="auto" w:fill="1F4E79" w:themeFill="accent1" w:themeFillShade="80"/>
            <w:vAlign w:val="center"/>
            <w:hideMark/>
          </w:tcPr>
          <w:p w14:paraId="4FD62D0A"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 HE progression rate</w:t>
            </w:r>
          </w:p>
        </w:tc>
        <w:tc>
          <w:tcPr>
            <w:tcW w:w="770" w:type="pct"/>
            <w:tcBorders>
              <w:top w:val="nil"/>
              <w:left w:val="nil"/>
              <w:bottom w:val="nil"/>
              <w:right w:val="single" w:sz="8" w:space="0" w:color="000000"/>
            </w:tcBorders>
            <w:shd w:val="clear" w:color="auto" w:fill="1F4E79" w:themeFill="accent1" w:themeFillShade="80"/>
            <w:noWrap/>
            <w:vAlign w:val="center"/>
            <w:hideMark/>
          </w:tcPr>
          <w:p w14:paraId="668AC175"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 points</w:t>
            </w:r>
          </w:p>
        </w:tc>
      </w:tr>
      <w:tr w:rsidR="00CE4337" w:rsidRPr="00A52AEE" w14:paraId="70094FC5" w14:textId="77777777" w:rsidTr="00AF3CBA">
        <w:trPr>
          <w:trHeight w:val="330"/>
        </w:trPr>
        <w:tc>
          <w:tcPr>
            <w:tcW w:w="549" w:type="pct"/>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AC7BD02" w14:textId="77777777" w:rsidR="00296BB8" w:rsidRPr="00B959B2" w:rsidRDefault="00296BB8" w:rsidP="00A52AEE">
            <w:pPr>
              <w:rPr>
                <w:b/>
                <w:lang w:eastAsia="en-GB"/>
              </w:rPr>
            </w:pPr>
            <w:r w:rsidRPr="00B959B2">
              <w:rPr>
                <w:b/>
                <w:lang w:eastAsia="en-GB"/>
              </w:rPr>
              <w:t>Female</w:t>
            </w:r>
          </w:p>
        </w:tc>
        <w:tc>
          <w:tcPr>
            <w:tcW w:w="698"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0BAAE898" w14:textId="77777777" w:rsidR="00296BB8" w:rsidRPr="00A52AEE" w:rsidRDefault="00296BB8" w:rsidP="00AF3CBA">
            <w:pPr>
              <w:jc w:val="right"/>
              <w:rPr>
                <w:lang w:eastAsia="en-GB"/>
              </w:rPr>
            </w:pPr>
            <w:r w:rsidRPr="00A52AEE">
              <w:rPr>
                <w:lang w:eastAsia="en-GB"/>
              </w:rPr>
              <w:t>24000</w:t>
            </w:r>
          </w:p>
        </w:tc>
        <w:tc>
          <w:tcPr>
            <w:tcW w:w="423"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6A9D43B" w14:textId="77777777" w:rsidR="00296BB8" w:rsidRPr="00A52AEE" w:rsidRDefault="00296BB8" w:rsidP="00AF3CBA">
            <w:pPr>
              <w:jc w:val="right"/>
              <w:rPr>
                <w:lang w:eastAsia="en-GB"/>
              </w:rPr>
            </w:pPr>
            <w:r w:rsidRPr="00A52AEE">
              <w:rPr>
                <w:lang w:eastAsia="en-GB"/>
              </w:rPr>
              <w:t>100%</w:t>
            </w:r>
          </w:p>
        </w:tc>
        <w:tc>
          <w:tcPr>
            <w:tcW w:w="703"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2C3F9A13" w14:textId="77777777" w:rsidR="00296BB8" w:rsidRPr="00A52AEE" w:rsidRDefault="00296BB8" w:rsidP="00AF3CBA">
            <w:pPr>
              <w:jc w:val="right"/>
              <w:rPr>
                <w:lang w:eastAsia="en-GB"/>
              </w:rPr>
            </w:pPr>
            <w:r w:rsidRPr="00A52AEE">
              <w:rPr>
                <w:lang w:eastAsia="en-GB"/>
              </w:rPr>
              <w:t>42%</w:t>
            </w:r>
          </w:p>
        </w:tc>
        <w:tc>
          <w:tcPr>
            <w:tcW w:w="662"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F069F0D" w14:textId="77777777" w:rsidR="00296BB8" w:rsidRPr="00A52AEE" w:rsidRDefault="00296BB8" w:rsidP="00AF3CBA">
            <w:pPr>
              <w:jc w:val="right"/>
              <w:rPr>
                <w:lang w:eastAsia="en-GB"/>
              </w:rPr>
            </w:pPr>
            <w:r w:rsidRPr="00A52AEE">
              <w:rPr>
                <w:lang w:eastAsia="en-GB"/>
              </w:rPr>
              <w:t>25875</w:t>
            </w:r>
          </w:p>
        </w:tc>
        <w:tc>
          <w:tcPr>
            <w:tcW w:w="403"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C106886" w14:textId="77777777" w:rsidR="00296BB8" w:rsidRPr="00A52AEE" w:rsidRDefault="00296BB8" w:rsidP="00AF3CBA">
            <w:pPr>
              <w:jc w:val="right"/>
              <w:rPr>
                <w:lang w:eastAsia="en-GB"/>
              </w:rPr>
            </w:pPr>
            <w:r w:rsidRPr="00A52AEE">
              <w:rPr>
                <w:lang w:eastAsia="en-GB"/>
              </w:rPr>
              <w:t>100%</w:t>
            </w:r>
          </w:p>
        </w:tc>
        <w:tc>
          <w:tcPr>
            <w:tcW w:w="792"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7C86BC5C" w14:textId="77777777" w:rsidR="00296BB8" w:rsidRPr="00A52AEE" w:rsidRDefault="00296BB8" w:rsidP="00AF3CBA">
            <w:pPr>
              <w:jc w:val="right"/>
              <w:rPr>
                <w:lang w:eastAsia="en-GB"/>
              </w:rPr>
            </w:pPr>
            <w:r w:rsidRPr="00A52AEE">
              <w:rPr>
                <w:lang w:eastAsia="en-GB"/>
              </w:rPr>
              <w:t>39%</w:t>
            </w:r>
          </w:p>
        </w:tc>
        <w:tc>
          <w:tcPr>
            <w:tcW w:w="770"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7F513E6" w14:textId="77777777" w:rsidR="00296BB8" w:rsidRPr="00A52AEE" w:rsidRDefault="00296BB8" w:rsidP="00AF3CBA">
            <w:pPr>
              <w:jc w:val="right"/>
              <w:rPr>
                <w:lang w:eastAsia="en-GB"/>
              </w:rPr>
            </w:pPr>
            <w:r w:rsidRPr="00A52AEE">
              <w:rPr>
                <w:lang w:eastAsia="en-GB"/>
              </w:rPr>
              <w:t> </w:t>
            </w:r>
          </w:p>
        </w:tc>
      </w:tr>
      <w:tr w:rsidR="00CE4337" w:rsidRPr="00A52AEE" w14:paraId="651F8BBC" w14:textId="77777777" w:rsidTr="00AF3CBA">
        <w:trPr>
          <w:trHeight w:val="315"/>
        </w:trPr>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30462404" w14:textId="06C81EF4" w:rsidR="00296BB8" w:rsidRPr="00A52AEE" w:rsidRDefault="005175E4" w:rsidP="00A52AEE">
            <w:pPr>
              <w:rPr>
                <w:lang w:eastAsia="en-GB"/>
              </w:rPr>
            </w:pPr>
            <w:r w:rsidRPr="00A52AEE">
              <w:rPr>
                <w:lang w:eastAsia="en-GB"/>
              </w:rPr>
              <w:t>17-19</w:t>
            </w:r>
          </w:p>
        </w:tc>
        <w:tc>
          <w:tcPr>
            <w:tcW w:w="698" w:type="pct"/>
            <w:tcBorders>
              <w:top w:val="nil"/>
              <w:left w:val="nil"/>
              <w:bottom w:val="single" w:sz="8" w:space="0" w:color="auto"/>
              <w:right w:val="single" w:sz="8" w:space="0" w:color="auto"/>
            </w:tcBorders>
            <w:shd w:val="clear" w:color="000000" w:fill="FFFFFF"/>
            <w:noWrap/>
            <w:vAlign w:val="center"/>
            <w:hideMark/>
          </w:tcPr>
          <w:p w14:paraId="0DE07337" w14:textId="77777777" w:rsidR="00296BB8" w:rsidRPr="00A52AEE" w:rsidRDefault="00296BB8" w:rsidP="00AF3CBA">
            <w:pPr>
              <w:jc w:val="right"/>
              <w:rPr>
                <w:lang w:eastAsia="en-GB"/>
              </w:rPr>
            </w:pPr>
            <w:r w:rsidRPr="00A52AEE">
              <w:rPr>
                <w:lang w:eastAsia="en-GB"/>
              </w:rPr>
              <w:t>11635</w:t>
            </w:r>
          </w:p>
        </w:tc>
        <w:tc>
          <w:tcPr>
            <w:tcW w:w="423" w:type="pct"/>
            <w:tcBorders>
              <w:top w:val="nil"/>
              <w:left w:val="nil"/>
              <w:bottom w:val="single" w:sz="8" w:space="0" w:color="auto"/>
              <w:right w:val="single" w:sz="8" w:space="0" w:color="auto"/>
            </w:tcBorders>
            <w:shd w:val="clear" w:color="000000" w:fill="FFFFFF"/>
            <w:noWrap/>
            <w:vAlign w:val="center"/>
            <w:hideMark/>
          </w:tcPr>
          <w:p w14:paraId="76B0BC93" w14:textId="77777777" w:rsidR="00296BB8" w:rsidRPr="00A52AEE" w:rsidRDefault="00296BB8" w:rsidP="00AF3CBA">
            <w:pPr>
              <w:jc w:val="right"/>
              <w:rPr>
                <w:lang w:eastAsia="en-GB"/>
              </w:rPr>
            </w:pPr>
            <w:r w:rsidRPr="00A52AEE">
              <w:rPr>
                <w:lang w:eastAsia="en-GB"/>
              </w:rPr>
              <w:t>48%</w:t>
            </w:r>
          </w:p>
        </w:tc>
        <w:tc>
          <w:tcPr>
            <w:tcW w:w="703" w:type="pct"/>
            <w:tcBorders>
              <w:top w:val="nil"/>
              <w:left w:val="nil"/>
              <w:bottom w:val="single" w:sz="8" w:space="0" w:color="auto"/>
              <w:right w:val="single" w:sz="8" w:space="0" w:color="auto"/>
            </w:tcBorders>
            <w:shd w:val="clear" w:color="000000" w:fill="FFFFFF"/>
            <w:noWrap/>
            <w:vAlign w:val="center"/>
            <w:hideMark/>
          </w:tcPr>
          <w:p w14:paraId="753F4B0F" w14:textId="77777777" w:rsidR="00296BB8" w:rsidRPr="00A52AEE" w:rsidRDefault="00296BB8" w:rsidP="00AF3CBA">
            <w:pPr>
              <w:jc w:val="right"/>
              <w:rPr>
                <w:lang w:eastAsia="en-GB"/>
              </w:rPr>
            </w:pPr>
            <w:r w:rsidRPr="00A52AEE">
              <w:rPr>
                <w:lang w:eastAsia="en-GB"/>
              </w:rPr>
              <w:t>61%</w:t>
            </w:r>
          </w:p>
        </w:tc>
        <w:tc>
          <w:tcPr>
            <w:tcW w:w="662" w:type="pct"/>
            <w:tcBorders>
              <w:top w:val="nil"/>
              <w:left w:val="nil"/>
              <w:bottom w:val="single" w:sz="8" w:space="0" w:color="auto"/>
              <w:right w:val="single" w:sz="8" w:space="0" w:color="auto"/>
            </w:tcBorders>
            <w:shd w:val="clear" w:color="000000" w:fill="FFFFFF"/>
            <w:noWrap/>
            <w:vAlign w:val="center"/>
            <w:hideMark/>
          </w:tcPr>
          <w:p w14:paraId="182F81CD" w14:textId="77777777" w:rsidR="00296BB8" w:rsidRPr="00A52AEE" w:rsidRDefault="00296BB8" w:rsidP="00AF3CBA">
            <w:pPr>
              <w:jc w:val="right"/>
              <w:rPr>
                <w:lang w:eastAsia="en-GB"/>
              </w:rPr>
            </w:pPr>
            <w:r w:rsidRPr="00A52AEE">
              <w:rPr>
                <w:lang w:eastAsia="en-GB"/>
              </w:rPr>
              <w:t>15295</w:t>
            </w:r>
          </w:p>
        </w:tc>
        <w:tc>
          <w:tcPr>
            <w:tcW w:w="403" w:type="pct"/>
            <w:tcBorders>
              <w:top w:val="nil"/>
              <w:left w:val="nil"/>
              <w:bottom w:val="single" w:sz="8" w:space="0" w:color="auto"/>
              <w:right w:val="single" w:sz="8" w:space="0" w:color="auto"/>
            </w:tcBorders>
            <w:shd w:val="clear" w:color="000000" w:fill="FFFFFF"/>
            <w:noWrap/>
            <w:vAlign w:val="center"/>
            <w:hideMark/>
          </w:tcPr>
          <w:p w14:paraId="719358FB" w14:textId="77777777" w:rsidR="00296BB8" w:rsidRPr="00A52AEE" w:rsidRDefault="00296BB8" w:rsidP="00AF3CBA">
            <w:pPr>
              <w:jc w:val="right"/>
              <w:rPr>
                <w:lang w:eastAsia="en-GB"/>
              </w:rPr>
            </w:pPr>
            <w:r w:rsidRPr="00A52AEE">
              <w:rPr>
                <w:lang w:eastAsia="en-GB"/>
              </w:rPr>
              <w:t>59%</w:t>
            </w:r>
          </w:p>
        </w:tc>
        <w:tc>
          <w:tcPr>
            <w:tcW w:w="792" w:type="pct"/>
            <w:tcBorders>
              <w:top w:val="nil"/>
              <w:left w:val="nil"/>
              <w:bottom w:val="single" w:sz="8" w:space="0" w:color="auto"/>
              <w:right w:val="single" w:sz="8" w:space="0" w:color="auto"/>
            </w:tcBorders>
            <w:shd w:val="clear" w:color="000000" w:fill="FFFFFF"/>
            <w:noWrap/>
            <w:vAlign w:val="center"/>
            <w:hideMark/>
          </w:tcPr>
          <w:p w14:paraId="3CC98846" w14:textId="77777777" w:rsidR="00296BB8" w:rsidRPr="00A52AEE" w:rsidRDefault="00296BB8" w:rsidP="00AF3CBA">
            <w:pPr>
              <w:jc w:val="right"/>
              <w:rPr>
                <w:lang w:eastAsia="en-GB"/>
              </w:rPr>
            </w:pPr>
            <w:r w:rsidRPr="00A52AEE">
              <w:rPr>
                <w:lang w:eastAsia="en-GB"/>
              </w:rPr>
              <w:t>46%</w:t>
            </w:r>
          </w:p>
        </w:tc>
        <w:tc>
          <w:tcPr>
            <w:tcW w:w="770" w:type="pct"/>
            <w:tcBorders>
              <w:top w:val="nil"/>
              <w:left w:val="nil"/>
              <w:bottom w:val="single" w:sz="8" w:space="0" w:color="auto"/>
              <w:right w:val="single" w:sz="8" w:space="0" w:color="auto"/>
            </w:tcBorders>
            <w:shd w:val="clear" w:color="000000" w:fill="FFFFFF"/>
            <w:noWrap/>
            <w:vAlign w:val="center"/>
            <w:hideMark/>
          </w:tcPr>
          <w:p w14:paraId="1A7DBF45" w14:textId="77777777" w:rsidR="00296BB8" w:rsidRPr="00A52AEE" w:rsidRDefault="00296BB8" w:rsidP="00AF3CBA">
            <w:pPr>
              <w:jc w:val="right"/>
              <w:rPr>
                <w:lang w:eastAsia="en-GB"/>
              </w:rPr>
            </w:pPr>
            <w:r w:rsidRPr="00A52AEE">
              <w:rPr>
                <w:lang w:eastAsia="en-GB"/>
              </w:rPr>
              <w:t>-16%</w:t>
            </w:r>
          </w:p>
        </w:tc>
      </w:tr>
      <w:tr w:rsidR="00CE4337" w:rsidRPr="00A52AEE" w14:paraId="4323800B" w14:textId="77777777" w:rsidTr="00AF3CBA">
        <w:trPr>
          <w:trHeight w:val="315"/>
        </w:trPr>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0640AB0E" w14:textId="77777777" w:rsidR="00296BB8" w:rsidRPr="00A52AEE" w:rsidRDefault="00296BB8" w:rsidP="00A52AEE">
            <w:pPr>
              <w:rPr>
                <w:lang w:eastAsia="en-GB"/>
              </w:rPr>
            </w:pPr>
            <w:r w:rsidRPr="00A52AEE">
              <w:rPr>
                <w:lang w:eastAsia="en-GB"/>
              </w:rPr>
              <w:t>20-24</w:t>
            </w:r>
          </w:p>
        </w:tc>
        <w:tc>
          <w:tcPr>
            <w:tcW w:w="698" w:type="pct"/>
            <w:tcBorders>
              <w:top w:val="nil"/>
              <w:left w:val="nil"/>
              <w:bottom w:val="single" w:sz="8" w:space="0" w:color="auto"/>
              <w:right w:val="single" w:sz="8" w:space="0" w:color="auto"/>
            </w:tcBorders>
            <w:shd w:val="clear" w:color="000000" w:fill="FFFFFF"/>
            <w:noWrap/>
            <w:vAlign w:val="center"/>
            <w:hideMark/>
          </w:tcPr>
          <w:p w14:paraId="79EEDFF2" w14:textId="77777777" w:rsidR="00296BB8" w:rsidRPr="00A52AEE" w:rsidRDefault="00296BB8" w:rsidP="00AF3CBA">
            <w:pPr>
              <w:jc w:val="right"/>
              <w:rPr>
                <w:lang w:eastAsia="en-GB"/>
              </w:rPr>
            </w:pPr>
            <w:r w:rsidRPr="00A52AEE">
              <w:rPr>
                <w:lang w:eastAsia="en-GB"/>
              </w:rPr>
              <w:t>2675</w:t>
            </w:r>
          </w:p>
        </w:tc>
        <w:tc>
          <w:tcPr>
            <w:tcW w:w="423" w:type="pct"/>
            <w:tcBorders>
              <w:top w:val="nil"/>
              <w:left w:val="nil"/>
              <w:bottom w:val="single" w:sz="8" w:space="0" w:color="auto"/>
              <w:right w:val="single" w:sz="8" w:space="0" w:color="auto"/>
            </w:tcBorders>
            <w:shd w:val="clear" w:color="000000" w:fill="FFFFFF"/>
            <w:noWrap/>
            <w:vAlign w:val="center"/>
            <w:hideMark/>
          </w:tcPr>
          <w:p w14:paraId="5C123907" w14:textId="77777777" w:rsidR="00296BB8" w:rsidRPr="00A52AEE" w:rsidRDefault="00296BB8" w:rsidP="00AF3CBA">
            <w:pPr>
              <w:jc w:val="right"/>
              <w:rPr>
                <w:lang w:eastAsia="en-GB"/>
              </w:rPr>
            </w:pPr>
            <w:r w:rsidRPr="00A52AEE">
              <w:rPr>
                <w:lang w:eastAsia="en-GB"/>
              </w:rPr>
              <w:t>11%</w:t>
            </w:r>
          </w:p>
        </w:tc>
        <w:tc>
          <w:tcPr>
            <w:tcW w:w="703" w:type="pct"/>
            <w:tcBorders>
              <w:top w:val="nil"/>
              <w:left w:val="nil"/>
              <w:bottom w:val="single" w:sz="8" w:space="0" w:color="auto"/>
              <w:right w:val="single" w:sz="8" w:space="0" w:color="auto"/>
            </w:tcBorders>
            <w:shd w:val="clear" w:color="000000" w:fill="FFFFFF"/>
            <w:noWrap/>
            <w:vAlign w:val="center"/>
            <w:hideMark/>
          </w:tcPr>
          <w:p w14:paraId="4222B3F5" w14:textId="77777777" w:rsidR="00296BB8" w:rsidRPr="00A52AEE" w:rsidRDefault="00296BB8" w:rsidP="00AF3CBA">
            <w:pPr>
              <w:jc w:val="right"/>
              <w:rPr>
                <w:lang w:eastAsia="en-GB"/>
              </w:rPr>
            </w:pPr>
            <w:r w:rsidRPr="00A52AEE">
              <w:rPr>
                <w:lang w:eastAsia="en-GB"/>
              </w:rPr>
              <w:t>41%</w:t>
            </w:r>
          </w:p>
        </w:tc>
        <w:tc>
          <w:tcPr>
            <w:tcW w:w="662" w:type="pct"/>
            <w:tcBorders>
              <w:top w:val="nil"/>
              <w:left w:val="nil"/>
              <w:bottom w:val="single" w:sz="8" w:space="0" w:color="auto"/>
              <w:right w:val="single" w:sz="8" w:space="0" w:color="auto"/>
            </w:tcBorders>
            <w:shd w:val="clear" w:color="000000" w:fill="FFFFFF"/>
            <w:noWrap/>
            <w:vAlign w:val="center"/>
            <w:hideMark/>
          </w:tcPr>
          <w:p w14:paraId="485EA5DB" w14:textId="77777777" w:rsidR="00296BB8" w:rsidRPr="00A52AEE" w:rsidRDefault="00296BB8" w:rsidP="00AF3CBA">
            <w:pPr>
              <w:jc w:val="right"/>
              <w:rPr>
                <w:lang w:eastAsia="en-GB"/>
              </w:rPr>
            </w:pPr>
            <w:r w:rsidRPr="00A52AEE">
              <w:rPr>
                <w:lang w:eastAsia="en-GB"/>
              </w:rPr>
              <w:t>2730</w:t>
            </w:r>
          </w:p>
        </w:tc>
        <w:tc>
          <w:tcPr>
            <w:tcW w:w="403" w:type="pct"/>
            <w:tcBorders>
              <w:top w:val="nil"/>
              <w:left w:val="nil"/>
              <w:bottom w:val="single" w:sz="8" w:space="0" w:color="auto"/>
              <w:right w:val="single" w:sz="8" w:space="0" w:color="auto"/>
            </w:tcBorders>
            <w:shd w:val="clear" w:color="000000" w:fill="FFFFFF"/>
            <w:noWrap/>
            <w:vAlign w:val="center"/>
            <w:hideMark/>
          </w:tcPr>
          <w:p w14:paraId="720D92F4" w14:textId="77777777" w:rsidR="00296BB8" w:rsidRPr="00A52AEE" w:rsidRDefault="00296BB8" w:rsidP="00AF3CBA">
            <w:pPr>
              <w:jc w:val="right"/>
              <w:rPr>
                <w:lang w:eastAsia="en-GB"/>
              </w:rPr>
            </w:pPr>
            <w:r w:rsidRPr="00A52AEE">
              <w:rPr>
                <w:lang w:eastAsia="en-GB"/>
              </w:rPr>
              <w:t>11%</w:t>
            </w:r>
          </w:p>
        </w:tc>
        <w:tc>
          <w:tcPr>
            <w:tcW w:w="792" w:type="pct"/>
            <w:tcBorders>
              <w:top w:val="nil"/>
              <w:left w:val="nil"/>
              <w:bottom w:val="single" w:sz="8" w:space="0" w:color="auto"/>
              <w:right w:val="single" w:sz="8" w:space="0" w:color="auto"/>
            </w:tcBorders>
            <w:shd w:val="clear" w:color="000000" w:fill="FFFFFF"/>
            <w:noWrap/>
            <w:vAlign w:val="center"/>
            <w:hideMark/>
          </w:tcPr>
          <w:p w14:paraId="0DCB9706" w14:textId="77777777" w:rsidR="00296BB8" w:rsidRPr="00A52AEE" w:rsidRDefault="00296BB8" w:rsidP="00AF3CBA">
            <w:pPr>
              <w:jc w:val="right"/>
              <w:rPr>
                <w:lang w:eastAsia="en-GB"/>
              </w:rPr>
            </w:pPr>
            <w:r w:rsidRPr="00A52AEE">
              <w:rPr>
                <w:lang w:eastAsia="en-GB"/>
              </w:rPr>
              <w:t>39%</w:t>
            </w:r>
          </w:p>
        </w:tc>
        <w:tc>
          <w:tcPr>
            <w:tcW w:w="770" w:type="pct"/>
            <w:tcBorders>
              <w:top w:val="nil"/>
              <w:left w:val="nil"/>
              <w:bottom w:val="single" w:sz="8" w:space="0" w:color="auto"/>
              <w:right w:val="single" w:sz="8" w:space="0" w:color="auto"/>
            </w:tcBorders>
            <w:shd w:val="clear" w:color="000000" w:fill="FFFFFF"/>
            <w:noWrap/>
            <w:vAlign w:val="center"/>
            <w:hideMark/>
          </w:tcPr>
          <w:p w14:paraId="566D88BC" w14:textId="77777777" w:rsidR="00296BB8" w:rsidRPr="00A52AEE" w:rsidRDefault="00296BB8" w:rsidP="00AF3CBA">
            <w:pPr>
              <w:jc w:val="right"/>
              <w:rPr>
                <w:lang w:eastAsia="en-GB"/>
              </w:rPr>
            </w:pPr>
            <w:r w:rsidRPr="00A52AEE">
              <w:rPr>
                <w:lang w:eastAsia="en-GB"/>
              </w:rPr>
              <w:t>-2%</w:t>
            </w:r>
          </w:p>
        </w:tc>
      </w:tr>
      <w:tr w:rsidR="00CE4337" w:rsidRPr="00A52AEE" w14:paraId="1E111998" w14:textId="77777777" w:rsidTr="00AF3CBA">
        <w:trPr>
          <w:trHeight w:val="315"/>
        </w:trPr>
        <w:tc>
          <w:tcPr>
            <w:tcW w:w="549" w:type="pct"/>
            <w:tcBorders>
              <w:top w:val="nil"/>
              <w:left w:val="single" w:sz="8" w:space="0" w:color="auto"/>
              <w:bottom w:val="nil"/>
              <w:right w:val="single" w:sz="8" w:space="0" w:color="auto"/>
            </w:tcBorders>
            <w:shd w:val="clear" w:color="000000" w:fill="FFFFFF"/>
            <w:noWrap/>
            <w:vAlign w:val="center"/>
            <w:hideMark/>
          </w:tcPr>
          <w:p w14:paraId="43F4077A" w14:textId="77777777" w:rsidR="00296BB8" w:rsidRPr="00A52AEE" w:rsidRDefault="00296BB8" w:rsidP="00A52AEE">
            <w:pPr>
              <w:rPr>
                <w:lang w:eastAsia="en-GB"/>
              </w:rPr>
            </w:pPr>
            <w:r w:rsidRPr="00A52AEE">
              <w:rPr>
                <w:lang w:eastAsia="en-GB"/>
              </w:rPr>
              <w:t>25+</w:t>
            </w:r>
          </w:p>
        </w:tc>
        <w:tc>
          <w:tcPr>
            <w:tcW w:w="698" w:type="pct"/>
            <w:tcBorders>
              <w:top w:val="nil"/>
              <w:left w:val="nil"/>
              <w:bottom w:val="nil"/>
              <w:right w:val="single" w:sz="8" w:space="0" w:color="auto"/>
            </w:tcBorders>
            <w:shd w:val="clear" w:color="000000" w:fill="FFFFFF"/>
            <w:noWrap/>
            <w:vAlign w:val="center"/>
            <w:hideMark/>
          </w:tcPr>
          <w:p w14:paraId="03CFB93A" w14:textId="77777777" w:rsidR="00296BB8" w:rsidRPr="00A52AEE" w:rsidRDefault="00296BB8" w:rsidP="00AF3CBA">
            <w:pPr>
              <w:jc w:val="right"/>
              <w:rPr>
                <w:lang w:eastAsia="en-GB"/>
              </w:rPr>
            </w:pPr>
            <w:r w:rsidRPr="00A52AEE">
              <w:rPr>
                <w:lang w:eastAsia="en-GB"/>
              </w:rPr>
              <w:t>9690</w:t>
            </w:r>
          </w:p>
        </w:tc>
        <w:tc>
          <w:tcPr>
            <w:tcW w:w="423" w:type="pct"/>
            <w:tcBorders>
              <w:top w:val="nil"/>
              <w:left w:val="nil"/>
              <w:bottom w:val="single" w:sz="8" w:space="0" w:color="auto"/>
              <w:right w:val="single" w:sz="8" w:space="0" w:color="auto"/>
            </w:tcBorders>
            <w:shd w:val="clear" w:color="000000" w:fill="FFFFFF"/>
            <w:noWrap/>
            <w:vAlign w:val="center"/>
            <w:hideMark/>
          </w:tcPr>
          <w:p w14:paraId="53019ABE" w14:textId="77777777" w:rsidR="00296BB8" w:rsidRPr="00A52AEE" w:rsidRDefault="00296BB8" w:rsidP="00AF3CBA">
            <w:pPr>
              <w:jc w:val="right"/>
              <w:rPr>
                <w:lang w:eastAsia="en-GB"/>
              </w:rPr>
            </w:pPr>
            <w:r w:rsidRPr="00A52AEE">
              <w:rPr>
                <w:lang w:eastAsia="en-GB"/>
              </w:rPr>
              <w:t>40%</w:t>
            </w:r>
          </w:p>
        </w:tc>
        <w:tc>
          <w:tcPr>
            <w:tcW w:w="703" w:type="pct"/>
            <w:tcBorders>
              <w:top w:val="nil"/>
              <w:left w:val="nil"/>
              <w:bottom w:val="nil"/>
              <w:right w:val="single" w:sz="8" w:space="0" w:color="auto"/>
            </w:tcBorders>
            <w:shd w:val="clear" w:color="000000" w:fill="FFFFFF"/>
            <w:noWrap/>
            <w:vAlign w:val="center"/>
            <w:hideMark/>
          </w:tcPr>
          <w:p w14:paraId="7F9A5F75" w14:textId="77777777" w:rsidR="00296BB8" w:rsidRPr="00A52AEE" w:rsidRDefault="00296BB8" w:rsidP="00AF3CBA">
            <w:pPr>
              <w:jc w:val="right"/>
              <w:rPr>
                <w:lang w:eastAsia="en-GB"/>
              </w:rPr>
            </w:pPr>
            <w:r w:rsidRPr="00A52AEE">
              <w:rPr>
                <w:lang w:eastAsia="en-GB"/>
              </w:rPr>
              <w:t>18%</w:t>
            </w:r>
          </w:p>
        </w:tc>
        <w:tc>
          <w:tcPr>
            <w:tcW w:w="662" w:type="pct"/>
            <w:tcBorders>
              <w:top w:val="nil"/>
              <w:left w:val="nil"/>
              <w:bottom w:val="nil"/>
              <w:right w:val="single" w:sz="8" w:space="0" w:color="auto"/>
            </w:tcBorders>
            <w:shd w:val="clear" w:color="000000" w:fill="FFFFFF"/>
            <w:noWrap/>
            <w:vAlign w:val="center"/>
            <w:hideMark/>
          </w:tcPr>
          <w:p w14:paraId="604D160B" w14:textId="77777777" w:rsidR="00296BB8" w:rsidRPr="00A52AEE" w:rsidRDefault="00296BB8" w:rsidP="00AF3CBA">
            <w:pPr>
              <w:jc w:val="right"/>
              <w:rPr>
                <w:lang w:eastAsia="en-GB"/>
              </w:rPr>
            </w:pPr>
            <w:r w:rsidRPr="00A52AEE">
              <w:rPr>
                <w:lang w:eastAsia="en-GB"/>
              </w:rPr>
              <w:t>7850</w:t>
            </w:r>
          </w:p>
        </w:tc>
        <w:tc>
          <w:tcPr>
            <w:tcW w:w="403" w:type="pct"/>
            <w:tcBorders>
              <w:top w:val="nil"/>
              <w:left w:val="nil"/>
              <w:bottom w:val="single" w:sz="8" w:space="0" w:color="auto"/>
              <w:right w:val="single" w:sz="8" w:space="0" w:color="auto"/>
            </w:tcBorders>
            <w:shd w:val="clear" w:color="000000" w:fill="FFFFFF"/>
            <w:noWrap/>
            <w:vAlign w:val="center"/>
            <w:hideMark/>
          </w:tcPr>
          <w:p w14:paraId="08539EA8" w14:textId="77777777" w:rsidR="00296BB8" w:rsidRPr="00A52AEE" w:rsidRDefault="00296BB8" w:rsidP="00AF3CBA">
            <w:pPr>
              <w:jc w:val="right"/>
              <w:rPr>
                <w:lang w:eastAsia="en-GB"/>
              </w:rPr>
            </w:pPr>
            <w:r w:rsidRPr="00A52AEE">
              <w:rPr>
                <w:lang w:eastAsia="en-GB"/>
              </w:rPr>
              <w:t>30%</w:t>
            </w:r>
          </w:p>
        </w:tc>
        <w:tc>
          <w:tcPr>
            <w:tcW w:w="792" w:type="pct"/>
            <w:tcBorders>
              <w:top w:val="nil"/>
              <w:left w:val="nil"/>
              <w:bottom w:val="nil"/>
              <w:right w:val="single" w:sz="8" w:space="0" w:color="auto"/>
            </w:tcBorders>
            <w:shd w:val="clear" w:color="000000" w:fill="FFFFFF"/>
            <w:noWrap/>
            <w:vAlign w:val="center"/>
            <w:hideMark/>
          </w:tcPr>
          <w:p w14:paraId="0AFA53C6" w14:textId="77777777" w:rsidR="00296BB8" w:rsidRPr="00A52AEE" w:rsidRDefault="00296BB8" w:rsidP="00AF3CBA">
            <w:pPr>
              <w:jc w:val="right"/>
              <w:rPr>
                <w:lang w:eastAsia="en-GB"/>
              </w:rPr>
            </w:pPr>
            <w:r w:rsidRPr="00A52AEE">
              <w:rPr>
                <w:lang w:eastAsia="en-GB"/>
              </w:rPr>
              <w:t>25%</w:t>
            </w:r>
          </w:p>
        </w:tc>
        <w:tc>
          <w:tcPr>
            <w:tcW w:w="770" w:type="pct"/>
            <w:tcBorders>
              <w:top w:val="nil"/>
              <w:left w:val="nil"/>
              <w:bottom w:val="single" w:sz="8" w:space="0" w:color="auto"/>
              <w:right w:val="single" w:sz="8" w:space="0" w:color="auto"/>
            </w:tcBorders>
            <w:shd w:val="clear" w:color="000000" w:fill="FFFFFF"/>
            <w:noWrap/>
            <w:vAlign w:val="center"/>
            <w:hideMark/>
          </w:tcPr>
          <w:p w14:paraId="406C8402" w14:textId="77777777" w:rsidR="00296BB8" w:rsidRPr="00A52AEE" w:rsidRDefault="00296BB8" w:rsidP="00AF3CBA">
            <w:pPr>
              <w:jc w:val="right"/>
              <w:rPr>
                <w:lang w:eastAsia="en-GB"/>
              </w:rPr>
            </w:pPr>
            <w:r w:rsidRPr="00A52AEE">
              <w:rPr>
                <w:lang w:eastAsia="en-GB"/>
              </w:rPr>
              <w:t>7%</w:t>
            </w:r>
          </w:p>
        </w:tc>
      </w:tr>
      <w:tr w:rsidR="00CE4337" w:rsidRPr="00A52AEE" w14:paraId="0C10034D" w14:textId="77777777" w:rsidTr="00AF3CBA">
        <w:trPr>
          <w:trHeight w:val="330"/>
        </w:trPr>
        <w:tc>
          <w:tcPr>
            <w:tcW w:w="549"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110FA008" w14:textId="77777777" w:rsidR="00296BB8" w:rsidRPr="00B959B2" w:rsidRDefault="00296BB8" w:rsidP="00A52AEE">
            <w:pPr>
              <w:rPr>
                <w:b/>
                <w:lang w:eastAsia="en-GB"/>
              </w:rPr>
            </w:pPr>
            <w:r w:rsidRPr="00B959B2">
              <w:rPr>
                <w:b/>
                <w:lang w:eastAsia="en-GB"/>
              </w:rPr>
              <w:t>Male</w:t>
            </w:r>
          </w:p>
        </w:tc>
        <w:tc>
          <w:tcPr>
            <w:tcW w:w="698"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F7B1525" w14:textId="77777777" w:rsidR="00296BB8" w:rsidRPr="00A52AEE" w:rsidRDefault="00296BB8" w:rsidP="00AF3CBA">
            <w:pPr>
              <w:jc w:val="right"/>
              <w:rPr>
                <w:lang w:eastAsia="en-GB"/>
              </w:rPr>
            </w:pPr>
            <w:r w:rsidRPr="00A52AEE">
              <w:rPr>
                <w:lang w:eastAsia="en-GB"/>
              </w:rPr>
              <w:t>18065</w:t>
            </w:r>
          </w:p>
        </w:tc>
        <w:tc>
          <w:tcPr>
            <w:tcW w:w="423" w:type="pct"/>
            <w:tcBorders>
              <w:top w:val="nil"/>
              <w:left w:val="nil"/>
              <w:bottom w:val="single" w:sz="8" w:space="0" w:color="auto"/>
              <w:right w:val="single" w:sz="8" w:space="0" w:color="auto"/>
            </w:tcBorders>
            <w:shd w:val="clear" w:color="auto" w:fill="BDD6EE" w:themeFill="accent1" w:themeFillTint="66"/>
            <w:noWrap/>
            <w:vAlign w:val="center"/>
            <w:hideMark/>
          </w:tcPr>
          <w:p w14:paraId="4FE6F5CC" w14:textId="77777777" w:rsidR="00296BB8" w:rsidRPr="00A52AEE" w:rsidRDefault="00296BB8" w:rsidP="00AF3CBA">
            <w:pPr>
              <w:jc w:val="right"/>
              <w:rPr>
                <w:lang w:eastAsia="en-GB"/>
              </w:rPr>
            </w:pPr>
            <w:r w:rsidRPr="00A52AEE">
              <w:rPr>
                <w:lang w:eastAsia="en-GB"/>
              </w:rPr>
              <w:t>100%</w:t>
            </w:r>
          </w:p>
        </w:tc>
        <w:tc>
          <w:tcPr>
            <w:tcW w:w="703"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6A706647" w14:textId="77777777" w:rsidR="00296BB8" w:rsidRPr="00A52AEE" w:rsidRDefault="00296BB8" w:rsidP="00AF3CBA">
            <w:pPr>
              <w:jc w:val="right"/>
              <w:rPr>
                <w:lang w:eastAsia="en-GB"/>
              </w:rPr>
            </w:pPr>
            <w:r w:rsidRPr="00A52AEE">
              <w:rPr>
                <w:lang w:eastAsia="en-GB"/>
              </w:rPr>
              <w:t>43%</w:t>
            </w:r>
          </w:p>
        </w:tc>
        <w:tc>
          <w:tcPr>
            <w:tcW w:w="662"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7510A375" w14:textId="77777777" w:rsidR="00296BB8" w:rsidRPr="00A52AEE" w:rsidRDefault="00296BB8" w:rsidP="00AF3CBA">
            <w:pPr>
              <w:jc w:val="right"/>
              <w:rPr>
                <w:lang w:eastAsia="en-GB"/>
              </w:rPr>
            </w:pPr>
            <w:r w:rsidRPr="00A52AEE">
              <w:rPr>
                <w:lang w:eastAsia="en-GB"/>
              </w:rPr>
              <w:t>20510</w:t>
            </w:r>
          </w:p>
        </w:tc>
        <w:tc>
          <w:tcPr>
            <w:tcW w:w="403" w:type="pct"/>
            <w:tcBorders>
              <w:top w:val="nil"/>
              <w:left w:val="nil"/>
              <w:bottom w:val="single" w:sz="8" w:space="0" w:color="auto"/>
              <w:right w:val="single" w:sz="8" w:space="0" w:color="auto"/>
            </w:tcBorders>
            <w:shd w:val="clear" w:color="auto" w:fill="BDD6EE" w:themeFill="accent1" w:themeFillTint="66"/>
            <w:noWrap/>
            <w:vAlign w:val="center"/>
            <w:hideMark/>
          </w:tcPr>
          <w:p w14:paraId="1A5BAE67" w14:textId="77777777" w:rsidR="00296BB8" w:rsidRPr="00A52AEE" w:rsidRDefault="00296BB8" w:rsidP="00AF3CBA">
            <w:pPr>
              <w:jc w:val="right"/>
              <w:rPr>
                <w:lang w:eastAsia="en-GB"/>
              </w:rPr>
            </w:pPr>
            <w:r w:rsidRPr="00A52AEE">
              <w:rPr>
                <w:lang w:eastAsia="en-GB"/>
              </w:rPr>
              <w:t>100%</w:t>
            </w:r>
          </w:p>
        </w:tc>
        <w:tc>
          <w:tcPr>
            <w:tcW w:w="792"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4A3E524D" w14:textId="77777777" w:rsidR="00296BB8" w:rsidRPr="00A52AEE" w:rsidRDefault="00296BB8" w:rsidP="00AF3CBA">
            <w:pPr>
              <w:jc w:val="right"/>
              <w:rPr>
                <w:lang w:eastAsia="en-GB"/>
              </w:rPr>
            </w:pPr>
            <w:r w:rsidRPr="00A52AEE">
              <w:rPr>
                <w:lang w:eastAsia="en-GB"/>
              </w:rPr>
              <w:t>38%</w:t>
            </w:r>
          </w:p>
        </w:tc>
        <w:tc>
          <w:tcPr>
            <w:tcW w:w="770" w:type="pct"/>
            <w:tcBorders>
              <w:top w:val="nil"/>
              <w:left w:val="nil"/>
              <w:bottom w:val="single" w:sz="8" w:space="0" w:color="auto"/>
              <w:right w:val="single" w:sz="8" w:space="0" w:color="auto"/>
            </w:tcBorders>
            <w:shd w:val="clear" w:color="auto" w:fill="BDD6EE" w:themeFill="accent1" w:themeFillTint="66"/>
            <w:noWrap/>
            <w:vAlign w:val="center"/>
            <w:hideMark/>
          </w:tcPr>
          <w:p w14:paraId="53E8263E" w14:textId="77777777" w:rsidR="00296BB8" w:rsidRPr="00A52AEE" w:rsidRDefault="00296BB8" w:rsidP="00AF3CBA">
            <w:pPr>
              <w:jc w:val="right"/>
              <w:rPr>
                <w:lang w:eastAsia="en-GB"/>
              </w:rPr>
            </w:pPr>
            <w:r w:rsidRPr="00A52AEE">
              <w:rPr>
                <w:lang w:eastAsia="en-GB"/>
              </w:rPr>
              <w:t> </w:t>
            </w:r>
          </w:p>
        </w:tc>
      </w:tr>
      <w:tr w:rsidR="00CE4337" w:rsidRPr="00A52AEE" w14:paraId="1853139E" w14:textId="77777777" w:rsidTr="00AF3CBA">
        <w:trPr>
          <w:trHeight w:val="315"/>
        </w:trPr>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5D5B4E3A" w14:textId="41EF7491" w:rsidR="00296BB8" w:rsidRPr="00A52AEE" w:rsidRDefault="005175E4" w:rsidP="00A52AEE">
            <w:pPr>
              <w:rPr>
                <w:lang w:eastAsia="en-GB"/>
              </w:rPr>
            </w:pPr>
            <w:r w:rsidRPr="00A52AEE">
              <w:rPr>
                <w:lang w:eastAsia="en-GB"/>
              </w:rPr>
              <w:t>17-19</w:t>
            </w:r>
            <w:r w:rsidR="00296BB8" w:rsidRPr="00A52AEE">
              <w:rPr>
                <w:lang w:eastAsia="en-GB"/>
              </w:rPr>
              <w:t xml:space="preserve"> </w:t>
            </w:r>
          </w:p>
        </w:tc>
        <w:tc>
          <w:tcPr>
            <w:tcW w:w="698" w:type="pct"/>
            <w:tcBorders>
              <w:top w:val="nil"/>
              <w:left w:val="nil"/>
              <w:bottom w:val="single" w:sz="8" w:space="0" w:color="auto"/>
              <w:right w:val="single" w:sz="8" w:space="0" w:color="auto"/>
            </w:tcBorders>
            <w:shd w:val="clear" w:color="000000" w:fill="FFFFFF"/>
            <w:noWrap/>
            <w:vAlign w:val="center"/>
            <w:hideMark/>
          </w:tcPr>
          <w:p w14:paraId="12D4FC30" w14:textId="77777777" w:rsidR="00296BB8" w:rsidRPr="00A52AEE" w:rsidRDefault="00296BB8" w:rsidP="00AF3CBA">
            <w:pPr>
              <w:jc w:val="right"/>
              <w:rPr>
                <w:lang w:eastAsia="en-GB"/>
              </w:rPr>
            </w:pPr>
            <w:r w:rsidRPr="00A52AEE">
              <w:rPr>
                <w:lang w:eastAsia="en-GB"/>
              </w:rPr>
              <w:t>10035</w:t>
            </w:r>
          </w:p>
        </w:tc>
        <w:tc>
          <w:tcPr>
            <w:tcW w:w="423" w:type="pct"/>
            <w:tcBorders>
              <w:top w:val="nil"/>
              <w:left w:val="nil"/>
              <w:bottom w:val="single" w:sz="8" w:space="0" w:color="auto"/>
              <w:right w:val="single" w:sz="8" w:space="0" w:color="auto"/>
            </w:tcBorders>
            <w:shd w:val="clear" w:color="000000" w:fill="FFFFFF"/>
            <w:noWrap/>
            <w:vAlign w:val="center"/>
            <w:hideMark/>
          </w:tcPr>
          <w:p w14:paraId="0FDB6D3F" w14:textId="77777777" w:rsidR="00296BB8" w:rsidRPr="00A52AEE" w:rsidRDefault="00296BB8" w:rsidP="00AF3CBA">
            <w:pPr>
              <w:jc w:val="right"/>
              <w:rPr>
                <w:lang w:eastAsia="en-GB"/>
              </w:rPr>
            </w:pPr>
            <w:r w:rsidRPr="00A52AEE">
              <w:rPr>
                <w:lang w:eastAsia="en-GB"/>
              </w:rPr>
              <w:t>56%</w:t>
            </w:r>
          </w:p>
        </w:tc>
        <w:tc>
          <w:tcPr>
            <w:tcW w:w="703" w:type="pct"/>
            <w:tcBorders>
              <w:top w:val="nil"/>
              <w:left w:val="nil"/>
              <w:bottom w:val="single" w:sz="8" w:space="0" w:color="auto"/>
              <w:right w:val="single" w:sz="8" w:space="0" w:color="auto"/>
            </w:tcBorders>
            <w:shd w:val="clear" w:color="000000" w:fill="FFFFFF"/>
            <w:noWrap/>
            <w:vAlign w:val="center"/>
            <w:hideMark/>
          </w:tcPr>
          <w:p w14:paraId="6FFAB904" w14:textId="77777777" w:rsidR="00296BB8" w:rsidRPr="00A52AEE" w:rsidRDefault="00296BB8" w:rsidP="00AF3CBA">
            <w:pPr>
              <w:jc w:val="right"/>
              <w:rPr>
                <w:lang w:eastAsia="en-GB"/>
              </w:rPr>
            </w:pPr>
            <w:r w:rsidRPr="00A52AEE">
              <w:rPr>
                <w:lang w:eastAsia="en-GB"/>
              </w:rPr>
              <w:t>63%</w:t>
            </w:r>
          </w:p>
        </w:tc>
        <w:tc>
          <w:tcPr>
            <w:tcW w:w="662" w:type="pct"/>
            <w:tcBorders>
              <w:top w:val="nil"/>
              <w:left w:val="nil"/>
              <w:bottom w:val="single" w:sz="8" w:space="0" w:color="auto"/>
              <w:right w:val="single" w:sz="8" w:space="0" w:color="auto"/>
            </w:tcBorders>
            <w:shd w:val="clear" w:color="000000" w:fill="FFFFFF"/>
            <w:noWrap/>
            <w:vAlign w:val="center"/>
            <w:hideMark/>
          </w:tcPr>
          <w:p w14:paraId="0098B1F6" w14:textId="77777777" w:rsidR="00296BB8" w:rsidRPr="00A52AEE" w:rsidRDefault="00296BB8" w:rsidP="00AF3CBA">
            <w:pPr>
              <w:jc w:val="right"/>
              <w:rPr>
                <w:lang w:eastAsia="en-GB"/>
              </w:rPr>
            </w:pPr>
            <w:r w:rsidRPr="00A52AEE">
              <w:rPr>
                <w:lang w:eastAsia="en-GB"/>
              </w:rPr>
              <w:t>13605</w:t>
            </w:r>
          </w:p>
        </w:tc>
        <w:tc>
          <w:tcPr>
            <w:tcW w:w="403" w:type="pct"/>
            <w:tcBorders>
              <w:top w:val="nil"/>
              <w:left w:val="nil"/>
              <w:bottom w:val="single" w:sz="8" w:space="0" w:color="auto"/>
              <w:right w:val="single" w:sz="8" w:space="0" w:color="auto"/>
            </w:tcBorders>
            <w:shd w:val="clear" w:color="000000" w:fill="FFFFFF"/>
            <w:noWrap/>
            <w:vAlign w:val="center"/>
            <w:hideMark/>
          </w:tcPr>
          <w:p w14:paraId="7CEFE63B" w14:textId="77777777" w:rsidR="00296BB8" w:rsidRPr="00A52AEE" w:rsidRDefault="00296BB8" w:rsidP="00AF3CBA">
            <w:pPr>
              <w:jc w:val="right"/>
              <w:rPr>
                <w:lang w:eastAsia="en-GB"/>
              </w:rPr>
            </w:pPr>
            <w:r w:rsidRPr="00A52AEE">
              <w:rPr>
                <w:lang w:eastAsia="en-GB"/>
              </w:rPr>
              <w:t>66%</w:t>
            </w:r>
          </w:p>
        </w:tc>
        <w:tc>
          <w:tcPr>
            <w:tcW w:w="792" w:type="pct"/>
            <w:tcBorders>
              <w:top w:val="nil"/>
              <w:left w:val="nil"/>
              <w:bottom w:val="single" w:sz="8" w:space="0" w:color="auto"/>
              <w:right w:val="single" w:sz="8" w:space="0" w:color="auto"/>
            </w:tcBorders>
            <w:shd w:val="clear" w:color="000000" w:fill="FFFFFF"/>
            <w:noWrap/>
            <w:vAlign w:val="center"/>
            <w:hideMark/>
          </w:tcPr>
          <w:p w14:paraId="1A606AA9" w14:textId="77777777" w:rsidR="00296BB8" w:rsidRPr="00A52AEE" w:rsidRDefault="00296BB8" w:rsidP="00AF3CBA">
            <w:pPr>
              <w:jc w:val="right"/>
              <w:rPr>
                <w:lang w:eastAsia="en-GB"/>
              </w:rPr>
            </w:pPr>
            <w:r w:rsidRPr="00A52AEE">
              <w:rPr>
                <w:lang w:eastAsia="en-GB"/>
              </w:rPr>
              <w:t>44%</w:t>
            </w:r>
          </w:p>
        </w:tc>
        <w:tc>
          <w:tcPr>
            <w:tcW w:w="770" w:type="pct"/>
            <w:tcBorders>
              <w:top w:val="nil"/>
              <w:left w:val="nil"/>
              <w:bottom w:val="single" w:sz="8" w:space="0" w:color="auto"/>
              <w:right w:val="single" w:sz="8" w:space="0" w:color="auto"/>
            </w:tcBorders>
            <w:shd w:val="clear" w:color="000000" w:fill="FFFFFF"/>
            <w:noWrap/>
            <w:vAlign w:val="center"/>
            <w:hideMark/>
          </w:tcPr>
          <w:p w14:paraId="7FE892C2" w14:textId="77777777" w:rsidR="00296BB8" w:rsidRPr="00A52AEE" w:rsidRDefault="00296BB8" w:rsidP="00AF3CBA">
            <w:pPr>
              <w:jc w:val="right"/>
              <w:rPr>
                <w:lang w:eastAsia="en-GB"/>
              </w:rPr>
            </w:pPr>
            <w:r w:rsidRPr="00A52AEE">
              <w:rPr>
                <w:lang w:eastAsia="en-GB"/>
              </w:rPr>
              <w:t>-19%</w:t>
            </w:r>
          </w:p>
        </w:tc>
      </w:tr>
      <w:tr w:rsidR="00CE4337" w:rsidRPr="00A52AEE" w14:paraId="583A5860" w14:textId="77777777" w:rsidTr="00AF3CBA">
        <w:trPr>
          <w:trHeight w:val="315"/>
        </w:trPr>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462440AE" w14:textId="77777777" w:rsidR="00296BB8" w:rsidRPr="00A52AEE" w:rsidRDefault="00296BB8" w:rsidP="00A52AEE">
            <w:pPr>
              <w:rPr>
                <w:lang w:eastAsia="en-GB"/>
              </w:rPr>
            </w:pPr>
            <w:r w:rsidRPr="00A52AEE">
              <w:rPr>
                <w:lang w:eastAsia="en-GB"/>
              </w:rPr>
              <w:t xml:space="preserve">20-24 </w:t>
            </w:r>
          </w:p>
        </w:tc>
        <w:tc>
          <w:tcPr>
            <w:tcW w:w="698" w:type="pct"/>
            <w:tcBorders>
              <w:top w:val="nil"/>
              <w:left w:val="nil"/>
              <w:bottom w:val="single" w:sz="8" w:space="0" w:color="auto"/>
              <w:right w:val="single" w:sz="8" w:space="0" w:color="auto"/>
            </w:tcBorders>
            <w:shd w:val="clear" w:color="000000" w:fill="FFFFFF"/>
            <w:noWrap/>
            <w:vAlign w:val="center"/>
            <w:hideMark/>
          </w:tcPr>
          <w:p w14:paraId="77D23A76" w14:textId="77777777" w:rsidR="00296BB8" w:rsidRPr="00A52AEE" w:rsidRDefault="00296BB8" w:rsidP="00AF3CBA">
            <w:pPr>
              <w:jc w:val="right"/>
              <w:rPr>
                <w:lang w:eastAsia="en-GB"/>
              </w:rPr>
            </w:pPr>
            <w:r w:rsidRPr="00A52AEE">
              <w:rPr>
                <w:lang w:eastAsia="en-GB"/>
              </w:rPr>
              <w:t>2240</w:t>
            </w:r>
          </w:p>
        </w:tc>
        <w:tc>
          <w:tcPr>
            <w:tcW w:w="423" w:type="pct"/>
            <w:tcBorders>
              <w:top w:val="nil"/>
              <w:left w:val="nil"/>
              <w:bottom w:val="single" w:sz="8" w:space="0" w:color="auto"/>
              <w:right w:val="single" w:sz="8" w:space="0" w:color="auto"/>
            </w:tcBorders>
            <w:shd w:val="clear" w:color="000000" w:fill="FFFFFF"/>
            <w:noWrap/>
            <w:vAlign w:val="center"/>
            <w:hideMark/>
          </w:tcPr>
          <w:p w14:paraId="5719A63E" w14:textId="77777777" w:rsidR="00296BB8" w:rsidRPr="00A52AEE" w:rsidRDefault="00296BB8" w:rsidP="00AF3CBA">
            <w:pPr>
              <w:jc w:val="right"/>
              <w:rPr>
                <w:lang w:eastAsia="en-GB"/>
              </w:rPr>
            </w:pPr>
            <w:r w:rsidRPr="00A52AEE">
              <w:rPr>
                <w:lang w:eastAsia="en-GB"/>
              </w:rPr>
              <w:t>12%</w:t>
            </w:r>
          </w:p>
        </w:tc>
        <w:tc>
          <w:tcPr>
            <w:tcW w:w="703" w:type="pct"/>
            <w:tcBorders>
              <w:top w:val="nil"/>
              <w:left w:val="nil"/>
              <w:bottom w:val="single" w:sz="8" w:space="0" w:color="auto"/>
              <w:right w:val="single" w:sz="8" w:space="0" w:color="auto"/>
            </w:tcBorders>
            <w:shd w:val="clear" w:color="000000" w:fill="FFFFFF"/>
            <w:noWrap/>
            <w:vAlign w:val="center"/>
            <w:hideMark/>
          </w:tcPr>
          <w:p w14:paraId="0E0B8F96" w14:textId="77777777" w:rsidR="00296BB8" w:rsidRPr="00A52AEE" w:rsidRDefault="00296BB8" w:rsidP="00AF3CBA">
            <w:pPr>
              <w:jc w:val="right"/>
              <w:rPr>
                <w:lang w:eastAsia="en-GB"/>
              </w:rPr>
            </w:pPr>
            <w:r w:rsidRPr="00A52AEE">
              <w:rPr>
                <w:lang w:eastAsia="en-GB"/>
              </w:rPr>
              <w:t>39%</w:t>
            </w:r>
          </w:p>
        </w:tc>
        <w:tc>
          <w:tcPr>
            <w:tcW w:w="662" w:type="pct"/>
            <w:tcBorders>
              <w:top w:val="nil"/>
              <w:left w:val="nil"/>
              <w:bottom w:val="single" w:sz="8" w:space="0" w:color="auto"/>
              <w:right w:val="single" w:sz="8" w:space="0" w:color="auto"/>
            </w:tcBorders>
            <w:shd w:val="clear" w:color="000000" w:fill="FFFFFF"/>
            <w:noWrap/>
            <w:vAlign w:val="center"/>
            <w:hideMark/>
          </w:tcPr>
          <w:p w14:paraId="6C903904" w14:textId="77777777" w:rsidR="00296BB8" w:rsidRPr="00A52AEE" w:rsidRDefault="00296BB8" w:rsidP="00AF3CBA">
            <w:pPr>
              <w:jc w:val="right"/>
              <w:rPr>
                <w:lang w:eastAsia="en-GB"/>
              </w:rPr>
            </w:pPr>
            <w:r w:rsidRPr="00A52AEE">
              <w:rPr>
                <w:lang w:eastAsia="en-GB"/>
              </w:rPr>
              <w:t>2325</w:t>
            </w:r>
          </w:p>
        </w:tc>
        <w:tc>
          <w:tcPr>
            <w:tcW w:w="403" w:type="pct"/>
            <w:tcBorders>
              <w:top w:val="nil"/>
              <w:left w:val="nil"/>
              <w:bottom w:val="single" w:sz="8" w:space="0" w:color="auto"/>
              <w:right w:val="single" w:sz="8" w:space="0" w:color="auto"/>
            </w:tcBorders>
            <w:shd w:val="clear" w:color="000000" w:fill="FFFFFF"/>
            <w:noWrap/>
            <w:vAlign w:val="center"/>
            <w:hideMark/>
          </w:tcPr>
          <w:p w14:paraId="73E85240" w14:textId="77777777" w:rsidR="00296BB8" w:rsidRPr="00A52AEE" w:rsidRDefault="00296BB8" w:rsidP="00AF3CBA">
            <w:pPr>
              <w:jc w:val="right"/>
              <w:rPr>
                <w:lang w:eastAsia="en-GB"/>
              </w:rPr>
            </w:pPr>
            <w:r w:rsidRPr="00A52AEE">
              <w:rPr>
                <w:lang w:eastAsia="en-GB"/>
              </w:rPr>
              <w:t>11%</w:t>
            </w:r>
          </w:p>
        </w:tc>
        <w:tc>
          <w:tcPr>
            <w:tcW w:w="792" w:type="pct"/>
            <w:tcBorders>
              <w:top w:val="nil"/>
              <w:left w:val="nil"/>
              <w:bottom w:val="single" w:sz="8" w:space="0" w:color="auto"/>
              <w:right w:val="single" w:sz="8" w:space="0" w:color="auto"/>
            </w:tcBorders>
            <w:shd w:val="clear" w:color="000000" w:fill="FFFFFF"/>
            <w:noWrap/>
            <w:vAlign w:val="center"/>
            <w:hideMark/>
          </w:tcPr>
          <w:p w14:paraId="32A84E92" w14:textId="77777777" w:rsidR="00296BB8" w:rsidRPr="00A52AEE" w:rsidRDefault="00296BB8" w:rsidP="00AF3CBA">
            <w:pPr>
              <w:jc w:val="right"/>
              <w:rPr>
                <w:lang w:eastAsia="en-GB"/>
              </w:rPr>
            </w:pPr>
            <w:r w:rsidRPr="00A52AEE">
              <w:rPr>
                <w:lang w:eastAsia="en-GB"/>
              </w:rPr>
              <w:t>39%</w:t>
            </w:r>
          </w:p>
        </w:tc>
        <w:tc>
          <w:tcPr>
            <w:tcW w:w="770" w:type="pct"/>
            <w:tcBorders>
              <w:top w:val="nil"/>
              <w:left w:val="nil"/>
              <w:bottom w:val="single" w:sz="8" w:space="0" w:color="auto"/>
              <w:right w:val="single" w:sz="8" w:space="0" w:color="auto"/>
            </w:tcBorders>
            <w:shd w:val="clear" w:color="000000" w:fill="FFFFFF"/>
            <w:noWrap/>
            <w:vAlign w:val="center"/>
            <w:hideMark/>
          </w:tcPr>
          <w:p w14:paraId="7DDB1179" w14:textId="77777777" w:rsidR="00296BB8" w:rsidRPr="00A52AEE" w:rsidRDefault="00296BB8" w:rsidP="00AF3CBA">
            <w:pPr>
              <w:jc w:val="right"/>
              <w:rPr>
                <w:lang w:eastAsia="en-GB"/>
              </w:rPr>
            </w:pPr>
            <w:r w:rsidRPr="00A52AEE">
              <w:rPr>
                <w:lang w:eastAsia="en-GB"/>
              </w:rPr>
              <w:t>0%</w:t>
            </w:r>
          </w:p>
        </w:tc>
      </w:tr>
      <w:tr w:rsidR="00CE4337" w:rsidRPr="00A52AEE" w14:paraId="29901539" w14:textId="77777777" w:rsidTr="00AF3CBA">
        <w:trPr>
          <w:trHeight w:val="315"/>
        </w:trPr>
        <w:tc>
          <w:tcPr>
            <w:tcW w:w="549" w:type="pct"/>
            <w:tcBorders>
              <w:top w:val="nil"/>
              <w:left w:val="single" w:sz="8" w:space="0" w:color="auto"/>
              <w:bottom w:val="single" w:sz="8" w:space="0" w:color="auto"/>
              <w:right w:val="single" w:sz="8" w:space="0" w:color="auto"/>
            </w:tcBorders>
            <w:shd w:val="clear" w:color="000000" w:fill="FFFFFF"/>
            <w:noWrap/>
            <w:vAlign w:val="center"/>
            <w:hideMark/>
          </w:tcPr>
          <w:p w14:paraId="515D39CF" w14:textId="77777777" w:rsidR="00296BB8" w:rsidRPr="00A52AEE" w:rsidRDefault="00296BB8" w:rsidP="00A52AEE">
            <w:pPr>
              <w:rPr>
                <w:lang w:eastAsia="en-GB"/>
              </w:rPr>
            </w:pPr>
            <w:r w:rsidRPr="00A52AEE">
              <w:rPr>
                <w:lang w:eastAsia="en-GB"/>
              </w:rPr>
              <w:t>25+</w:t>
            </w:r>
          </w:p>
        </w:tc>
        <w:tc>
          <w:tcPr>
            <w:tcW w:w="698" w:type="pct"/>
            <w:tcBorders>
              <w:top w:val="nil"/>
              <w:left w:val="nil"/>
              <w:bottom w:val="single" w:sz="8" w:space="0" w:color="auto"/>
              <w:right w:val="single" w:sz="8" w:space="0" w:color="auto"/>
            </w:tcBorders>
            <w:shd w:val="clear" w:color="000000" w:fill="FFFFFF"/>
            <w:noWrap/>
            <w:vAlign w:val="center"/>
            <w:hideMark/>
          </w:tcPr>
          <w:p w14:paraId="007F995D" w14:textId="77777777" w:rsidR="00296BB8" w:rsidRPr="00A52AEE" w:rsidRDefault="00296BB8" w:rsidP="00AF3CBA">
            <w:pPr>
              <w:jc w:val="right"/>
              <w:rPr>
                <w:lang w:eastAsia="en-GB"/>
              </w:rPr>
            </w:pPr>
            <w:r w:rsidRPr="00A52AEE">
              <w:rPr>
                <w:lang w:eastAsia="en-GB"/>
              </w:rPr>
              <w:t>5790</w:t>
            </w:r>
          </w:p>
        </w:tc>
        <w:tc>
          <w:tcPr>
            <w:tcW w:w="423" w:type="pct"/>
            <w:tcBorders>
              <w:top w:val="nil"/>
              <w:left w:val="nil"/>
              <w:bottom w:val="single" w:sz="8" w:space="0" w:color="auto"/>
              <w:right w:val="single" w:sz="8" w:space="0" w:color="auto"/>
            </w:tcBorders>
            <w:shd w:val="clear" w:color="000000" w:fill="FFFFFF"/>
            <w:noWrap/>
            <w:vAlign w:val="center"/>
            <w:hideMark/>
          </w:tcPr>
          <w:p w14:paraId="3A2B2C20" w14:textId="77777777" w:rsidR="00296BB8" w:rsidRPr="00A52AEE" w:rsidRDefault="00296BB8" w:rsidP="00AF3CBA">
            <w:pPr>
              <w:jc w:val="right"/>
              <w:rPr>
                <w:lang w:eastAsia="en-GB"/>
              </w:rPr>
            </w:pPr>
            <w:r w:rsidRPr="00A52AEE">
              <w:rPr>
                <w:lang w:eastAsia="en-GB"/>
              </w:rPr>
              <w:t>32%</w:t>
            </w:r>
          </w:p>
        </w:tc>
        <w:tc>
          <w:tcPr>
            <w:tcW w:w="703" w:type="pct"/>
            <w:tcBorders>
              <w:top w:val="nil"/>
              <w:left w:val="nil"/>
              <w:bottom w:val="single" w:sz="8" w:space="0" w:color="auto"/>
              <w:right w:val="single" w:sz="8" w:space="0" w:color="auto"/>
            </w:tcBorders>
            <w:shd w:val="clear" w:color="000000" w:fill="FFFFFF"/>
            <w:noWrap/>
            <w:vAlign w:val="center"/>
            <w:hideMark/>
          </w:tcPr>
          <w:p w14:paraId="254888F7" w14:textId="77777777" w:rsidR="00296BB8" w:rsidRPr="00A52AEE" w:rsidRDefault="00296BB8" w:rsidP="00AF3CBA">
            <w:pPr>
              <w:jc w:val="right"/>
              <w:rPr>
                <w:lang w:eastAsia="en-GB"/>
              </w:rPr>
            </w:pPr>
            <w:r w:rsidRPr="00A52AEE">
              <w:rPr>
                <w:lang w:eastAsia="en-GB"/>
              </w:rPr>
              <w:t>10%</w:t>
            </w:r>
          </w:p>
        </w:tc>
        <w:tc>
          <w:tcPr>
            <w:tcW w:w="662" w:type="pct"/>
            <w:tcBorders>
              <w:top w:val="nil"/>
              <w:left w:val="nil"/>
              <w:bottom w:val="single" w:sz="8" w:space="0" w:color="auto"/>
              <w:right w:val="single" w:sz="8" w:space="0" w:color="auto"/>
            </w:tcBorders>
            <w:shd w:val="clear" w:color="000000" w:fill="FFFFFF"/>
            <w:noWrap/>
            <w:vAlign w:val="center"/>
            <w:hideMark/>
          </w:tcPr>
          <w:p w14:paraId="6ABB39A7" w14:textId="77777777" w:rsidR="00296BB8" w:rsidRPr="00A52AEE" w:rsidRDefault="00296BB8" w:rsidP="00AF3CBA">
            <w:pPr>
              <w:jc w:val="right"/>
              <w:rPr>
                <w:lang w:eastAsia="en-GB"/>
              </w:rPr>
            </w:pPr>
            <w:r w:rsidRPr="00A52AEE">
              <w:rPr>
                <w:lang w:eastAsia="en-GB"/>
              </w:rPr>
              <w:t>4580</w:t>
            </w:r>
          </w:p>
        </w:tc>
        <w:tc>
          <w:tcPr>
            <w:tcW w:w="403" w:type="pct"/>
            <w:tcBorders>
              <w:top w:val="nil"/>
              <w:left w:val="nil"/>
              <w:bottom w:val="single" w:sz="8" w:space="0" w:color="auto"/>
              <w:right w:val="single" w:sz="8" w:space="0" w:color="auto"/>
            </w:tcBorders>
            <w:shd w:val="clear" w:color="000000" w:fill="FFFFFF"/>
            <w:noWrap/>
            <w:vAlign w:val="center"/>
            <w:hideMark/>
          </w:tcPr>
          <w:p w14:paraId="2B9FB846" w14:textId="77777777" w:rsidR="00296BB8" w:rsidRPr="00A52AEE" w:rsidRDefault="00296BB8" w:rsidP="00AF3CBA">
            <w:pPr>
              <w:jc w:val="right"/>
              <w:rPr>
                <w:lang w:eastAsia="en-GB"/>
              </w:rPr>
            </w:pPr>
            <w:r w:rsidRPr="00A52AEE">
              <w:rPr>
                <w:lang w:eastAsia="en-GB"/>
              </w:rPr>
              <w:t>22%</w:t>
            </w:r>
          </w:p>
        </w:tc>
        <w:tc>
          <w:tcPr>
            <w:tcW w:w="792" w:type="pct"/>
            <w:tcBorders>
              <w:top w:val="nil"/>
              <w:left w:val="nil"/>
              <w:bottom w:val="single" w:sz="8" w:space="0" w:color="auto"/>
              <w:right w:val="single" w:sz="8" w:space="0" w:color="auto"/>
            </w:tcBorders>
            <w:shd w:val="clear" w:color="000000" w:fill="FFFFFF"/>
            <w:noWrap/>
            <w:vAlign w:val="center"/>
            <w:hideMark/>
          </w:tcPr>
          <w:p w14:paraId="296D31E5" w14:textId="77777777" w:rsidR="00296BB8" w:rsidRPr="00A52AEE" w:rsidRDefault="00296BB8" w:rsidP="00AF3CBA">
            <w:pPr>
              <w:jc w:val="right"/>
              <w:rPr>
                <w:lang w:eastAsia="en-GB"/>
              </w:rPr>
            </w:pPr>
            <w:r w:rsidRPr="00A52AEE">
              <w:rPr>
                <w:lang w:eastAsia="en-GB"/>
              </w:rPr>
              <w:t>18%</w:t>
            </w:r>
          </w:p>
        </w:tc>
        <w:tc>
          <w:tcPr>
            <w:tcW w:w="770" w:type="pct"/>
            <w:tcBorders>
              <w:top w:val="nil"/>
              <w:left w:val="nil"/>
              <w:bottom w:val="single" w:sz="8" w:space="0" w:color="auto"/>
              <w:right w:val="single" w:sz="8" w:space="0" w:color="auto"/>
            </w:tcBorders>
            <w:shd w:val="clear" w:color="000000" w:fill="FFFFFF"/>
            <w:noWrap/>
            <w:vAlign w:val="center"/>
            <w:hideMark/>
          </w:tcPr>
          <w:p w14:paraId="5D1FD736" w14:textId="77777777" w:rsidR="00296BB8" w:rsidRPr="00A52AEE" w:rsidRDefault="00296BB8" w:rsidP="00AF3CBA">
            <w:pPr>
              <w:jc w:val="right"/>
              <w:rPr>
                <w:lang w:eastAsia="en-GB"/>
              </w:rPr>
            </w:pPr>
            <w:r w:rsidRPr="00A52AEE">
              <w:rPr>
                <w:lang w:eastAsia="en-GB"/>
              </w:rPr>
              <w:t>9%</w:t>
            </w:r>
          </w:p>
        </w:tc>
      </w:tr>
    </w:tbl>
    <w:p w14:paraId="2DB72578" w14:textId="77777777" w:rsidR="00296BB8" w:rsidRPr="00A52AEE" w:rsidRDefault="00296BB8" w:rsidP="00A52AEE"/>
    <w:p w14:paraId="010527B2" w14:textId="71F85D61" w:rsidR="00296BB8" w:rsidRPr="00A52AEE" w:rsidRDefault="00CE4337" w:rsidP="008D527A">
      <w:pPr>
        <w:pStyle w:val="Heading2"/>
      </w:pPr>
      <w:bookmarkStart w:id="110" w:name="_Toc411437032"/>
      <w:bookmarkStart w:id="111" w:name="_Toc429151329"/>
      <w:r w:rsidRPr="00A52AEE">
        <w:t>5.5</w:t>
      </w:r>
      <w:r w:rsidRPr="00A52AEE">
        <w:tab/>
      </w:r>
      <w:r w:rsidR="00296BB8" w:rsidRPr="00A52AEE">
        <w:t>Progression rates by qualification type</w:t>
      </w:r>
      <w:bookmarkEnd w:id="110"/>
      <w:bookmarkEnd w:id="111"/>
      <w:r w:rsidR="00296BB8" w:rsidRPr="00A52AEE">
        <w:t xml:space="preserve"> </w:t>
      </w:r>
    </w:p>
    <w:p w14:paraId="51C9620C" w14:textId="24C6A2C2" w:rsidR="00296BB8" w:rsidRPr="00A52AEE" w:rsidRDefault="00296BB8" w:rsidP="00A52AEE">
      <w:pPr>
        <w:rPr>
          <w:lang w:eastAsia="en-GB"/>
        </w:rPr>
      </w:pPr>
      <w:r w:rsidRPr="00A52AEE">
        <w:rPr>
          <w:lang w:eastAsia="en-GB"/>
        </w:rPr>
        <w:t xml:space="preserve">Not surprisingly, the progression rates of </w:t>
      </w:r>
      <w:r w:rsidR="00842186" w:rsidRPr="00A52AEE">
        <w:rPr>
          <w:lang w:eastAsia="en-GB"/>
        </w:rPr>
        <w:t>student</w:t>
      </w:r>
      <w:r w:rsidRPr="00A52AEE">
        <w:rPr>
          <w:lang w:eastAsia="en-GB"/>
        </w:rPr>
        <w:t xml:space="preserve">s studying A </w:t>
      </w:r>
      <w:r w:rsidR="0021637B" w:rsidRPr="00A52AEE">
        <w:rPr>
          <w:lang w:eastAsia="en-GB"/>
        </w:rPr>
        <w:t>Level</w:t>
      </w:r>
      <w:r w:rsidRPr="00A52AEE">
        <w:rPr>
          <w:lang w:eastAsia="en-GB"/>
        </w:rPr>
        <w:t xml:space="preserve"> qualifications in </w:t>
      </w:r>
      <w:r w:rsidR="0076166E" w:rsidRPr="00A52AEE">
        <w:rPr>
          <w:lang w:eastAsia="en-GB"/>
        </w:rPr>
        <w:t>London</w:t>
      </w:r>
      <w:r w:rsidRPr="00A52AEE">
        <w:rPr>
          <w:lang w:eastAsia="en-GB"/>
        </w:rPr>
        <w:t xml:space="preserve"> colleges are higher than </w:t>
      </w:r>
      <w:r w:rsidR="00842186" w:rsidRPr="00A52AEE">
        <w:rPr>
          <w:lang w:eastAsia="en-GB"/>
        </w:rPr>
        <w:t>student</w:t>
      </w:r>
      <w:r w:rsidRPr="00A52AEE">
        <w:rPr>
          <w:lang w:eastAsia="en-GB"/>
        </w:rPr>
        <w:t xml:space="preserve">s in any other group, where up until 2011, around three in four </w:t>
      </w:r>
      <w:r w:rsidR="00842186" w:rsidRPr="00A52AEE">
        <w:rPr>
          <w:lang w:eastAsia="en-GB"/>
        </w:rPr>
        <w:t>student</w:t>
      </w:r>
      <w:r w:rsidRPr="00A52AEE">
        <w:rPr>
          <w:lang w:eastAsia="en-GB"/>
        </w:rPr>
        <w:t xml:space="preserve">s progressed. The rate dropped for the 2011 cohort who entered in 2012-13 to its lowest rate of 68% (-7%points).  Access to HE students had the next highest progression rate and also saw a dip for 2011 </w:t>
      </w:r>
      <w:r w:rsidR="00842186" w:rsidRPr="00A52AEE">
        <w:rPr>
          <w:lang w:eastAsia="en-GB"/>
        </w:rPr>
        <w:t>student</w:t>
      </w:r>
      <w:r w:rsidRPr="00A52AEE">
        <w:rPr>
          <w:lang w:eastAsia="en-GB"/>
        </w:rPr>
        <w:t xml:space="preserve">s entering HE in 2012-13 (-5% points).  BTEC </w:t>
      </w:r>
      <w:r w:rsidR="00842186" w:rsidRPr="00A52AEE">
        <w:rPr>
          <w:lang w:eastAsia="en-GB"/>
        </w:rPr>
        <w:t>student</w:t>
      </w:r>
      <w:r w:rsidRPr="00A52AEE">
        <w:rPr>
          <w:lang w:eastAsia="en-GB"/>
        </w:rPr>
        <w:t xml:space="preserve"> progression ranged between </w:t>
      </w:r>
      <w:r w:rsidR="005F7415" w:rsidRPr="00A52AEE">
        <w:rPr>
          <w:lang w:eastAsia="en-GB"/>
        </w:rPr>
        <w:t>37</w:t>
      </w:r>
      <w:r w:rsidR="00BE09C2">
        <w:rPr>
          <w:lang w:eastAsia="en-GB"/>
        </w:rPr>
        <w:t>%</w:t>
      </w:r>
      <w:r w:rsidR="005F7415" w:rsidRPr="00A52AEE">
        <w:rPr>
          <w:lang w:eastAsia="en-GB"/>
        </w:rPr>
        <w:t xml:space="preserve"> </w:t>
      </w:r>
      <w:r w:rsidR="006101C5">
        <w:rPr>
          <w:lang w:eastAsia="en-GB"/>
        </w:rPr>
        <w:t xml:space="preserve">and 58% </w:t>
      </w:r>
      <w:r w:rsidR="005F7415" w:rsidRPr="00A52AEE">
        <w:rPr>
          <w:lang w:eastAsia="en-GB"/>
        </w:rPr>
        <w:t xml:space="preserve">for the latest cohort in 2011. This significant dip is likely due to a combination of factors, the fee increase for 2012 HE entrants and the fact that the BTEC population was much larger in this year </w:t>
      </w:r>
      <w:r w:rsidR="00AF3CBA">
        <w:rPr>
          <w:lang w:eastAsia="en-GB"/>
        </w:rPr>
        <w:t>resulting in</w:t>
      </w:r>
      <w:r w:rsidR="005F7415" w:rsidRPr="00A52AEE">
        <w:rPr>
          <w:lang w:eastAsia="en-GB"/>
        </w:rPr>
        <w:t xml:space="preserve"> progression not </w:t>
      </w:r>
      <w:r w:rsidR="00AF3CBA">
        <w:rPr>
          <w:lang w:eastAsia="en-GB"/>
        </w:rPr>
        <w:t xml:space="preserve">being </w:t>
      </w:r>
      <w:r w:rsidR="005F7415" w:rsidRPr="00A52AEE">
        <w:rPr>
          <w:lang w:eastAsia="en-GB"/>
        </w:rPr>
        <w:t xml:space="preserve">sustained at the same </w:t>
      </w:r>
      <w:r w:rsidR="00AF3CBA">
        <w:rPr>
          <w:lang w:eastAsia="en-GB"/>
        </w:rPr>
        <w:t>r</w:t>
      </w:r>
      <w:r w:rsidR="005F7415" w:rsidRPr="00A52AEE">
        <w:rPr>
          <w:lang w:eastAsia="en-GB"/>
        </w:rPr>
        <w:t xml:space="preserve">ate as </w:t>
      </w:r>
      <w:r w:rsidR="00AF3CBA">
        <w:rPr>
          <w:lang w:eastAsia="en-GB"/>
        </w:rPr>
        <w:t xml:space="preserve">for </w:t>
      </w:r>
      <w:r w:rsidR="005F7415" w:rsidRPr="00A52AEE">
        <w:rPr>
          <w:lang w:eastAsia="en-GB"/>
        </w:rPr>
        <w:t>earlier cohorts.</w:t>
      </w:r>
    </w:p>
    <w:p w14:paraId="225EDE9A" w14:textId="77777777" w:rsidR="00296BB8" w:rsidRPr="00A52AEE" w:rsidRDefault="00296BB8" w:rsidP="00A52AEE">
      <w:pPr>
        <w:rPr>
          <w:lang w:eastAsia="en-GB"/>
        </w:rPr>
      </w:pPr>
    </w:p>
    <w:p w14:paraId="058AA957" w14:textId="5578C427" w:rsidR="00296BB8" w:rsidRPr="00AF3CBA" w:rsidRDefault="00296BB8" w:rsidP="00A52AEE">
      <w:pPr>
        <w:rPr>
          <w:b/>
        </w:rPr>
      </w:pPr>
      <w:r w:rsidRPr="00AF3CBA">
        <w:rPr>
          <w:b/>
        </w:rPr>
        <w:t xml:space="preserve">Table </w:t>
      </w:r>
      <w:r w:rsidR="001068A2" w:rsidRPr="00AF3CBA">
        <w:rPr>
          <w:b/>
        </w:rPr>
        <w:t>2</w:t>
      </w:r>
      <w:r w:rsidR="004D2866">
        <w:rPr>
          <w:b/>
        </w:rPr>
        <w:t>4</w:t>
      </w:r>
      <w:r w:rsidRPr="00AF3CBA">
        <w:rPr>
          <w:b/>
        </w:rPr>
        <w:t xml:space="preserve">: Immediate HE progression by FE college </w:t>
      </w:r>
      <w:r w:rsidR="0021637B" w:rsidRPr="00AF3CBA">
        <w:rPr>
          <w:b/>
        </w:rPr>
        <w:t>Level</w:t>
      </w:r>
      <w:r w:rsidRPr="00AF3CBA">
        <w:rPr>
          <w:b/>
        </w:rPr>
        <w:t xml:space="preserve"> 3 qualification type</w:t>
      </w:r>
    </w:p>
    <w:p w14:paraId="60234F24" w14:textId="77777777" w:rsidR="00CE4337" w:rsidRPr="00A52AEE" w:rsidRDefault="00CE4337" w:rsidP="00A52AEE"/>
    <w:tbl>
      <w:tblPr>
        <w:tblW w:w="9311" w:type="dxa"/>
        <w:tblInd w:w="118" w:type="dxa"/>
        <w:tblLook w:val="04A0" w:firstRow="1" w:lastRow="0" w:firstColumn="1" w:lastColumn="0" w:noHBand="0" w:noVBand="1"/>
      </w:tblPr>
      <w:tblGrid>
        <w:gridCol w:w="1124"/>
        <w:gridCol w:w="1843"/>
        <w:gridCol w:w="1057"/>
        <w:gridCol w:w="928"/>
        <w:gridCol w:w="1232"/>
        <w:gridCol w:w="960"/>
        <w:gridCol w:w="737"/>
        <w:gridCol w:w="1430"/>
      </w:tblGrid>
      <w:tr w:rsidR="00CE4337" w:rsidRPr="00AF3CBA" w14:paraId="00AAC65C" w14:textId="77777777" w:rsidTr="00CE4337">
        <w:trPr>
          <w:trHeight w:val="960"/>
          <w:tblHeader/>
        </w:trPr>
        <w:tc>
          <w:tcPr>
            <w:tcW w:w="1124" w:type="dxa"/>
            <w:tcBorders>
              <w:top w:val="single" w:sz="8" w:space="0" w:color="auto"/>
              <w:left w:val="single" w:sz="8" w:space="0" w:color="auto"/>
              <w:bottom w:val="single" w:sz="8" w:space="0" w:color="auto"/>
              <w:right w:val="single" w:sz="8" w:space="0" w:color="auto"/>
            </w:tcBorders>
            <w:shd w:val="clear" w:color="auto" w:fill="1F4E79" w:themeFill="accent1" w:themeFillShade="80"/>
            <w:vAlign w:val="center"/>
            <w:hideMark/>
          </w:tcPr>
          <w:p w14:paraId="6E5C8589" w14:textId="22F1B841" w:rsidR="00296BB8" w:rsidRPr="00AF3CBA" w:rsidRDefault="00296BB8" w:rsidP="00AF3CBA">
            <w:pPr>
              <w:rPr>
                <w:b/>
                <w:color w:val="FFFFFF" w:themeColor="background1"/>
                <w:lang w:eastAsia="en-GB"/>
              </w:rPr>
            </w:pPr>
            <w:r w:rsidRPr="00AF3CBA">
              <w:rPr>
                <w:b/>
                <w:color w:val="FFFFFF" w:themeColor="background1"/>
                <w:lang w:eastAsia="en-GB"/>
              </w:rPr>
              <w:t xml:space="preserve">FE </w:t>
            </w:r>
            <w:r w:rsidR="0021637B" w:rsidRPr="00AF3CBA">
              <w:rPr>
                <w:b/>
                <w:color w:val="FFFFFF" w:themeColor="background1"/>
                <w:lang w:eastAsia="en-GB"/>
              </w:rPr>
              <w:t>Level</w:t>
            </w:r>
            <w:r w:rsidRPr="00AF3CBA">
              <w:rPr>
                <w:b/>
                <w:color w:val="FFFFFF" w:themeColor="background1"/>
                <w:lang w:eastAsia="en-GB"/>
              </w:rPr>
              <w:t xml:space="preserve"> 3 cohort</w:t>
            </w:r>
          </w:p>
        </w:tc>
        <w:tc>
          <w:tcPr>
            <w:tcW w:w="1843" w:type="dxa"/>
            <w:tcBorders>
              <w:top w:val="single" w:sz="8" w:space="0" w:color="auto"/>
              <w:left w:val="nil"/>
              <w:bottom w:val="single" w:sz="8" w:space="0" w:color="auto"/>
              <w:right w:val="single" w:sz="8" w:space="0" w:color="auto"/>
            </w:tcBorders>
            <w:shd w:val="clear" w:color="auto" w:fill="1F4E79" w:themeFill="accent1" w:themeFillShade="80"/>
            <w:noWrap/>
            <w:vAlign w:val="center"/>
            <w:hideMark/>
          </w:tcPr>
          <w:p w14:paraId="6E7BD885" w14:textId="23A6F371" w:rsidR="00296BB8" w:rsidRPr="00AF3CBA" w:rsidRDefault="00296BB8" w:rsidP="00AF3CBA">
            <w:pPr>
              <w:jc w:val="center"/>
              <w:rPr>
                <w:b/>
                <w:color w:val="FFFFFF" w:themeColor="background1"/>
                <w:lang w:eastAsia="en-GB"/>
              </w:rPr>
            </w:pPr>
          </w:p>
        </w:tc>
        <w:tc>
          <w:tcPr>
            <w:tcW w:w="1057"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202E5AFB"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Access</w:t>
            </w:r>
          </w:p>
        </w:tc>
        <w:tc>
          <w:tcPr>
            <w:tcW w:w="928"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2D6521FB"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BTEC</w:t>
            </w:r>
          </w:p>
        </w:tc>
        <w:tc>
          <w:tcPr>
            <w:tcW w:w="1232"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1BD56903" w14:textId="4C69CDB7" w:rsidR="00296BB8" w:rsidRPr="00AF3CBA" w:rsidRDefault="00296BB8" w:rsidP="00AF3CBA">
            <w:pPr>
              <w:jc w:val="center"/>
              <w:rPr>
                <w:b/>
                <w:color w:val="FFFFFF" w:themeColor="background1"/>
                <w:lang w:eastAsia="en-GB"/>
              </w:rPr>
            </w:pPr>
            <w:r w:rsidRPr="00AF3CBA">
              <w:rPr>
                <w:b/>
                <w:color w:val="FFFFFF" w:themeColor="background1"/>
                <w:lang w:eastAsia="en-GB"/>
              </w:rPr>
              <w:t>GCE A</w:t>
            </w:r>
            <w:r w:rsidR="00AF3CBA">
              <w:rPr>
                <w:b/>
                <w:color w:val="FFFFFF" w:themeColor="background1"/>
                <w:lang w:eastAsia="en-GB"/>
              </w:rPr>
              <w:t xml:space="preserve"> </w:t>
            </w:r>
            <w:r w:rsidRPr="00AF3CBA">
              <w:rPr>
                <w:b/>
                <w:color w:val="FFFFFF" w:themeColor="background1"/>
                <w:lang w:eastAsia="en-GB"/>
              </w:rPr>
              <w:t>Level /IB</w:t>
            </w:r>
          </w:p>
        </w:tc>
        <w:tc>
          <w:tcPr>
            <w:tcW w:w="960"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652A4EDC" w14:textId="56D5EE8C" w:rsidR="00296BB8" w:rsidRPr="00AF3CBA" w:rsidRDefault="00296BB8" w:rsidP="00AF3CBA">
            <w:pPr>
              <w:jc w:val="center"/>
              <w:rPr>
                <w:b/>
                <w:color w:val="FFFFFF" w:themeColor="background1"/>
                <w:lang w:eastAsia="en-GB"/>
              </w:rPr>
            </w:pPr>
            <w:r w:rsidRPr="00AF3CBA">
              <w:rPr>
                <w:b/>
                <w:color w:val="FFFFFF" w:themeColor="background1"/>
                <w:lang w:eastAsia="en-GB"/>
              </w:rPr>
              <w:t>GCE AS</w:t>
            </w:r>
          </w:p>
        </w:tc>
        <w:tc>
          <w:tcPr>
            <w:tcW w:w="737"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232045A9"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NVQ</w:t>
            </w:r>
          </w:p>
        </w:tc>
        <w:tc>
          <w:tcPr>
            <w:tcW w:w="1430"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281D21EA" w14:textId="77777777" w:rsidR="00296BB8" w:rsidRPr="00AF3CBA" w:rsidRDefault="00296BB8" w:rsidP="00AF3CBA">
            <w:pPr>
              <w:jc w:val="center"/>
              <w:rPr>
                <w:b/>
                <w:color w:val="FFFFFF" w:themeColor="background1"/>
                <w:lang w:eastAsia="en-GB"/>
              </w:rPr>
            </w:pPr>
            <w:r w:rsidRPr="00AF3CBA">
              <w:rPr>
                <w:b/>
                <w:color w:val="FFFFFF" w:themeColor="background1"/>
                <w:lang w:eastAsia="en-GB"/>
              </w:rPr>
              <w:t>Other Vocational</w:t>
            </w:r>
          </w:p>
        </w:tc>
      </w:tr>
      <w:tr w:rsidR="00296BB8" w:rsidRPr="00A52AEE" w14:paraId="52242526" w14:textId="77777777" w:rsidTr="00CE4337">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32885B50" w14:textId="77777777" w:rsidR="00296BB8" w:rsidRPr="00A52AEE" w:rsidRDefault="00296BB8" w:rsidP="00A52AEE">
            <w:pPr>
              <w:rPr>
                <w:lang w:eastAsia="en-GB"/>
              </w:rPr>
            </w:pPr>
            <w:r w:rsidRPr="00A52AEE">
              <w:rPr>
                <w:lang w:eastAsia="en-GB"/>
              </w:rPr>
              <w:t>2007-08</w:t>
            </w:r>
          </w:p>
        </w:tc>
        <w:tc>
          <w:tcPr>
            <w:tcW w:w="1843" w:type="dxa"/>
            <w:tcBorders>
              <w:top w:val="nil"/>
              <w:left w:val="nil"/>
              <w:bottom w:val="single" w:sz="8" w:space="0" w:color="auto"/>
              <w:right w:val="single" w:sz="8" w:space="0" w:color="auto"/>
            </w:tcBorders>
            <w:shd w:val="clear" w:color="auto" w:fill="auto"/>
            <w:noWrap/>
            <w:vAlign w:val="center"/>
            <w:hideMark/>
          </w:tcPr>
          <w:p w14:paraId="3423E621" w14:textId="77777777" w:rsidR="00296BB8" w:rsidRPr="00A52AEE" w:rsidRDefault="00296BB8" w:rsidP="00A52AEE">
            <w:pPr>
              <w:rPr>
                <w:lang w:eastAsia="en-GB"/>
              </w:rPr>
            </w:pPr>
            <w:r w:rsidRPr="00A52AEE">
              <w:rPr>
                <w:lang w:eastAsia="en-GB"/>
              </w:rPr>
              <w:t>Cohort Number</w:t>
            </w:r>
          </w:p>
        </w:tc>
        <w:tc>
          <w:tcPr>
            <w:tcW w:w="1057" w:type="dxa"/>
            <w:tcBorders>
              <w:top w:val="nil"/>
              <w:left w:val="nil"/>
              <w:bottom w:val="single" w:sz="8" w:space="0" w:color="auto"/>
              <w:right w:val="single" w:sz="8" w:space="0" w:color="auto"/>
            </w:tcBorders>
            <w:shd w:val="clear" w:color="auto" w:fill="auto"/>
            <w:noWrap/>
            <w:vAlign w:val="center"/>
            <w:hideMark/>
          </w:tcPr>
          <w:p w14:paraId="60404BB4" w14:textId="77777777" w:rsidR="00296BB8" w:rsidRPr="00A52AEE" w:rsidRDefault="00296BB8" w:rsidP="009A2373">
            <w:pPr>
              <w:jc w:val="right"/>
              <w:rPr>
                <w:lang w:eastAsia="en-GB"/>
              </w:rPr>
            </w:pPr>
            <w:r w:rsidRPr="00A52AEE">
              <w:rPr>
                <w:lang w:eastAsia="en-GB"/>
              </w:rPr>
              <w:t>3995</w:t>
            </w:r>
          </w:p>
        </w:tc>
        <w:tc>
          <w:tcPr>
            <w:tcW w:w="928" w:type="dxa"/>
            <w:tcBorders>
              <w:top w:val="nil"/>
              <w:left w:val="nil"/>
              <w:bottom w:val="single" w:sz="8" w:space="0" w:color="auto"/>
              <w:right w:val="single" w:sz="8" w:space="0" w:color="auto"/>
            </w:tcBorders>
            <w:shd w:val="clear" w:color="auto" w:fill="auto"/>
            <w:noWrap/>
            <w:vAlign w:val="center"/>
            <w:hideMark/>
          </w:tcPr>
          <w:p w14:paraId="1DA51411" w14:textId="77777777" w:rsidR="00296BB8" w:rsidRPr="00A52AEE" w:rsidRDefault="00296BB8" w:rsidP="009A2373">
            <w:pPr>
              <w:jc w:val="right"/>
              <w:rPr>
                <w:lang w:eastAsia="en-GB"/>
              </w:rPr>
            </w:pPr>
            <w:r w:rsidRPr="00A52AEE">
              <w:rPr>
                <w:lang w:eastAsia="en-GB"/>
              </w:rPr>
              <w:t>9650</w:t>
            </w:r>
          </w:p>
        </w:tc>
        <w:tc>
          <w:tcPr>
            <w:tcW w:w="1232" w:type="dxa"/>
            <w:tcBorders>
              <w:top w:val="nil"/>
              <w:left w:val="nil"/>
              <w:bottom w:val="single" w:sz="8" w:space="0" w:color="auto"/>
              <w:right w:val="single" w:sz="8" w:space="0" w:color="auto"/>
            </w:tcBorders>
            <w:shd w:val="clear" w:color="auto" w:fill="auto"/>
            <w:noWrap/>
            <w:vAlign w:val="center"/>
            <w:hideMark/>
          </w:tcPr>
          <w:p w14:paraId="60FF9FE6" w14:textId="77777777" w:rsidR="00296BB8" w:rsidRPr="00A52AEE" w:rsidRDefault="00296BB8" w:rsidP="009A2373">
            <w:pPr>
              <w:jc w:val="right"/>
              <w:rPr>
                <w:lang w:eastAsia="en-GB"/>
              </w:rPr>
            </w:pPr>
            <w:r w:rsidRPr="00A52AEE">
              <w:rPr>
                <w:lang w:eastAsia="en-GB"/>
              </w:rPr>
              <w:t>9550</w:t>
            </w:r>
          </w:p>
        </w:tc>
        <w:tc>
          <w:tcPr>
            <w:tcW w:w="960" w:type="dxa"/>
            <w:tcBorders>
              <w:top w:val="nil"/>
              <w:left w:val="nil"/>
              <w:bottom w:val="single" w:sz="8" w:space="0" w:color="auto"/>
              <w:right w:val="single" w:sz="8" w:space="0" w:color="auto"/>
            </w:tcBorders>
            <w:shd w:val="clear" w:color="auto" w:fill="auto"/>
            <w:noWrap/>
            <w:vAlign w:val="center"/>
            <w:hideMark/>
          </w:tcPr>
          <w:p w14:paraId="49A61E95" w14:textId="77777777" w:rsidR="00296BB8" w:rsidRPr="00A52AEE" w:rsidRDefault="00296BB8" w:rsidP="009A2373">
            <w:pPr>
              <w:jc w:val="right"/>
              <w:rPr>
                <w:lang w:eastAsia="en-GB"/>
              </w:rPr>
            </w:pPr>
            <w:r w:rsidRPr="00A52AEE">
              <w:rPr>
                <w:lang w:eastAsia="en-GB"/>
              </w:rPr>
              <w:t>1170</w:t>
            </w:r>
          </w:p>
        </w:tc>
        <w:tc>
          <w:tcPr>
            <w:tcW w:w="737" w:type="dxa"/>
            <w:tcBorders>
              <w:top w:val="nil"/>
              <w:left w:val="nil"/>
              <w:bottom w:val="single" w:sz="8" w:space="0" w:color="auto"/>
              <w:right w:val="single" w:sz="8" w:space="0" w:color="auto"/>
            </w:tcBorders>
            <w:shd w:val="clear" w:color="auto" w:fill="auto"/>
            <w:noWrap/>
            <w:vAlign w:val="center"/>
            <w:hideMark/>
          </w:tcPr>
          <w:p w14:paraId="04F026C7" w14:textId="77777777" w:rsidR="00296BB8" w:rsidRPr="00A52AEE" w:rsidRDefault="00296BB8" w:rsidP="009A2373">
            <w:pPr>
              <w:jc w:val="right"/>
              <w:rPr>
                <w:lang w:eastAsia="en-GB"/>
              </w:rPr>
            </w:pPr>
            <w:r w:rsidRPr="00A52AEE">
              <w:rPr>
                <w:lang w:eastAsia="en-GB"/>
              </w:rPr>
              <w:t>4965</w:t>
            </w:r>
          </w:p>
        </w:tc>
        <w:tc>
          <w:tcPr>
            <w:tcW w:w="1430" w:type="dxa"/>
            <w:tcBorders>
              <w:top w:val="nil"/>
              <w:left w:val="nil"/>
              <w:bottom w:val="single" w:sz="8" w:space="0" w:color="auto"/>
              <w:right w:val="single" w:sz="8" w:space="0" w:color="auto"/>
            </w:tcBorders>
            <w:shd w:val="clear" w:color="auto" w:fill="auto"/>
            <w:noWrap/>
            <w:vAlign w:val="center"/>
            <w:hideMark/>
          </w:tcPr>
          <w:p w14:paraId="0C0C624F" w14:textId="77777777" w:rsidR="00296BB8" w:rsidRPr="00A52AEE" w:rsidRDefault="00296BB8" w:rsidP="009A2373">
            <w:pPr>
              <w:jc w:val="right"/>
              <w:rPr>
                <w:lang w:eastAsia="en-GB"/>
              </w:rPr>
            </w:pPr>
            <w:r w:rsidRPr="00A52AEE">
              <w:rPr>
                <w:lang w:eastAsia="en-GB"/>
              </w:rPr>
              <w:t>12730</w:t>
            </w:r>
          </w:p>
        </w:tc>
      </w:tr>
      <w:tr w:rsidR="00296BB8" w:rsidRPr="00A52AEE" w14:paraId="0E7D5BBD" w14:textId="77777777" w:rsidTr="00CE4337">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FB20256"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7B108DC8" w14:textId="77777777" w:rsidR="00296BB8" w:rsidRPr="00A52AEE" w:rsidRDefault="00296BB8" w:rsidP="00A52AEE">
            <w:pPr>
              <w:rPr>
                <w:lang w:eastAsia="en-GB"/>
              </w:rPr>
            </w:pPr>
            <w:r w:rsidRPr="00A52AEE">
              <w:rPr>
                <w:lang w:eastAsia="en-GB"/>
              </w:rPr>
              <w:t>HE entrants</w:t>
            </w:r>
          </w:p>
        </w:tc>
        <w:tc>
          <w:tcPr>
            <w:tcW w:w="1057" w:type="dxa"/>
            <w:tcBorders>
              <w:top w:val="nil"/>
              <w:left w:val="nil"/>
              <w:bottom w:val="single" w:sz="8" w:space="0" w:color="auto"/>
              <w:right w:val="single" w:sz="8" w:space="0" w:color="auto"/>
            </w:tcBorders>
            <w:shd w:val="clear" w:color="auto" w:fill="auto"/>
            <w:noWrap/>
            <w:vAlign w:val="center"/>
            <w:hideMark/>
          </w:tcPr>
          <w:p w14:paraId="451C2B1D" w14:textId="77777777" w:rsidR="00296BB8" w:rsidRPr="00A52AEE" w:rsidRDefault="00296BB8" w:rsidP="009A2373">
            <w:pPr>
              <w:jc w:val="right"/>
              <w:rPr>
                <w:lang w:eastAsia="en-GB"/>
              </w:rPr>
            </w:pPr>
            <w:r w:rsidRPr="00A52AEE">
              <w:rPr>
                <w:lang w:eastAsia="en-GB"/>
              </w:rPr>
              <w:t>2755</w:t>
            </w:r>
          </w:p>
        </w:tc>
        <w:tc>
          <w:tcPr>
            <w:tcW w:w="928" w:type="dxa"/>
            <w:tcBorders>
              <w:top w:val="nil"/>
              <w:left w:val="nil"/>
              <w:bottom w:val="single" w:sz="8" w:space="0" w:color="auto"/>
              <w:right w:val="single" w:sz="8" w:space="0" w:color="auto"/>
            </w:tcBorders>
            <w:shd w:val="clear" w:color="auto" w:fill="auto"/>
            <w:noWrap/>
            <w:vAlign w:val="center"/>
            <w:hideMark/>
          </w:tcPr>
          <w:p w14:paraId="64AEE24E" w14:textId="77777777" w:rsidR="00296BB8" w:rsidRPr="00A52AEE" w:rsidRDefault="00296BB8" w:rsidP="009A2373">
            <w:pPr>
              <w:jc w:val="right"/>
              <w:rPr>
                <w:lang w:eastAsia="en-GB"/>
              </w:rPr>
            </w:pPr>
            <w:r w:rsidRPr="00A52AEE">
              <w:rPr>
                <w:lang w:eastAsia="en-GB"/>
              </w:rPr>
              <w:t>5600</w:t>
            </w:r>
          </w:p>
        </w:tc>
        <w:tc>
          <w:tcPr>
            <w:tcW w:w="1232" w:type="dxa"/>
            <w:tcBorders>
              <w:top w:val="nil"/>
              <w:left w:val="nil"/>
              <w:bottom w:val="single" w:sz="8" w:space="0" w:color="auto"/>
              <w:right w:val="single" w:sz="8" w:space="0" w:color="auto"/>
            </w:tcBorders>
            <w:shd w:val="clear" w:color="auto" w:fill="auto"/>
            <w:noWrap/>
            <w:vAlign w:val="center"/>
            <w:hideMark/>
          </w:tcPr>
          <w:p w14:paraId="242CC452" w14:textId="77777777" w:rsidR="00296BB8" w:rsidRPr="00A52AEE" w:rsidRDefault="00296BB8" w:rsidP="009A2373">
            <w:pPr>
              <w:jc w:val="right"/>
              <w:rPr>
                <w:lang w:eastAsia="en-GB"/>
              </w:rPr>
            </w:pPr>
            <w:r w:rsidRPr="00A52AEE">
              <w:rPr>
                <w:lang w:eastAsia="en-GB"/>
              </w:rPr>
              <w:t>7190</w:t>
            </w:r>
          </w:p>
        </w:tc>
        <w:tc>
          <w:tcPr>
            <w:tcW w:w="960" w:type="dxa"/>
            <w:tcBorders>
              <w:top w:val="nil"/>
              <w:left w:val="nil"/>
              <w:bottom w:val="single" w:sz="8" w:space="0" w:color="auto"/>
              <w:right w:val="single" w:sz="8" w:space="0" w:color="auto"/>
            </w:tcBorders>
            <w:shd w:val="clear" w:color="auto" w:fill="auto"/>
            <w:noWrap/>
            <w:vAlign w:val="center"/>
            <w:hideMark/>
          </w:tcPr>
          <w:p w14:paraId="64744C89" w14:textId="77777777" w:rsidR="00296BB8" w:rsidRPr="00A52AEE" w:rsidRDefault="00296BB8" w:rsidP="009A2373">
            <w:pPr>
              <w:jc w:val="right"/>
              <w:rPr>
                <w:lang w:eastAsia="en-GB"/>
              </w:rPr>
            </w:pPr>
            <w:r w:rsidRPr="00A52AEE">
              <w:rPr>
                <w:lang w:eastAsia="en-GB"/>
              </w:rPr>
              <w:t>575</w:t>
            </w:r>
          </w:p>
        </w:tc>
        <w:tc>
          <w:tcPr>
            <w:tcW w:w="737" w:type="dxa"/>
            <w:tcBorders>
              <w:top w:val="nil"/>
              <w:left w:val="nil"/>
              <w:bottom w:val="single" w:sz="8" w:space="0" w:color="auto"/>
              <w:right w:val="single" w:sz="8" w:space="0" w:color="auto"/>
            </w:tcBorders>
            <w:shd w:val="clear" w:color="auto" w:fill="auto"/>
            <w:noWrap/>
            <w:vAlign w:val="center"/>
            <w:hideMark/>
          </w:tcPr>
          <w:p w14:paraId="5CA9204D" w14:textId="77777777" w:rsidR="00296BB8" w:rsidRPr="00A52AEE" w:rsidRDefault="00296BB8" w:rsidP="009A2373">
            <w:pPr>
              <w:jc w:val="right"/>
              <w:rPr>
                <w:lang w:eastAsia="en-GB"/>
              </w:rPr>
            </w:pPr>
            <w:r w:rsidRPr="00A52AEE">
              <w:rPr>
                <w:lang w:eastAsia="en-GB"/>
              </w:rPr>
              <w:t>455</w:t>
            </w:r>
          </w:p>
        </w:tc>
        <w:tc>
          <w:tcPr>
            <w:tcW w:w="1430" w:type="dxa"/>
            <w:tcBorders>
              <w:top w:val="nil"/>
              <w:left w:val="nil"/>
              <w:bottom w:val="single" w:sz="8" w:space="0" w:color="auto"/>
              <w:right w:val="single" w:sz="8" w:space="0" w:color="auto"/>
            </w:tcBorders>
            <w:shd w:val="clear" w:color="auto" w:fill="auto"/>
            <w:noWrap/>
            <w:vAlign w:val="center"/>
            <w:hideMark/>
          </w:tcPr>
          <w:p w14:paraId="5F48FF77" w14:textId="77777777" w:rsidR="00296BB8" w:rsidRPr="00A52AEE" w:rsidRDefault="00296BB8" w:rsidP="009A2373">
            <w:pPr>
              <w:jc w:val="right"/>
              <w:rPr>
                <w:lang w:eastAsia="en-GB"/>
              </w:rPr>
            </w:pPr>
            <w:r w:rsidRPr="00A52AEE">
              <w:rPr>
                <w:lang w:eastAsia="en-GB"/>
              </w:rPr>
              <w:t>1140</w:t>
            </w:r>
          </w:p>
        </w:tc>
      </w:tr>
      <w:tr w:rsidR="00296BB8" w:rsidRPr="00A52AEE" w14:paraId="4BAE1967" w14:textId="77777777" w:rsidTr="00CE4337">
        <w:trPr>
          <w:trHeight w:val="330"/>
        </w:trPr>
        <w:tc>
          <w:tcPr>
            <w:tcW w:w="1124" w:type="dxa"/>
            <w:vMerge/>
            <w:tcBorders>
              <w:top w:val="nil"/>
              <w:left w:val="single" w:sz="8" w:space="0" w:color="auto"/>
              <w:bottom w:val="single" w:sz="8" w:space="0" w:color="000000"/>
              <w:right w:val="single" w:sz="8" w:space="0" w:color="auto"/>
            </w:tcBorders>
            <w:vAlign w:val="center"/>
            <w:hideMark/>
          </w:tcPr>
          <w:p w14:paraId="7A351D86"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62BAA2E7" w14:textId="77777777" w:rsidR="00296BB8" w:rsidRPr="00A52AEE" w:rsidRDefault="00296BB8" w:rsidP="00A52AEE">
            <w:pPr>
              <w:rPr>
                <w:lang w:eastAsia="en-GB"/>
              </w:rPr>
            </w:pPr>
            <w:r w:rsidRPr="00A52AEE">
              <w:rPr>
                <w:lang w:eastAsia="en-GB"/>
              </w:rPr>
              <w:t>% Total HE</w:t>
            </w:r>
          </w:p>
        </w:tc>
        <w:tc>
          <w:tcPr>
            <w:tcW w:w="1057" w:type="dxa"/>
            <w:tcBorders>
              <w:top w:val="nil"/>
              <w:left w:val="nil"/>
              <w:bottom w:val="single" w:sz="8" w:space="0" w:color="auto"/>
              <w:right w:val="single" w:sz="8" w:space="0" w:color="auto"/>
            </w:tcBorders>
            <w:shd w:val="clear" w:color="auto" w:fill="auto"/>
            <w:noWrap/>
            <w:vAlign w:val="center"/>
            <w:hideMark/>
          </w:tcPr>
          <w:p w14:paraId="2D085043" w14:textId="77777777" w:rsidR="00296BB8" w:rsidRPr="00A52AEE" w:rsidRDefault="00296BB8" w:rsidP="009A2373">
            <w:pPr>
              <w:jc w:val="right"/>
              <w:rPr>
                <w:lang w:eastAsia="en-GB"/>
              </w:rPr>
            </w:pPr>
            <w:r w:rsidRPr="00A52AEE">
              <w:rPr>
                <w:lang w:eastAsia="en-GB"/>
              </w:rPr>
              <w:t>69%</w:t>
            </w:r>
          </w:p>
        </w:tc>
        <w:tc>
          <w:tcPr>
            <w:tcW w:w="928" w:type="dxa"/>
            <w:tcBorders>
              <w:top w:val="nil"/>
              <w:left w:val="nil"/>
              <w:bottom w:val="single" w:sz="8" w:space="0" w:color="auto"/>
              <w:right w:val="single" w:sz="8" w:space="0" w:color="auto"/>
            </w:tcBorders>
            <w:shd w:val="clear" w:color="auto" w:fill="auto"/>
            <w:noWrap/>
            <w:vAlign w:val="center"/>
            <w:hideMark/>
          </w:tcPr>
          <w:p w14:paraId="32FBD3BC" w14:textId="77777777" w:rsidR="00296BB8" w:rsidRPr="00A52AEE" w:rsidRDefault="00296BB8" w:rsidP="009A2373">
            <w:pPr>
              <w:jc w:val="right"/>
              <w:rPr>
                <w:lang w:eastAsia="en-GB"/>
              </w:rPr>
            </w:pPr>
            <w:r w:rsidRPr="00A52AEE">
              <w:rPr>
                <w:lang w:eastAsia="en-GB"/>
              </w:rPr>
              <w:t>58%</w:t>
            </w:r>
          </w:p>
        </w:tc>
        <w:tc>
          <w:tcPr>
            <w:tcW w:w="1232" w:type="dxa"/>
            <w:tcBorders>
              <w:top w:val="nil"/>
              <w:left w:val="nil"/>
              <w:bottom w:val="single" w:sz="8" w:space="0" w:color="auto"/>
              <w:right w:val="single" w:sz="8" w:space="0" w:color="auto"/>
            </w:tcBorders>
            <w:shd w:val="clear" w:color="auto" w:fill="auto"/>
            <w:noWrap/>
            <w:vAlign w:val="center"/>
            <w:hideMark/>
          </w:tcPr>
          <w:p w14:paraId="01F6B263" w14:textId="77777777" w:rsidR="00296BB8" w:rsidRPr="00A52AEE" w:rsidRDefault="00296BB8" w:rsidP="009A2373">
            <w:pPr>
              <w:jc w:val="right"/>
              <w:rPr>
                <w:lang w:eastAsia="en-GB"/>
              </w:rPr>
            </w:pPr>
            <w:r w:rsidRPr="00A52AEE">
              <w:rPr>
                <w:lang w:eastAsia="en-GB"/>
              </w:rPr>
              <w:t>75%</w:t>
            </w:r>
          </w:p>
        </w:tc>
        <w:tc>
          <w:tcPr>
            <w:tcW w:w="960" w:type="dxa"/>
            <w:tcBorders>
              <w:top w:val="nil"/>
              <w:left w:val="nil"/>
              <w:bottom w:val="single" w:sz="8" w:space="0" w:color="auto"/>
              <w:right w:val="single" w:sz="8" w:space="0" w:color="auto"/>
            </w:tcBorders>
            <w:shd w:val="clear" w:color="auto" w:fill="auto"/>
            <w:noWrap/>
            <w:vAlign w:val="center"/>
            <w:hideMark/>
          </w:tcPr>
          <w:p w14:paraId="70262055" w14:textId="77777777" w:rsidR="00296BB8" w:rsidRPr="00A52AEE" w:rsidRDefault="00296BB8" w:rsidP="009A2373">
            <w:pPr>
              <w:jc w:val="right"/>
              <w:rPr>
                <w:lang w:eastAsia="en-GB"/>
              </w:rPr>
            </w:pPr>
            <w:r w:rsidRPr="00A52AEE">
              <w:rPr>
                <w:lang w:eastAsia="en-GB"/>
              </w:rPr>
              <w:t>49%</w:t>
            </w:r>
          </w:p>
        </w:tc>
        <w:tc>
          <w:tcPr>
            <w:tcW w:w="737" w:type="dxa"/>
            <w:tcBorders>
              <w:top w:val="nil"/>
              <w:left w:val="nil"/>
              <w:bottom w:val="single" w:sz="8" w:space="0" w:color="auto"/>
              <w:right w:val="single" w:sz="8" w:space="0" w:color="auto"/>
            </w:tcBorders>
            <w:shd w:val="clear" w:color="auto" w:fill="auto"/>
            <w:noWrap/>
            <w:vAlign w:val="center"/>
            <w:hideMark/>
          </w:tcPr>
          <w:p w14:paraId="01B348B5" w14:textId="77777777" w:rsidR="00296BB8" w:rsidRPr="00A52AEE" w:rsidRDefault="00296BB8" w:rsidP="009A2373">
            <w:pPr>
              <w:jc w:val="right"/>
              <w:rPr>
                <w:lang w:eastAsia="en-GB"/>
              </w:rPr>
            </w:pPr>
            <w:r w:rsidRPr="00A52AEE">
              <w:rPr>
                <w:lang w:eastAsia="en-GB"/>
              </w:rPr>
              <w:t>9%</w:t>
            </w:r>
          </w:p>
        </w:tc>
        <w:tc>
          <w:tcPr>
            <w:tcW w:w="1430" w:type="dxa"/>
            <w:tcBorders>
              <w:top w:val="nil"/>
              <w:left w:val="nil"/>
              <w:bottom w:val="single" w:sz="8" w:space="0" w:color="auto"/>
              <w:right w:val="single" w:sz="8" w:space="0" w:color="auto"/>
            </w:tcBorders>
            <w:shd w:val="clear" w:color="auto" w:fill="auto"/>
            <w:noWrap/>
            <w:vAlign w:val="center"/>
            <w:hideMark/>
          </w:tcPr>
          <w:p w14:paraId="55F8FA7B" w14:textId="77777777" w:rsidR="00296BB8" w:rsidRPr="00A52AEE" w:rsidRDefault="00296BB8" w:rsidP="009A2373">
            <w:pPr>
              <w:jc w:val="right"/>
              <w:rPr>
                <w:lang w:eastAsia="en-GB"/>
              </w:rPr>
            </w:pPr>
            <w:r w:rsidRPr="00A52AEE">
              <w:rPr>
                <w:lang w:eastAsia="en-GB"/>
              </w:rPr>
              <w:t>9%</w:t>
            </w:r>
          </w:p>
        </w:tc>
      </w:tr>
      <w:tr w:rsidR="00296BB8" w:rsidRPr="00A52AEE" w14:paraId="554B04D8" w14:textId="77777777" w:rsidTr="00CE4337">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7111514B" w14:textId="77777777" w:rsidR="00296BB8" w:rsidRPr="00A52AEE" w:rsidRDefault="00296BB8" w:rsidP="00A52AEE">
            <w:pPr>
              <w:rPr>
                <w:lang w:eastAsia="en-GB"/>
              </w:rPr>
            </w:pPr>
            <w:r w:rsidRPr="00A52AEE">
              <w:rPr>
                <w:lang w:eastAsia="en-GB"/>
              </w:rPr>
              <w:t>2008-09</w:t>
            </w:r>
          </w:p>
        </w:tc>
        <w:tc>
          <w:tcPr>
            <w:tcW w:w="1843" w:type="dxa"/>
            <w:tcBorders>
              <w:top w:val="nil"/>
              <w:left w:val="nil"/>
              <w:bottom w:val="single" w:sz="8" w:space="0" w:color="auto"/>
              <w:right w:val="single" w:sz="8" w:space="0" w:color="auto"/>
            </w:tcBorders>
            <w:shd w:val="clear" w:color="auto" w:fill="auto"/>
            <w:noWrap/>
            <w:vAlign w:val="center"/>
            <w:hideMark/>
          </w:tcPr>
          <w:p w14:paraId="40689206" w14:textId="77777777" w:rsidR="00296BB8" w:rsidRPr="00A52AEE" w:rsidRDefault="00296BB8" w:rsidP="00A52AEE">
            <w:pPr>
              <w:rPr>
                <w:lang w:eastAsia="en-GB"/>
              </w:rPr>
            </w:pPr>
            <w:r w:rsidRPr="00A52AEE">
              <w:rPr>
                <w:lang w:eastAsia="en-GB"/>
              </w:rPr>
              <w:t>Cohort Number</w:t>
            </w:r>
          </w:p>
        </w:tc>
        <w:tc>
          <w:tcPr>
            <w:tcW w:w="1057" w:type="dxa"/>
            <w:tcBorders>
              <w:top w:val="nil"/>
              <w:left w:val="nil"/>
              <w:bottom w:val="single" w:sz="8" w:space="0" w:color="auto"/>
              <w:right w:val="single" w:sz="8" w:space="0" w:color="auto"/>
            </w:tcBorders>
            <w:shd w:val="clear" w:color="auto" w:fill="auto"/>
            <w:noWrap/>
            <w:vAlign w:val="center"/>
            <w:hideMark/>
          </w:tcPr>
          <w:p w14:paraId="06B6B9B0" w14:textId="77777777" w:rsidR="00296BB8" w:rsidRPr="00A52AEE" w:rsidRDefault="00296BB8" w:rsidP="009A2373">
            <w:pPr>
              <w:jc w:val="right"/>
              <w:rPr>
                <w:lang w:eastAsia="en-GB"/>
              </w:rPr>
            </w:pPr>
            <w:r w:rsidRPr="00A52AEE">
              <w:rPr>
                <w:lang w:eastAsia="en-GB"/>
              </w:rPr>
              <w:t>4125</w:t>
            </w:r>
          </w:p>
        </w:tc>
        <w:tc>
          <w:tcPr>
            <w:tcW w:w="928" w:type="dxa"/>
            <w:tcBorders>
              <w:top w:val="nil"/>
              <w:left w:val="nil"/>
              <w:bottom w:val="single" w:sz="8" w:space="0" w:color="auto"/>
              <w:right w:val="single" w:sz="8" w:space="0" w:color="auto"/>
            </w:tcBorders>
            <w:shd w:val="clear" w:color="auto" w:fill="auto"/>
            <w:noWrap/>
            <w:vAlign w:val="center"/>
            <w:hideMark/>
          </w:tcPr>
          <w:p w14:paraId="2AFE4FAF" w14:textId="77777777" w:rsidR="00296BB8" w:rsidRPr="00A52AEE" w:rsidRDefault="00296BB8" w:rsidP="009A2373">
            <w:pPr>
              <w:jc w:val="right"/>
              <w:rPr>
                <w:lang w:eastAsia="en-GB"/>
              </w:rPr>
            </w:pPr>
            <w:r w:rsidRPr="00A52AEE">
              <w:rPr>
                <w:lang w:eastAsia="en-GB"/>
              </w:rPr>
              <w:t>10000</w:t>
            </w:r>
          </w:p>
        </w:tc>
        <w:tc>
          <w:tcPr>
            <w:tcW w:w="1232" w:type="dxa"/>
            <w:tcBorders>
              <w:top w:val="nil"/>
              <w:left w:val="nil"/>
              <w:bottom w:val="single" w:sz="8" w:space="0" w:color="auto"/>
              <w:right w:val="single" w:sz="8" w:space="0" w:color="auto"/>
            </w:tcBorders>
            <w:shd w:val="clear" w:color="auto" w:fill="auto"/>
            <w:noWrap/>
            <w:vAlign w:val="center"/>
            <w:hideMark/>
          </w:tcPr>
          <w:p w14:paraId="7943AFA2" w14:textId="77777777" w:rsidR="00296BB8" w:rsidRPr="00A52AEE" w:rsidRDefault="00296BB8" w:rsidP="009A2373">
            <w:pPr>
              <w:jc w:val="right"/>
              <w:rPr>
                <w:lang w:eastAsia="en-GB"/>
              </w:rPr>
            </w:pPr>
            <w:r w:rsidRPr="00A52AEE">
              <w:rPr>
                <w:lang w:eastAsia="en-GB"/>
              </w:rPr>
              <w:t>8950</w:t>
            </w:r>
          </w:p>
        </w:tc>
        <w:tc>
          <w:tcPr>
            <w:tcW w:w="960" w:type="dxa"/>
            <w:tcBorders>
              <w:top w:val="nil"/>
              <w:left w:val="nil"/>
              <w:bottom w:val="single" w:sz="8" w:space="0" w:color="auto"/>
              <w:right w:val="single" w:sz="8" w:space="0" w:color="auto"/>
            </w:tcBorders>
            <w:shd w:val="clear" w:color="auto" w:fill="auto"/>
            <w:noWrap/>
            <w:vAlign w:val="center"/>
            <w:hideMark/>
          </w:tcPr>
          <w:p w14:paraId="34B5C97F" w14:textId="77777777" w:rsidR="00296BB8" w:rsidRPr="00A52AEE" w:rsidRDefault="00296BB8" w:rsidP="009A2373">
            <w:pPr>
              <w:jc w:val="right"/>
              <w:rPr>
                <w:lang w:eastAsia="en-GB"/>
              </w:rPr>
            </w:pPr>
            <w:r w:rsidRPr="00A52AEE">
              <w:rPr>
                <w:lang w:eastAsia="en-GB"/>
              </w:rPr>
              <w:t>930</w:t>
            </w:r>
          </w:p>
        </w:tc>
        <w:tc>
          <w:tcPr>
            <w:tcW w:w="737" w:type="dxa"/>
            <w:tcBorders>
              <w:top w:val="nil"/>
              <w:left w:val="nil"/>
              <w:bottom w:val="single" w:sz="8" w:space="0" w:color="auto"/>
              <w:right w:val="single" w:sz="8" w:space="0" w:color="auto"/>
            </w:tcBorders>
            <w:shd w:val="clear" w:color="auto" w:fill="auto"/>
            <w:noWrap/>
            <w:vAlign w:val="center"/>
            <w:hideMark/>
          </w:tcPr>
          <w:p w14:paraId="3CFFD97D" w14:textId="77777777" w:rsidR="00296BB8" w:rsidRPr="00A52AEE" w:rsidRDefault="00296BB8" w:rsidP="009A2373">
            <w:pPr>
              <w:jc w:val="right"/>
              <w:rPr>
                <w:lang w:eastAsia="en-GB"/>
              </w:rPr>
            </w:pPr>
            <w:r w:rsidRPr="00A52AEE">
              <w:rPr>
                <w:lang w:eastAsia="en-GB"/>
              </w:rPr>
              <w:t>8980</w:t>
            </w:r>
          </w:p>
        </w:tc>
        <w:tc>
          <w:tcPr>
            <w:tcW w:w="1430" w:type="dxa"/>
            <w:tcBorders>
              <w:top w:val="nil"/>
              <w:left w:val="nil"/>
              <w:bottom w:val="single" w:sz="8" w:space="0" w:color="auto"/>
              <w:right w:val="single" w:sz="8" w:space="0" w:color="auto"/>
            </w:tcBorders>
            <w:shd w:val="clear" w:color="auto" w:fill="auto"/>
            <w:noWrap/>
            <w:vAlign w:val="center"/>
            <w:hideMark/>
          </w:tcPr>
          <w:p w14:paraId="3E476DC5" w14:textId="77777777" w:rsidR="00296BB8" w:rsidRPr="00A52AEE" w:rsidRDefault="00296BB8" w:rsidP="009A2373">
            <w:pPr>
              <w:jc w:val="right"/>
              <w:rPr>
                <w:lang w:eastAsia="en-GB"/>
              </w:rPr>
            </w:pPr>
            <w:r w:rsidRPr="00A52AEE">
              <w:rPr>
                <w:lang w:eastAsia="en-GB"/>
              </w:rPr>
              <w:t>6995</w:t>
            </w:r>
          </w:p>
        </w:tc>
      </w:tr>
      <w:tr w:rsidR="00296BB8" w:rsidRPr="00A52AEE" w14:paraId="3A35F660" w14:textId="77777777" w:rsidTr="00CE4337">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A05A9FC"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06570862" w14:textId="77777777" w:rsidR="00296BB8" w:rsidRPr="00A52AEE" w:rsidRDefault="00296BB8" w:rsidP="00A52AEE">
            <w:pPr>
              <w:rPr>
                <w:lang w:eastAsia="en-GB"/>
              </w:rPr>
            </w:pPr>
            <w:r w:rsidRPr="00A52AEE">
              <w:rPr>
                <w:lang w:eastAsia="en-GB"/>
              </w:rPr>
              <w:t>HE entrants</w:t>
            </w:r>
          </w:p>
        </w:tc>
        <w:tc>
          <w:tcPr>
            <w:tcW w:w="1057" w:type="dxa"/>
            <w:tcBorders>
              <w:top w:val="nil"/>
              <w:left w:val="nil"/>
              <w:bottom w:val="single" w:sz="8" w:space="0" w:color="auto"/>
              <w:right w:val="single" w:sz="8" w:space="0" w:color="auto"/>
            </w:tcBorders>
            <w:shd w:val="clear" w:color="auto" w:fill="auto"/>
            <w:noWrap/>
            <w:vAlign w:val="center"/>
            <w:hideMark/>
          </w:tcPr>
          <w:p w14:paraId="53E9574A" w14:textId="77777777" w:rsidR="00296BB8" w:rsidRPr="00A52AEE" w:rsidRDefault="00296BB8" w:rsidP="009A2373">
            <w:pPr>
              <w:jc w:val="right"/>
              <w:rPr>
                <w:lang w:eastAsia="en-GB"/>
              </w:rPr>
            </w:pPr>
            <w:r w:rsidRPr="00A52AEE">
              <w:rPr>
                <w:lang w:eastAsia="en-GB"/>
              </w:rPr>
              <w:t>2935</w:t>
            </w:r>
          </w:p>
        </w:tc>
        <w:tc>
          <w:tcPr>
            <w:tcW w:w="928" w:type="dxa"/>
            <w:tcBorders>
              <w:top w:val="nil"/>
              <w:left w:val="nil"/>
              <w:bottom w:val="single" w:sz="8" w:space="0" w:color="auto"/>
              <w:right w:val="single" w:sz="8" w:space="0" w:color="auto"/>
            </w:tcBorders>
            <w:shd w:val="clear" w:color="auto" w:fill="auto"/>
            <w:noWrap/>
            <w:vAlign w:val="center"/>
            <w:hideMark/>
          </w:tcPr>
          <w:p w14:paraId="39C69ADC" w14:textId="77777777" w:rsidR="00296BB8" w:rsidRPr="00A52AEE" w:rsidRDefault="00296BB8" w:rsidP="009A2373">
            <w:pPr>
              <w:jc w:val="right"/>
              <w:rPr>
                <w:lang w:eastAsia="en-GB"/>
              </w:rPr>
            </w:pPr>
            <w:r w:rsidRPr="00A52AEE">
              <w:rPr>
                <w:lang w:eastAsia="en-GB"/>
              </w:rPr>
              <w:t>5745</w:t>
            </w:r>
          </w:p>
        </w:tc>
        <w:tc>
          <w:tcPr>
            <w:tcW w:w="1232" w:type="dxa"/>
            <w:tcBorders>
              <w:top w:val="nil"/>
              <w:left w:val="nil"/>
              <w:bottom w:val="single" w:sz="8" w:space="0" w:color="auto"/>
              <w:right w:val="single" w:sz="8" w:space="0" w:color="auto"/>
            </w:tcBorders>
            <w:shd w:val="clear" w:color="auto" w:fill="auto"/>
            <w:noWrap/>
            <w:vAlign w:val="center"/>
            <w:hideMark/>
          </w:tcPr>
          <w:p w14:paraId="132FAFC2" w14:textId="77777777" w:rsidR="00296BB8" w:rsidRPr="00A52AEE" w:rsidRDefault="00296BB8" w:rsidP="009A2373">
            <w:pPr>
              <w:jc w:val="right"/>
              <w:rPr>
                <w:lang w:eastAsia="en-GB"/>
              </w:rPr>
            </w:pPr>
            <w:r w:rsidRPr="00A52AEE">
              <w:rPr>
                <w:lang w:eastAsia="en-GB"/>
              </w:rPr>
              <w:t>6565</w:t>
            </w:r>
          </w:p>
        </w:tc>
        <w:tc>
          <w:tcPr>
            <w:tcW w:w="960" w:type="dxa"/>
            <w:tcBorders>
              <w:top w:val="nil"/>
              <w:left w:val="nil"/>
              <w:bottom w:val="single" w:sz="8" w:space="0" w:color="auto"/>
              <w:right w:val="single" w:sz="8" w:space="0" w:color="auto"/>
            </w:tcBorders>
            <w:shd w:val="clear" w:color="auto" w:fill="auto"/>
            <w:noWrap/>
            <w:vAlign w:val="center"/>
            <w:hideMark/>
          </w:tcPr>
          <w:p w14:paraId="2776640B" w14:textId="77777777" w:rsidR="00296BB8" w:rsidRPr="00A52AEE" w:rsidRDefault="00296BB8" w:rsidP="009A2373">
            <w:pPr>
              <w:jc w:val="right"/>
              <w:rPr>
                <w:lang w:eastAsia="en-GB"/>
              </w:rPr>
            </w:pPr>
            <w:r w:rsidRPr="00A52AEE">
              <w:rPr>
                <w:lang w:eastAsia="en-GB"/>
              </w:rPr>
              <w:t>430</w:t>
            </w:r>
          </w:p>
        </w:tc>
        <w:tc>
          <w:tcPr>
            <w:tcW w:w="737" w:type="dxa"/>
            <w:tcBorders>
              <w:top w:val="nil"/>
              <w:left w:val="nil"/>
              <w:bottom w:val="single" w:sz="8" w:space="0" w:color="auto"/>
              <w:right w:val="single" w:sz="8" w:space="0" w:color="auto"/>
            </w:tcBorders>
            <w:shd w:val="clear" w:color="auto" w:fill="auto"/>
            <w:noWrap/>
            <w:vAlign w:val="center"/>
            <w:hideMark/>
          </w:tcPr>
          <w:p w14:paraId="03E8C72D" w14:textId="77777777" w:rsidR="00296BB8" w:rsidRPr="00A52AEE" w:rsidRDefault="00296BB8" w:rsidP="009A2373">
            <w:pPr>
              <w:jc w:val="right"/>
              <w:rPr>
                <w:lang w:eastAsia="en-GB"/>
              </w:rPr>
            </w:pPr>
            <w:r w:rsidRPr="00A52AEE">
              <w:rPr>
                <w:lang w:eastAsia="en-GB"/>
              </w:rPr>
              <w:t>740</w:t>
            </w:r>
          </w:p>
        </w:tc>
        <w:tc>
          <w:tcPr>
            <w:tcW w:w="1430" w:type="dxa"/>
            <w:tcBorders>
              <w:top w:val="nil"/>
              <w:left w:val="nil"/>
              <w:bottom w:val="single" w:sz="8" w:space="0" w:color="auto"/>
              <w:right w:val="single" w:sz="8" w:space="0" w:color="auto"/>
            </w:tcBorders>
            <w:shd w:val="clear" w:color="auto" w:fill="auto"/>
            <w:noWrap/>
            <w:vAlign w:val="center"/>
            <w:hideMark/>
          </w:tcPr>
          <w:p w14:paraId="142DC046" w14:textId="77777777" w:rsidR="00296BB8" w:rsidRPr="00A52AEE" w:rsidRDefault="00296BB8" w:rsidP="009A2373">
            <w:pPr>
              <w:jc w:val="right"/>
              <w:rPr>
                <w:lang w:eastAsia="en-GB"/>
              </w:rPr>
            </w:pPr>
            <w:r w:rsidRPr="00A52AEE">
              <w:rPr>
                <w:lang w:eastAsia="en-GB"/>
              </w:rPr>
              <w:t>785</w:t>
            </w:r>
          </w:p>
        </w:tc>
      </w:tr>
      <w:tr w:rsidR="00296BB8" w:rsidRPr="00A52AEE" w14:paraId="0B2404AA" w14:textId="77777777" w:rsidTr="00CE4337">
        <w:trPr>
          <w:trHeight w:val="330"/>
        </w:trPr>
        <w:tc>
          <w:tcPr>
            <w:tcW w:w="1124" w:type="dxa"/>
            <w:vMerge/>
            <w:tcBorders>
              <w:top w:val="nil"/>
              <w:left w:val="single" w:sz="8" w:space="0" w:color="auto"/>
              <w:bottom w:val="single" w:sz="8" w:space="0" w:color="000000"/>
              <w:right w:val="single" w:sz="8" w:space="0" w:color="auto"/>
            </w:tcBorders>
            <w:vAlign w:val="center"/>
            <w:hideMark/>
          </w:tcPr>
          <w:p w14:paraId="43399C83"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14362D0D" w14:textId="77777777" w:rsidR="00296BB8" w:rsidRPr="00A52AEE" w:rsidRDefault="00296BB8" w:rsidP="00A52AEE">
            <w:pPr>
              <w:rPr>
                <w:lang w:eastAsia="en-GB"/>
              </w:rPr>
            </w:pPr>
            <w:r w:rsidRPr="00A52AEE">
              <w:rPr>
                <w:lang w:eastAsia="en-GB"/>
              </w:rPr>
              <w:t>% Total HE</w:t>
            </w:r>
          </w:p>
        </w:tc>
        <w:tc>
          <w:tcPr>
            <w:tcW w:w="1057" w:type="dxa"/>
            <w:tcBorders>
              <w:top w:val="nil"/>
              <w:left w:val="nil"/>
              <w:bottom w:val="single" w:sz="8" w:space="0" w:color="auto"/>
              <w:right w:val="single" w:sz="8" w:space="0" w:color="auto"/>
            </w:tcBorders>
            <w:shd w:val="clear" w:color="auto" w:fill="auto"/>
            <w:noWrap/>
            <w:vAlign w:val="center"/>
            <w:hideMark/>
          </w:tcPr>
          <w:p w14:paraId="7D6B0EEE" w14:textId="156B79ED" w:rsidR="00296BB8" w:rsidRPr="00A52AEE" w:rsidRDefault="00BE09C2" w:rsidP="009A2373">
            <w:pPr>
              <w:jc w:val="right"/>
              <w:rPr>
                <w:lang w:eastAsia="en-GB"/>
              </w:rPr>
            </w:pPr>
            <w:r>
              <w:rPr>
                <w:lang w:eastAsia="en-GB"/>
              </w:rPr>
              <w:t>71</w:t>
            </w:r>
            <w:r w:rsidR="00296BB8" w:rsidRPr="00A52AEE">
              <w:rPr>
                <w:lang w:eastAsia="en-GB"/>
              </w:rPr>
              <w:t>%</w:t>
            </w:r>
          </w:p>
        </w:tc>
        <w:tc>
          <w:tcPr>
            <w:tcW w:w="928" w:type="dxa"/>
            <w:tcBorders>
              <w:top w:val="nil"/>
              <w:left w:val="nil"/>
              <w:bottom w:val="single" w:sz="8" w:space="0" w:color="auto"/>
              <w:right w:val="single" w:sz="8" w:space="0" w:color="auto"/>
            </w:tcBorders>
            <w:shd w:val="clear" w:color="auto" w:fill="auto"/>
            <w:noWrap/>
            <w:vAlign w:val="center"/>
            <w:hideMark/>
          </w:tcPr>
          <w:p w14:paraId="0F28BE0B" w14:textId="130AA4DB" w:rsidR="00296BB8" w:rsidRPr="00A52AEE" w:rsidRDefault="005F7415" w:rsidP="009A2373">
            <w:pPr>
              <w:jc w:val="right"/>
              <w:rPr>
                <w:lang w:eastAsia="en-GB"/>
              </w:rPr>
            </w:pPr>
            <w:r w:rsidRPr="00A52AEE">
              <w:rPr>
                <w:lang w:eastAsia="en-GB"/>
              </w:rPr>
              <w:t>57</w:t>
            </w:r>
            <w:r w:rsidR="00296BB8" w:rsidRPr="00A52AEE">
              <w:rPr>
                <w:lang w:eastAsia="en-GB"/>
              </w:rPr>
              <w:t>%</w:t>
            </w:r>
          </w:p>
        </w:tc>
        <w:tc>
          <w:tcPr>
            <w:tcW w:w="1232" w:type="dxa"/>
            <w:tcBorders>
              <w:top w:val="nil"/>
              <w:left w:val="nil"/>
              <w:bottom w:val="single" w:sz="8" w:space="0" w:color="auto"/>
              <w:right w:val="single" w:sz="8" w:space="0" w:color="auto"/>
            </w:tcBorders>
            <w:shd w:val="clear" w:color="auto" w:fill="auto"/>
            <w:noWrap/>
            <w:vAlign w:val="center"/>
            <w:hideMark/>
          </w:tcPr>
          <w:p w14:paraId="290F6FF5" w14:textId="0F355656" w:rsidR="00296BB8" w:rsidRPr="00A52AEE" w:rsidRDefault="00BE09C2" w:rsidP="009A2373">
            <w:pPr>
              <w:jc w:val="right"/>
              <w:rPr>
                <w:lang w:eastAsia="en-GB"/>
              </w:rPr>
            </w:pPr>
            <w:r>
              <w:rPr>
                <w:lang w:eastAsia="en-GB"/>
              </w:rPr>
              <w:t>73</w:t>
            </w:r>
            <w:r w:rsidR="00296BB8" w:rsidRPr="00A52AEE">
              <w:rPr>
                <w:lang w:eastAsia="en-GB"/>
              </w:rPr>
              <w:t>%</w:t>
            </w:r>
          </w:p>
        </w:tc>
        <w:tc>
          <w:tcPr>
            <w:tcW w:w="960" w:type="dxa"/>
            <w:tcBorders>
              <w:top w:val="nil"/>
              <w:left w:val="nil"/>
              <w:bottom w:val="single" w:sz="8" w:space="0" w:color="auto"/>
              <w:right w:val="single" w:sz="8" w:space="0" w:color="auto"/>
            </w:tcBorders>
            <w:shd w:val="clear" w:color="auto" w:fill="auto"/>
            <w:noWrap/>
            <w:vAlign w:val="center"/>
            <w:hideMark/>
          </w:tcPr>
          <w:p w14:paraId="5046DA2D" w14:textId="6BEAEBF8" w:rsidR="00296BB8" w:rsidRPr="00A52AEE" w:rsidRDefault="00BE09C2" w:rsidP="009A2373">
            <w:pPr>
              <w:jc w:val="right"/>
              <w:rPr>
                <w:lang w:eastAsia="en-GB"/>
              </w:rPr>
            </w:pPr>
            <w:r>
              <w:rPr>
                <w:lang w:eastAsia="en-GB"/>
              </w:rPr>
              <w:t>46</w:t>
            </w:r>
            <w:r w:rsidR="00296BB8" w:rsidRPr="00A52AEE">
              <w:rPr>
                <w:lang w:eastAsia="en-GB"/>
              </w:rPr>
              <w:t>%</w:t>
            </w:r>
          </w:p>
        </w:tc>
        <w:tc>
          <w:tcPr>
            <w:tcW w:w="737" w:type="dxa"/>
            <w:tcBorders>
              <w:top w:val="nil"/>
              <w:left w:val="nil"/>
              <w:bottom w:val="single" w:sz="8" w:space="0" w:color="auto"/>
              <w:right w:val="single" w:sz="8" w:space="0" w:color="auto"/>
            </w:tcBorders>
            <w:shd w:val="clear" w:color="auto" w:fill="auto"/>
            <w:noWrap/>
            <w:vAlign w:val="center"/>
            <w:hideMark/>
          </w:tcPr>
          <w:p w14:paraId="492CD7D3" w14:textId="59C293AE" w:rsidR="00296BB8" w:rsidRPr="00A52AEE" w:rsidRDefault="00BE09C2" w:rsidP="009A2373">
            <w:pPr>
              <w:jc w:val="right"/>
              <w:rPr>
                <w:lang w:eastAsia="en-GB"/>
              </w:rPr>
            </w:pPr>
            <w:r>
              <w:rPr>
                <w:lang w:eastAsia="en-GB"/>
              </w:rPr>
              <w:t>8</w:t>
            </w:r>
            <w:r w:rsidR="00296BB8" w:rsidRPr="00A52AEE">
              <w:rPr>
                <w:lang w:eastAsia="en-GB"/>
              </w:rPr>
              <w:t>%</w:t>
            </w:r>
          </w:p>
        </w:tc>
        <w:tc>
          <w:tcPr>
            <w:tcW w:w="1430" w:type="dxa"/>
            <w:tcBorders>
              <w:top w:val="nil"/>
              <w:left w:val="nil"/>
              <w:bottom w:val="single" w:sz="8" w:space="0" w:color="auto"/>
              <w:right w:val="single" w:sz="8" w:space="0" w:color="auto"/>
            </w:tcBorders>
            <w:shd w:val="clear" w:color="auto" w:fill="auto"/>
            <w:noWrap/>
            <w:vAlign w:val="center"/>
            <w:hideMark/>
          </w:tcPr>
          <w:p w14:paraId="58608D92" w14:textId="77777777" w:rsidR="00296BB8" w:rsidRPr="00A52AEE" w:rsidRDefault="00296BB8" w:rsidP="009A2373">
            <w:pPr>
              <w:jc w:val="right"/>
              <w:rPr>
                <w:lang w:eastAsia="en-GB"/>
              </w:rPr>
            </w:pPr>
            <w:r w:rsidRPr="00A52AEE">
              <w:rPr>
                <w:lang w:eastAsia="en-GB"/>
              </w:rPr>
              <w:t>11%</w:t>
            </w:r>
          </w:p>
        </w:tc>
      </w:tr>
      <w:tr w:rsidR="00296BB8" w:rsidRPr="00A52AEE" w14:paraId="7FC8385C" w14:textId="77777777" w:rsidTr="00CE4337">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7FD3B370" w14:textId="77777777" w:rsidR="00296BB8" w:rsidRPr="00A52AEE" w:rsidRDefault="00296BB8" w:rsidP="00A52AEE">
            <w:pPr>
              <w:rPr>
                <w:lang w:eastAsia="en-GB"/>
              </w:rPr>
            </w:pPr>
            <w:r w:rsidRPr="00A52AEE">
              <w:rPr>
                <w:lang w:eastAsia="en-GB"/>
              </w:rPr>
              <w:t>2009-10</w:t>
            </w:r>
          </w:p>
        </w:tc>
        <w:tc>
          <w:tcPr>
            <w:tcW w:w="1843" w:type="dxa"/>
            <w:tcBorders>
              <w:top w:val="nil"/>
              <w:left w:val="nil"/>
              <w:bottom w:val="single" w:sz="8" w:space="0" w:color="auto"/>
              <w:right w:val="single" w:sz="8" w:space="0" w:color="auto"/>
            </w:tcBorders>
            <w:shd w:val="clear" w:color="auto" w:fill="auto"/>
            <w:noWrap/>
            <w:vAlign w:val="center"/>
            <w:hideMark/>
          </w:tcPr>
          <w:p w14:paraId="7797CD0A" w14:textId="77777777" w:rsidR="00296BB8" w:rsidRPr="00A52AEE" w:rsidRDefault="00296BB8" w:rsidP="00A52AEE">
            <w:pPr>
              <w:rPr>
                <w:lang w:eastAsia="en-GB"/>
              </w:rPr>
            </w:pPr>
            <w:r w:rsidRPr="00A52AEE">
              <w:rPr>
                <w:lang w:eastAsia="en-GB"/>
              </w:rPr>
              <w:t>Cohort Number</w:t>
            </w:r>
          </w:p>
        </w:tc>
        <w:tc>
          <w:tcPr>
            <w:tcW w:w="1057" w:type="dxa"/>
            <w:tcBorders>
              <w:top w:val="nil"/>
              <w:left w:val="nil"/>
              <w:bottom w:val="single" w:sz="8" w:space="0" w:color="auto"/>
              <w:right w:val="single" w:sz="8" w:space="0" w:color="auto"/>
            </w:tcBorders>
            <w:shd w:val="clear" w:color="auto" w:fill="auto"/>
            <w:noWrap/>
            <w:vAlign w:val="center"/>
            <w:hideMark/>
          </w:tcPr>
          <w:p w14:paraId="15A1F47E" w14:textId="77777777" w:rsidR="00296BB8" w:rsidRPr="00A52AEE" w:rsidRDefault="00296BB8" w:rsidP="009A2373">
            <w:pPr>
              <w:jc w:val="right"/>
              <w:rPr>
                <w:lang w:eastAsia="en-GB"/>
              </w:rPr>
            </w:pPr>
            <w:r w:rsidRPr="00A52AEE">
              <w:rPr>
                <w:lang w:eastAsia="en-GB"/>
              </w:rPr>
              <w:t>4845</w:t>
            </w:r>
          </w:p>
        </w:tc>
        <w:tc>
          <w:tcPr>
            <w:tcW w:w="928" w:type="dxa"/>
            <w:tcBorders>
              <w:top w:val="nil"/>
              <w:left w:val="nil"/>
              <w:bottom w:val="single" w:sz="8" w:space="0" w:color="auto"/>
              <w:right w:val="single" w:sz="8" w:space="0" w:color="auto"/>
            </w:tcBorders>
            <w:shd w:val="clear" w:color="auto" w:fill="auto"/>
            <w:noWrap/>
            <w:vAlign w:val="center"/>
            <w:hideMark/>
          </w:tcPr>
          <w:p w14:paraId="012D42FE" w14:textId="77777777" w:rsidR="00296BB8" w:rsidRPr="00A52AEE" w:rsidRDefault="00296BB8" w:rsidP="009A2373">
            <w:pPr>
              <w:jc w:val="right"/>
              <w:rPr>
                <w:lang w:eastAsia="en-GB"/>
              </w:rPr>
            </w:pPr>
            <w:r w:rsidRPr="00A52AEE">
              <w:rPr>
                <w:lang w:eastAsia="en-GB"/>
              </w:rPr>
              <w:t>11615</w:t>
            </w:r>
          </w:p>
        </w:tc>
        <w:tc>
          <w:tcPr>
            <w:tcW w:w="1232" w:type="dxa"/>
            <w:tcBorders>
              <w:top w:val="nil"/>
              <w:left w:val="nil"/>
              <w:bottom w:val="single" w:sz="8" w:space="0" w:color="auto"/>
              <w:right w:val="single" w:sz="8" w:space="0" w:color="auto"/>
            </w:tcBorders>
            <w:shd w:val="clear" w:color="auto" w:fill="auto"/>
            <w:noWrap/>
            <w:vAlign w:val="center"/>
            <w:hideMark/>
          </w:tcPr>
          <w:p w14:paraId="406FCD1C" w14:textId="77777777" w:rsidR="00296BB8" w:rsidRPr="00A52AEE" w:rsidRDefault="00296BB8" w:rsidP="009A2373">
            <w:pPr>
              <w:jc w:val="right"/>
              <w:rPr>
                <w:lang w:eastAsia="en-GB"/>
              </w:rPr>
            </w:pPr>
            <w:r w:rsidRPr="00A52AEE">
              <w:rPr>
                <w:lang w:eastAsia="en-GB"/>
              </w:rPr>
              <w:t>8850</w:t>
            </w:r>
          </w:p>
        </w:tc>
        <w:tc>
          <w:tcPr>
            <w:tcW w:w="960" w:type="dxa"/>
            <w:tcBorders>
              <w:top w:val="nil"/>
              <w:left w:val="nil"/>
              <w:bottom w:val="single" w:sz="8" w:space="0" w:color="auto"/>
              <w:right w:val="single" w:sz="8" w:space="0" w:color="auto"/>
            </w:tcBorders>
            <w:shd w:val="clear" w:color="auto" w:fill="auto"/>
            <w:noWrap/>
            <w:vAlign w:val="center"/>
            <w:hideMark/>
          </w:tcPr>
          <w:p w14:paraId="1C1C85EA" w14:textId="77777777" w:rsidR="00296BB8" w:rsidRPr="00A52AEE" w:rsidRDefault="00296BB8" w:rsidP="009A2373">
            <w:pPr>
              <w:jc w:val="right"/>
              <w:rPr>
                <w:lang w:eastAsia="en-GB"/>
              </w:rPr>
            </w:pPr>
            <w:r w:rsidRPr="00A52AEE">
              <w:rPr>
                <w:lang w:eastAsia="en-GB"/>
              </w:rPr>
              <w:t>815</w:t>
            </w:r>
          </w:p>
        </w:tc>
        <w:tc>
          <w:tcPr>
            <w:tcW w:w="737" w:type="dxa"/>
            <w:tcBorders>
              <w:top w:val="nil"/>
              <w:left w:val="nil"/>
              <w:bottom w:val="single" w:sz="8" w:space="0" w:color="auto"/>
              <w:right w:val="single" w:sz="8" w:space="0" w:color="auto"/>
            </w:tcBorders>
            <w:shd w:val="clear" w:color="auto" w:fill="auto"/>
            <w:noWrap/>
            <w:vAlign w:val="center"/>
            <w:hideMark/>
          </w:tcPr>
          <w:p w14:paraId="0D4A1FAD" w14:textId="77777777" w:rsidR="00296BB8" w:rsidRPr="00A52AEE" w:rsidRDefault="00296BB8" w:rsidP="009A2373">
            <w:pPr>
              <w:jc w:val="right"/>
              <w:rPr>
                <w:lang w:eastAsia="en-GB"/>
              </w:rPr>
            </w:pPr>
            <w:r w:rsidRPr="00A52AEE">
              <w:rPr>
                <w:lang w:eastAsia="en-GB"/>
              </w:rPr>
              <w:t>9725</w:t>
            </w:r>
          </w:p>
        </w:tc>
        <w:tc>
          <w:tcPr>
            <w:tcW w:w="1430" w:type="dxa"/>
            <w:tcBorders>
              <w:top w:val="nil"/>
              <w:left w:val="nil"/>
              <w:bottom w:val="single" w:sz="8" w:space="0" w:color="auto"/>
              <w:right w:val="single" w:sz="8" w:space="0" w:color="auto"/>
            </w:tcBorders>
            <w:shd w:val="clear" w:color="auto" w:fill="auto"/>
            <w:noWrap/>
            <w:vAlign w:val="center"/>
            <w:hideMark/>
          </w:tcPr>
          <w:p w14:paraId="6FADF621" w14:textId="77777777" w:rsidR="00296BB8" w:rsidRPr="00A52AEE" w:rsidRDefault="00296BB8" w:rsidP="009A2373">
            <w:pPr>
              <w:jc w:val="right"/>
              <w:rPr>
                <w:lang w:eastAsia="en-GB"/>
              </w:rPr>
            </w:pPr>
            <w:r w:rsidRPr="00A52AEE">
              <w:rPr>
                <w:lang w:eastAsia="en-GB"/>
              </w:rPr>
              <w:t>10235</w:t>
            </w:r>
          </w:p>
        </w:tc>
      </w:tr>
      <w:tr w:rsidR="00296BB8" w:rsidRPr="00A52AEE" w14:paraId="6162C88C" w14:textId="77777777" w:rsidTr="00CE4337">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F2722AC"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5B6A070F" w14:textId="77777777" w:rsidR="00296BB8" w:rsidRPr="00A52AEE" w:rsidRDefault="00296BB8" w:rsidP="00A52AEE">
            <w:pPr>
              <w:rPr>
                <w:lang w:eastAsia="en-GB"/>
              </w:rPr>
            </w:pPr>
            <w:r w:rsidRPr="00A52AEE">
              <w:rPr>
                <w:lang w:eastAsia="en-GB"/>
              </w:rPr>
              <w:t>HE entrants</w:t>
            </w:r>
          </w:p>
        </w:tc>
        <w:tc>
          <w:tcPr>
            <w:tcW w:w="1057" w:type="dxa"/>
            <w:tcBorders>
              <w:top w:val="nil"/>
              <w:left w:val="nil"/>
              <w:bottom w:val="single" w:sz="8" w:space="0" w:color="auto"/>
              <w:right w:val="single" w:sz="8" w:space="0" w:color="auto"/>
            </w:tcBorders>
            <w:shd w:val="clear" w:color="auto" w:fill="auto"/>
            <w:noWrap/>
            <w:vAlign w:val="center"/>
            <w:hideMark/>
          </w:tcPr>
          <w:p w14:paraId="0D9DBDD8" w14:textId="77777777" w:rsidR="00296BB8" w:rsidRPr="00A52AEE" w:rsidRDefault="00296BB8" w:rsidP="009A2373">
            <w:pPr>
              <w:jc w:val="right"/>
              <w:rPr>
                <w:lang w:eastAsia="en-GB"/>
              </w:rPr>
            </w:pPr>
            <w:r w:rsidRPr="00A52AEE">
              <w:rPr>
                <w:lang w:eastAsia="en-GB"/>
              </w:rPr>
              <w:t>3335</w:t>
            </w:r>
          </w:p>
        </w:tc>
        <w:tc>
          <w:tcPr>
            <w:tcW w:w="928" w:type="dxa"/>
            <w:tcBorders>
              <w:top w:val="nil"/>
              <w:left w:val="nil"/>
              <w:bottom w:val="single" w:sz="8" w:space="0" w:color="auto"/>
              <w:right w:val="single" w:sz="8" w:space="0" w:color="auto"/>
            </w:tcBorders>
            <w:shd w:val="clear" w:color="auto" w:fill="auto"/>
            <w:noWrap/>
            <w:vAlign w:val="center"/>
            <w:hideMark/>
          </w:tcPr>
          <w:p w14:paraId="7788B074" w14:textId="77777777" w:rsidR="00296BB8" w:rsidRPr="00A52AEE" w:rsidRDefault="00296BB8" w:rsidP="009A2373">
            <w:pPr>
              <w:jc w:val="right"/>
              <w:rPr>
                <w:lang w:eastAsia="en-GB"/>
              </w:rPr>
            </w:pPr>
            <w:r w:rsidRPr="00A52AEE">
              <w:rPr>
                <w:lang w:eastAsia="en-GB"/>
              </w:rPr>
              <w:t>6245</w:t>
            </w:r>
          </w:p>
        </w:tc>
        <w:tc>
          <w:tcPr>
            <w:tcW w:w="1232" w:type="dxa"/>
            <w:tcBorders>
              <w:top w:val="nil"/>
              <w:left w:val="nil"/>
              <w:bottom w:val="single" w:sz="8" w:space="0" w:color="auto"/>
              <w:right w:val="single" w:sz="8" w:space="0" w:color="auto"/>
            </w:tcBorders>
            <w:shd w:val="clear" w:color="auto" w:fill="auto"/>
            <w:noWrap/>
            <w:vAlign w:val="center"/>
            <w:hideMark/>
          </w:tcPr>
          <w:p w14:paraId="51E639B1" w14:textId="77777777" w:rsidR="00296BB8" w:rsidRPr="00A52AEE" w:rsidRDefault="00296BB8" w:rsidP="009A2373">
            <w:pPr>
              <w:jc w:val="right"/>
              <w:rPr>
                <w:lang w:eastAsia="en-GB"/>
              </w:rPr>
            </w:pPr>
            <w:r w:rsidRPr="00A52AEE">
              <w:rPr>
                <w:lang w:eastAsia="en-GB"/>
              </w:rPr>
              <w:t>6325</w:t>
            </w:r>
          </w:p>
        </w:tc>
        <w:tc>
          <w:tcPr>
            <w:tcW w:w="960" w:type="dxa"/>
            <w:tcBorders>
              <w:top w:val="nil"/>
              <w:left w:val="nil"/>
              <w:bottom w:val="single" w:sz="8" w:space="0" w:color="auto"/>
              <w:right w:val="single" w:sz="8" w:space="0" w:color="auto"/>
            </w:tcBorders>
            <w:shd w:val="clear" w:color="auto" w:fill="auto"/>
            <w:noWrap/>
            <w:vAlign w:val="center"/>
            <w:hideMark/>
          </w:tcPr>
          <w:p w14:paraId="08401658" w14:textId="77777777" w:rsidR="00296BB8" w:rsidRPr="00A52AEE" w:rsidRDefault="00296BB8" w:rsidP="009A2373">
            <w:pPr>
              <w:jc w:val="right"/>
              <w:rPr>
                <w:lang w:eastAsia="en-GB"/>
              </w:rPr>
            </w:pPr>
            <w:r w:rsidRPr="00A52AEE">
              <w:rPr>
                <w:lang w:eastAsia="en-GB"/>
              </w:rPr>
              <w:t>330</w:t>
            </w:r>
          </w:p>
        </w:tc>
        <w:tc>
          <w:tcPr>
            <w:tcW w:w="737" w:type="dxa"/>
            <w:tcBorders>
              <w:top w:val="nil"/>
              <w:left w:val="nil"/>
              <w:bottom w:val="single" w:sz="8" w:space="0" w:color="auto"/>
              <w:right w:val="single" w:sz="8" w:space="0" w:color="auto"/>
            </w:tcBorders>
            <w:shd w:val="clear" w:color="auto" w:fill="auto"/>
            <w:noWrap/>
            <w:vAlign w:val="center"/>
            <w:hideMark/>
          </w:tcPr>
          <w:p w14:paraId="1DA5D5AF" w14:textId="77777777" w:rsidR="00296BB8" w:rsidRPr="00A52AEE" w:rsidRDefault="00296BB8" w:rsidP="009A2373">
            <w:pPr>
              <w:jc w:val="right"/>
              <w:rPr>
                <w:lang w:eastAsia="en-GB"/>
              </w:rPr>
            </w:pPr>
            <w:r w:rsidRPr="00A52AEE">
              <w:rPr>
                <w:lang w:eastAsia="en-GB"/>
              </w:rPr>
              <w:t>785</w:t>
            </w:r>
          </w:p>
        </w:tc>
        <w:tc>
          <w:tcPr>
            <w:tcW w:w="1430" w:type="dxa"/>
            <w:tcBorders>
              <w:top w:val="nil"/>
              <w:left w:val="nil"/>
              <w:bottom w:val="single" w:sz="8" w:space="0" w:color="auto"/>
              <w:right w:val="single" w:sz="8" w:space="0" w:color="auto"/>
            </w:tcBorders>
            <w:shd w:val="clear" w:color="auto" w:fill="auto"/>
            <w:noWrap/>
            <w:vAlign w:val="center"/>
            <w:hideMark/>
          </w:tcPr>
          <w:p w14:paraId="7E035863" w14:textId="77777777" w:rsidR="00296BB8" w:rsidRPr="00A52AEE" w:rsidRDefault="00296BB8" w:rsidP="009A2373">
            <w:pPr>
              <w:jc w:val="right"/>
              <w:rPr>
                <w:lang w:eastAsia="en-GB"/>
              </w:rPr>
            </w:pPr>
            <w:r w:rsidRPr="00A52AEE">
              <w:rPr>
                <w:lang w:eastAsia="en-GB"/>
              </w:rPr>
              <w:t>1095</w:t>
            </w:r>
          </w:p>
        </w:tc>
      </w:tr>
      <w:tr w:rsidR="00296BB8" w:rsidRPr="00A52AEE" w14:paraId="500773CC" w14:textId="77777777" w:rsidTr="00CE4337">
        <w:trPr>
          <w:trHeight w:val="330"/>
        </w:trPr>
        <w:tc>
          <w:tcPr>
            <w:tcW w:w="1124" w:type="dxa"/>
            <w:vMerge/>
            <w:tcBorders>
              <w:top w:val="nil"/>
              <w:left w:val="single" w:sz="8" w:space="0" w:color="auto"/>
              <w:bottom w:val="single" w:sz="8" w:space="0" w:color="000000"/>
              <w:right w:val="single" w:sz="8" w:space="0" w:color="auto"/>
            </w:tcBorders>
            <w:vAlign w:val="center"/>
            <w:hideMark/>
          </w:tcPr>
          <w:p w14:paraId="25B482FF"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191225D7" w14:textId="77777777" w:rsidR="00296BB8" w:rsidRPr="00A52AEE" w:rsidRDefault="00296BB8" w:rsidP="00A52AEE">
            <w:pPr>
              <w:rPr>
                <w:lang w:eastAsia="en-GB"/>
              </w:rPr>
            </w:pPr>
            <w:r w:rsidRPr="00A52AEE">
              <w:rPr>
                <w:lang w:eastAsia="en-GB"/>
              </w:rPr>
              <w:t>% Total HE</w:t>
            </w:r>
          </w:p>
        </w:tc>
        <w:tc>
          <w:tcPr>
            <w:tcW w:w="1057" w:type="dxa"/>
            <w:tcBorders>
              <w:top w:val="nil"/>
              <w:left w:val="nil"/>
              <w:bottom w:val="single" w:sz="8" w:space="0" w:color="auto"/>
              <w:right w:val="single" w:sz="8" w:space="0" w:color="auto"/>
            </w:tcBorders>
            <w:shd w:val="clear" w:color="auto" w:fill="auto"/>
            <w:noWrap/>
            <w:vAlign w:val="center"/>
            <w:hideMark/>
          </w:tcPr>
          <w:p w14:paraId="68425B3B" w14:textId="77777777" w:rsidR="00296BB8" w:rsidRPr="00A52AEE" w:rsidRDefault="00296BB8" w:rsidP="009A2373">
            <w:pPr>
              <w:jc w:val="right"/>
              <w:rPr>
                <w:lang w:eastAsia="en-GB"/>
              </w:rPr>
            </w:pPr>
            <w:r w:rsidRPr="00A52AEE">
              <w:rPr>
                <w:lang w:eastAsia="en-GB"/>
              </w:rPr>
              <w:t>69%</w:t>
            </w:r>
          </w:p>
        </w:tc>
        <w:tc>
          <w:tcPr>
            <w:tcW w:w="928" w:type="dxa"/>
            <w:tcBorders>
              <w:top w:val="nil"/>
              <w:left w:val="nil"/>
              <w:bottom w:val="single" w:sz="8" w:space="0" w:color="auto"/>
              <w:right w:val="single" w:sz="8" w:space="0" w:color="auto"/>
            </w:tcBorders>
            <w:shd w:val="clear" w:color="auto" w:fill="auto"/>
            <w:noWrap/>
            <w:vAlign w:val="center"/>
            <w:hideMark/>
          </w:tcPr>
          <w:p w14:paraId="54B2D421" w14:textId="77777777" w:rsidR="00296BB8" w:rsidRPr="00A52AEE" w:rsidRDefault="00296BB8" w:rsidP="009A2373">
            <w:pPr>
              <w:jc w:val="right"/>
              <w:rPr>
                <w:lang w:eastAsia="en-GB"/>
              </w:rPr>
            </w:pPr>
            <w:r w:rsidRPr="00A52AEE">
              <w:rPr>
                <w:lang w:eastAsia="en-GB"/>
              </w:rPr>
              <w:t>54%</w:t>
            </w:r>
          </w:p>
        </w:tc>
        <w:tc>
          <w:tcPr>
            <w:tcW w:w="1232" w:type="dxa"/>
            <w:tcBorders>
              <w:top w:val="nil"/>
              <w:left w:val="nil"/>
              <w:bottom w:val="single" w:sz="8" w:space="0" w:color="auto"/>
              <w:right w:val="single" w:sz="8" w:space="0" w:color="auto"/>
            </w:tcBorders>
            <w:shd w:val="clear" w:color="auto" w:fill="auto"/>
            <w:noWrap/>
            <w:vAlign w:val="center"/>
            <w:hideMark/>
          </w:tcPr>
          <w:p w14:paraId="6B80CCD4" w14:textId="77777777" w:rsidR="00296BB8" w:rsidRPr="00A52AEE" w:rsidRDefault="00296BB8" w:rsidP="009A2373">
            <w:pPr>
              <w:jc w:val="right"/>
              <w:rPr>
                <w:lang w:eastAsia="en-GB"/>
              </w:rPr>
            </w:pPr>
            <w:r w:rsidRPr="00A52AEE">
              <w:rPr>
                <w:lang w:eastAsia="en-GB"/>
              </w:rPr>
              <w:t>71%</w:t>
            </w:r>
          </w:p>
        </w:tc>
        <w:tc>
          <w:tcPr>
            <w:tcW w:w="960" w:type="dxa"/>
            <w:tcBorders>
              <w:top w:val="nil"/>
              <w:left w:val="nil"/>
              <w:bottom w:val="single" w:sz="8" w:space="0" w:color="auto"/>
              <w:right w:val="single" w:sz="8" w:space="0" w:color="auto"/>
            </w:tcBorders>
            <w:shd w:val="clear" w:color="auto" w:fill="auto"/>
            <w:noWrap/>
            <w:vAlign w:val="center"/>
            <w:hideMark/>
          </w:tcPr>
          <w:p w14:paraId="473ECEDC" w14:textId="77777777" w:rsidR="00296BB8" w:rsidRPr="00A52AEE" w:rsidRDefault="00296BB8" w:rsidP="009A2373">
            <w:pPr>
              <w:jc w:val="right"/>
              <w:rPr>
                <w:lang w:eastAsia="en-GB"/>
              </w:rPr>
            </w:pPr>
            <w:r w:rsidRPr="00A52AEE">
              <w:rPr>
                <w:lang w:eastAsia="en-GB"/>
              </w:rPr>
              <w:t>40%</w:t>
            </w:r>
          </w:p>
        </w:tc>
        <w:tc>
          <w:tcPr>
            <w:tcW w:w="737" w:type="dxa"/>
            <w:tcBorders>
              <w:top w:val="nil"/>
              <w:left w:val="nil"/>
              <w:bottom w:val="single" w:sz="8" w:space="0" w:color="auto"/>
              <w:right w:val="single" w:sz="8" w:space="0" w:color="auto"/>
            </w:tcBorders>
            <w:shd w:val="clear" w:color="auto" w:fill="auto"/>
            <w:noWrap/>
            <w:vAlign w:val="center"/>
            <w:hideMark/>
          </w:tcPr>
          <w:p w14:paraId="4F92B2DA" w14:textId="77777777" w:rsidR="00296BB8" w:rsidRPr="00A52AEE" w:rsidRDefault="00296BB8" w:rsidP="009A2373">
            <w:pPr>
              <w:jc w:val="right"/>
              <w:rPr>
                <w:lang w:eastAsia="en-GB"/>
              </w:rPr>
            </w:pPr>
            <w:r w:rsidRPr="00A52AEE">
              <w:rPr>
                <w:lang w:eastAsia="en-GB"/>
              </w:rPr>
              <w:t>8%</w:t>
            </w:r>
          </w:p>
        </w:tc>
        <w:tc>
          <w:tcPr>
            <w:tcW w:w="1430" w:type="dxa"/>
            <w:tcBorders>
              <w:top w:val="nil"/>
              <w:left w:val="nil"/>
              <w:bottom w:val="single" w:sz="8" w:space="0" w:color="auto"/>
              <w:right w:val="single" w:sz="8" w:space="0" w:color="auto"/>
            </w:tcBorders>
            <w:shd w:val="clear" w:color="auto" w:fill="auto"/>
            <w:noWrap/>
            <w:vAlign w:val="center"/>
            <w:hideMark/>
          </w:tcPr>
          <w:p w14:paraId="49E4225F" w14:textId="77777777" w:rsidR="00296BB8" w:rsidRPr="00A52AEE" w:rsidRDefault="00296BB8" w:rsidP="009A2373">
            <w:pPr>
              <w:jc w:val="right"/>
              <w:rPr>
                <w:lang w:eastAsia="en-GB"/>
              </w:rPr>
            </w:pPr>
            <w:r w:rsidRPr="00A52AEE">
              <w:rPr>
                <w:lang w:eastAsia="en-GB"/>
              </w:rPr>
              <w:t>11%</w:t>
            </w:r>
          </w:p>
        </w:tc>
      </w:tr>
      <w:tr w:rsidR="00296BB8" w:rsidRPr="00A52AEE" w14:paraId="3F525E7E" w14:textId="77777777" w:rsidTr="00CE4337">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48F2386B" w14:textId="77777777" w:rsidR="00296BB8" w:rsidRPr="00A52AEE" w:rsidRDefault="00296BB8" w:rsidP="00A52AEE">
            <w:pPr>
              <w:rPr>
                <w:lang w:eastAsia="en-GB"/>
              </w:rPr>
            </w:pPr>
            <w:r w:rsidRPr="00A52AEE">
              <w:rPr>
                <w:lang w:eastAsia="en-GB"/>
              </w:rPr>
              <w:t>2010-11</w:t>
            </w:r>
          </w:p>
        </w:tc>
        <w:tc>
          <w:tcPr>
            <w:tcW w:w="1843" w:type="dxa"/>
            <w:tcBorders>
              <w:top w:val="nil"/>
              <w:left w:val="nil"/>
              <w:bottom w:val="single" w:sz="8" w:space="0" w:color="auto"/>
              <w:right w:val="single" w:sz="8" w:space="0" w:color="auto"/>
            </w:tcBorders>
            <w:shd w:val="clear" w:color="auto" w:fill="auto"/>
            <w:noWrap/>
            <w:vAlign w:val="center"/>
            <w:hideMark/>
          </w:tcPr>
          <w:p w14:paraId="0F6B3C83" w14:textId="77777777" w:rsidR="00296BB8" w:rsidRPr="00A52AEE" w:rsidRDefault="00296BB8" w:rsidP="00A52AEE">
            <w:pPr>
              <w:rPr>
                <w:lang w:eastAsia="en-GB"/>
              </w:rPr>
            </w:pPr>
            <w:r w:rsidRPr="00A52AEE">
              <w:rPr>
                <w:lang w:eastAsia="en-GB"/>
              </w:rPr>
              <w:t>Cohort Number</w:t>
            </w:r>
          </w:p>
        </w:tc>
        <w:tc>
          <w:tcPr>
            <w:tcW w:w="1057" w:type="dxa"/>
            <w:tcBorders>
              <w:top w:val="nil"/>
              <w:left w:val="nil"/>
              <w:bottom w:val="single" w:sz="8" w:space="0" w:color="auto"/>
              <w:right w:val="single" w:sz="8" w:space="0" w:color="auto"/>
            </w:tcBorders>
            <w:shd w:val="clear" w:color="auto" w:fill="auto"/>
            <w:noWrap/>
            <w:vAlign w:val="center"/>
            <w:hideMark/>
          </w:tcPr>
          <w:p w14:paraId="1FFD26B0" w14:textId="77777777" w:rsidR="00296BB8" w:rsidRPr="00A52AEE" w:rsidRDefault="00296BB8" w:rsidP="009A2373">
            <w:pPr>
              <w:jc w:val="right"/>
              <w:rPr>
                <w:lang w:eastAsia="en-GB"/>
              </w:rPr>
            </w:pPr>
            <w:r w:rsidRPr="00A52AEE">
              <w:rPr>
                <w:lang w:eastAsia="en-GB"/>
              </w:rPr>
              <w:t>5080</w:t>
            </w:r>
          </w:p>
        </w:tc>
        <w:tc>
          <w:tcPr>
            <w:tcW w:w="928" w:type="dxa"/>
            <w:tcBorders>
              <w:top w:val="nil"/>
              <w:left w:val="nil"/>
              <w:bottom w:val="single" w:sz="8" w:space="0" w:color="auto"/>
              <w:right w:val="single" w:sz="8" w:space="0" w:color="auto"/>
            </w:tcBorders>
            <w:shd w:val="clear" w:color="auto" w:fill="auto"/>
            <w:noWrap/>
            <w:vAlign w:val="center"/>
            <w:hideMark/>
          </w:tcPr>
          <w:p w14:paraId="4DC1F126" w14:textId="77777777" w:rsidR="00296BB8" w:rsidRPr="00A52AEE" w:rsidRDefault="00296BB8" w:rsidP="009A2373">
            <w:pPr>
              <w:jc w:val="right"/>
              <w:rPr>
                <w:lang w:eastAsia="en-GB"/>
              </w:rPr>
            </w:pPr>
            <w:r w:rsidRPr="00A52AEE">
              <w:rPr>
                <w:lang w:eastAsia="en-GB"/>
              </w:rPr>
              <w:t>14095</w:t>
            </w:r>
          </w:p>
        </w:tc>
        <w:tc>
          <w:tcPr>
            <w:tcW w:w="1232" w:type="dxa"/>
            <w:tcBorders>
              <w:top w:val="nil"/>
              <w:left w:val="nil"/>
              <w:bottom w:val="single" w:sz="8" w:space="0" w:color="auto"/>
              <w:right w:val="single" w:sz="8" w:space="0" w:color="auto"/>
            </w:tcBorders>
            <w:shd w:val="clear" w:color="auto" w:fill="auto"/>
            <w:noWrap/>
            <w:vAlign w:val="center"/>
            <w:hideMark/>
          </w:tcPr>
          <w:p w14:paraId="244D1606" w14:textId="77777777" w:rsidR="00296BB8" w:rsidRPr="00A52AEE" w:rsidRDefault="00296BB8" w:rsidP="009A2373">
            <w:pPr>
              <w:jc w:val="right"/>
              <w:rPr>
                <w:lang w:eastAsia="en-GB"/>
              </w:rPr>
            </w:pPr>
            <w:r w:rsidRPr="00A52AEE">
              <w:rPr>
                <w:lang w:eastAsia="en-GB"/>
              </w:rPr>
              <w:t>8945</w:t>
            </w:r>
          </w:p>
        </w:tc>
        <w:tc>
          <w:tcPr>
            <w:tcW w:w="960" w:type="dxa"/>
            <w:tcBorders>
              <w:top w:val="nil"/>
              <w:left w:val="nil"/>
              <w:bottom w:val="single" w:sz="8" w:space="0" w:color="auto"/>
              <w:right w:val="single" w:sz="8" w:space="0" w:color="auto"/>
            </w:tcBorders>
            <w:shd w:val="clear" w:color="auto" w:fill="auto"/>
            <w:noWrap/>
            <w:vAlign w:val="center"/>
            <w:hideMark/>
          </w:tcPr>
          <w:p w14:paraId="3C52A824" w14:textId="77777777" w:rsidR="00296BB8" w:rsidRPr="00A52AEE" w:rsidRDefault="00296BB8" w:rsidP="009A2373">
            <w:pPr>
              <w:jc w:val="right"/>
              <w:rPr>
                <w:lang w:eastAsia="en-GB"/>
              </w:rPr>
            </w:pPr>
            <w:r w:rsidRPr="00A52AEE">
              <w:rPr>
                <w:lang w:eastAsia="en-GB"/>
              </w:rPr>
              <w:t>1005</w:t>
            </w:r>
          </w:p>
        </w:tc>
        <w:tc>
          <w:tcPr>
            <w:tcW w:w="737" w:type="dxa"/>
            <w:tcBorders>
              <w:top w:val="nil"/>
              <w:left w:val="nil"/>
              <w:bottom w:val="single" w:sz="8" w:space="0" w:color="auto"/>
              <w:right w:val="single" w:sz="8" w:space="0" w:color="auto"/>
            </w:tcBorders>
            <w:shd w:val="clear" w:color="auto" w:fill="auto"/>
            <w:noWrap/>
            <w:vAlign w:val="center"/>
            <w:hideMark/>
          </w:tcPr>
          <w:p w14:paraId="4A093D40" w14:textId="77777777" w:rsidR="00296BB8" w:rsidRPr="00A52AEE" w:rsidRDefault="00296BB8" w:rsidP="009A2373">
            <w:pPr>
              <w:jc w:val="right"/>
              <w:rPr>
                <w:lang w:eastAsia="en-GB"/>
              </w:rPr>
            </w:pPr>
            <w:r w:rsidRPr="00A52AEE">
              <w:rPr>
                <w:lang w:eastAsia="en-GB"/>
              </w:rPr>
              <w:t>6715</w:t>
            </w:r>
          </w:p>
        </w:tc>
        <w:tc>
          <w:tcPr>
            <w:tcW w:w="1430" w:type="dxa"/>
            <w:tcBorders>
              <w:top w:val="nil"/>
              <w:left w:val="nil"/>
              <w:bottom w:val="single" w:sz="8" w:space="0" w:color="auto"/>
              <w:right w:val="single" w:sz="8" w:space="0" w:color="auto"/>
            </w:tcBorders>
            <w:shd w:val="clear" w:color="auto" w:fill="auto"/>
            <w:noWrap/>
            <w:vAlign w:val="center"/>
            <w:hideMark/>
          </w:tcPr>
          <w:p w14:paraId="5F7FA7B9" w14:textId="77777777" w:rsidR="00296BB8" w:rsidRPr="00A52AEE" w:rsidRDefault="00296BB8" w:rsidP="009A2373">
            <w:pPr>
              <w:jc w:val="right"/>
              <w:rPr>
                <w:lang w:eastAsia="en-GB"/>
              </w:rPr>
            </w:pPr>
            <w:r w:rsidRPr="00A52AEE">
              <w:rPr>
                <w:lang w:eastAsia="en-GB"/>
              </w:rPr>
              <w:t>6995</w:t>
            </w:r>
          </w:p>
        </w:tc>
      </w:tr>
      <w:tr w:rsidR="00296BB8" w:rsidRPr="00A52AEE" w14:paraId="74669A63" w14:textId="77777777" w:rsidTr="00CE4337">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5FFCC08"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51433AF4" w14:textId="77777777" w:rsidR="00296BB8" w:rsidRPr="00A52AEE" w:rsidRDefault="00296BB8" w:rsidP="00A52AEE">
            <w:pPr>
              <w:rPr>
                <w:lang w:eastAsia="en-GB"/>
              </w:rPr>
            </w:pPr>
            <w:r w:rsidRPr="00A52AEE">
              <w:rPr>
                <w:lang w:eastAsia="en-GB"/>
              </w:rPr>
              <w:t>HE entrants</w:t>
            </w:r>
          </w:p>
        </w:tc>
        <w:tc>
          <w:tcPr>
            <w:tcW w:w="1057" w:type="dxa"/>
            <w:tcBorders>
              <w:top w:val="nil"/>
              <w:left w:val="nil"/>
              <w:bottom w:val="single" w:sz="8" w:space="0" w:color="auto"/>
              <w:right w:val="single" w:sz="8" w:space="0" w:color="auto"/>
            </w:tcBorders>
            <w:shd w:val="clear" w:color="auto" w:fill="auto"/>
            <w:noWrap/>
            <w:vAlign w:val="center"/>
            <w:hideMark/>
          </w:tcPr>
          <w:p w14:paraId="1B3979A3" w14:textId="77777777" w:rsidR="00296BB8" w:rsidRPr="00A52AEE" w:rsidRDefault="00296BB8" w:rsidP="009A2373">
            <w:pPr>
              <w:jc w:val="right"/>
              <w:rPr>
                <w:lang w:eastAsia="en-GB"/>
              </w:rPr>
            </w:pPr>
            <w:r w:rsidRPr="00A52AEE">
              <w:rPr>
                <w:lang w:eastAsia="en-GB"/>
              </w:rPr>
              <w:t>3535</w:t>
            </w:r>
          </w:p>
        </w:tc>
        <w:tc>
          <w:tcPr>
            <w:tcW w:w="928" w:type="dxa"/>
            <w:tcBorders>
              <w:top w:val="nil"/>
              <w:left w:val="nil"/>
              <w:bottom w:val="single" w:sz="8" w:space="0" w:color="auto"/>
              <w:right w:val="single" w:sz="8" w:space="0" w:color="auto"/>
            </w:tcBorders>
            <w:shd w:val="clear" w:color="auto" w:fill="auto"/>
            <w:noWrap/>
            <w:vAlign w:val="center"/>
            <w:hideMark/>
          </w:tcPr>
          <w:p w14:paraId="06FC1146" w14:textId="77777777" w:rsidR="00296BB8" w:rsidRPr="00A52AEE" w:rsidRDefault="00296BB8" w:rsidP="009A2373">
            <w:pPr>
              <w:jc w:val="right"/>
              <w:rPr>
                <w:lang w:eastAsia="en-GB"/>
              </w:rPr>
            </w:pPr>
            <w:r w:rsidRPr="00A52AEE">
              <w:rPr>
                <w:lang w:eastAsia="en-GB"/>
              </w:rPr>
              <w:t>6860</w:t>
            </w:r>
          </w:p>
        </w:tc>
        <w:tc>
          <w:tcPr>
            <w:tcW w:w="1232" w:type="dxa"/>
            <w:tcBorders>
              <w:top w:val="nil"/>
              <w:left w:val="nil"/>
              <w:bottom w:val="single" w:sz="8" w:space="0" w:color="auto"/>
              <w:right w:val="single" w:sz="8" w:space="0" w:color="auto"/>
            </w:tcBorders>
            <w:shd w:val="clear" w:color="auto" w:fill="auto"/>
            <w:noWrap/>
            <w:vAlign w:val="center"/>
            <w:hideMark/>
          </w:tcPr>
          <w:p w14:paraId="0F2F609B" w14:textId="77777777" w:rsidR="00296BB8" w:rsidRPr="00A52AEE" w:rsidRDefault="00296BB8" w:rsidP="009A2373">
            <w:pPr>
              <w:jc w:val="right"/>
              <w:rPr>
                <w:lang w:eastAsia="en-GB"/>
              </w:rPr>
            </w:pPr>
            <w:r w:rsidRPr="00A52AEE">
              <w:rPr>
                <w:lang w:eastAsia="en-GB"/>
              </w:rPr>
              <w:t>6755</w:t>
            </w:r>
          </w:p>
        </w:tc>
        <w:tc>
          <w:tcPr>
            <w:tcW w:w="960" w:type="dxa"/>
            <w:tcBorders>
              <w:top w:val="nil"/>
              <w:left w:val="nil"/>
              <w:bottom w:val="single" w:sz="8" w:space="0" w:color="auto"/>
              <w:right w:val="single" w:sz="8" w:space="0" w:color="auto"/>
            </w:tcBorders>
            <w:shd w:val="clear" w:color="auto" w:fill="auto"/>
            <w:noWrap/>
            <w:vAlign w:val="center"/>
            <w:hideMark/>
          </w:tcPr>
          <w:p w14:paraId="2799DA4D" w14:textId="77777777" w:rsidR="00296BB8" w:rsidRPr="00A52AEE" w:rsidRDefault="00296BB8" w:rsidP="009A2373">
            <w:pPr>
              <w:jc w:val="right"/>
              <w:rPr>
                <w:lang w:eastAsia="en-GB"/>
              </w:rPr>
            </w:pPr>
            <w:r w:rsidRPr="00A52AEE">
              <w:rPr>
                <w:lang w:eastAsia="en-GB"/>
              </w:rPr>
              <w:t>310</w:t>
            </w:r>
          </w:p>
        </w:tc>
        <w:tc>
          <w:tcPr>
            <w:tcW w:w="737" w:type="dxa"/>
            <w:tcBorders>
              <w:top w:val="nil"/>
              <w:left w:val="nil"/>
              <w:bottom w:val="single" w:sz="8" w:space="0" w:color="auto"/>
              <w:right w:val="single" w:sz="8" w:space="0" w:color="auto"/>
            </w:tcBorders>
            <w:shd w:val="clear" w:color="auto" w:fill="auto"/>
            <w:noWrap/>
            <w:vAlign w:val="center"/>
            <w:hideMark/>
          </w:tcPr>
          <w:p w14:paraId="54587418" w14:textId="77777777" w:rsidR="00296BB8" w:rsidRPr="00A52AEE" w:rsidRDefault="00296BB8" w:rsidP="009A2373">
            <w:pPr>
              <w:jc w:val="right"/>
              <w:rPr>
                <w:lang w:eastAsia="en-GB"/>
              </w:rPr>
            </w:pPr>
            <w:r w:rsidRPr="00A52AEE">
              <w:rPr>
                <w:lang w:eastAsia="en-GB"/>
              </w:rPr>
              <w:t>250</w:t>
            </w:r>
          </w:p>
        </w:tc>
        <w:tc>
          <w:tcPr>
            <w:tcW w:w="1430" w:type="dxa"/>
            <w:tcBorders>
              <w:top w:val="nil"/>
              <w:left w:val="nil"/>
              <w:bottom w:val="single" w:sz="8" w:space="0" w:color="auto"/>
              <w:right w:val="single" w:sz="8" w:space="0" w:color="auto"/>
            </w:tcBorders>
            <w:shd w:val="clear" w:color="auto" w:fill="auto"/>
            <w:noWrap/>
            <w:vAlign w:val="center"/>
            <w:hideMark/>
          </w:tcPr>
          <w:p w14:paraId="606A986E" w14:textId="77777777" w:rsidR="00296BB8" w:rsidRPr="00A52AEE" w:rsidRDefault="00296BB8" w:rsidP="009A2373">
            <w:pPr>
              <w:jc w:val="right"/>
              <w:rPr>
                <w:lang w:eastAsia="en-GB"/>
              </w:rPr>
            </w:pPr>
            <w:r w:rsidRPr="00A52AEE">
              <w:rPr>
                <w:lang w:eastAsia="en-GB"/>
              </w:rPr>
              <w:t>785</w:t>
            </w:r>
          </w:p>
        </w:tc>
      </w:tr>
      <w:tr w:rsidR="00296BB8" w:rsidRPr="00A52AEE" w14:paraId="1D4FD37E" w14:textId="77777777" w:rsidTr="00CE4337">
        <w:trPr>
          <w:trHeight w:val="330"/>
        </w:trPr>
        <w:tc>
          <w:tcPr>
            <w:tcW w:w="1124" w:type="dxa"/>
            <w:vMerge/>
            <w:tcBorders>
              <w:top w:val="nil"/>
              <w:left w:val="single" w:sz="8" w:space="0" w:color="auto"/>
              <w:bottom w:val="single" w:sz="8" w:space="0" w:color="000000"/>
              <w:right w:val="single" w:sz="8" w:space="0" w:color="auto"/>
            </w:tcBorders>
            <w:vAlign w:val="center"/>
            <w:hideMark/>
          </w:tcPr>
          <w:p w14:paraId="1F3DAD6C"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1C32B99D" w14:textId="77777777" w:rsidR="00296BB8" w:rsidRPr="00A52AEE" w:rsidRDefault="00296BB8" w:rsidP="00A52AEE">
            <w:pPr>
              <w:rPr>
                <w:lang w:eastAsia="en-GB"/>
              </w:rPr>
            </w:pPr>
            <w:r w:rsidRPr="00A52AEE">
              <w:rPr>
                <w:lang w:eastAsia="en-GB"/>
              </w:rPr>
              <w:t>% Total HE</w:t>
            </w:r>
          </w:p>
        </w:tc>
        <w:tc>
          <w:tcPr>
            <w:tcW w:w="1057" w:type="dxa"/>
            <w:tcBorders>
              <w:top w:val="nil"/>
              <w:left w:val="nil"/>
              <w:bottom w:val="single" w:sz="8" w:space="0" w:color="auto"/>
              <w:right w:val="single" w:sz="8" w:space="0" w:color="auto"/>
            </w:tcBorders>
            <w:shd w:val="clear" w:color="auto" w:fill="auto"/>
            <w:noWrap/>
            <w:vAlign w:val="center"/>
            <w:hideMark/>
          </w:tcPr>
          <w:p w14:paraId="61078A69" w14:textId="77777777" w:rsidR="00296BB8" w:rsidRPr="00A52AEE" w:rsidRDefault="00296BB8" w:rsidP="009A2373">
            <w:pPr>
              <w:jc w:val="right"/>
              <w:rPr>
                <w:lang w:eastAsia="en-GB"/>
              </w:rPr>
            </w:pPr>
            <w:r w:rsidRPr="00A52AEE">
              <w:rPr>
                <w:lang w:eastAsia="en-GB"/>
              </w:rPr>
              <w:t>70%</w:t>
            </w:r>
          </w:p>
        </w:tc>
        <w:tc>
          <w:tcPr>
            <w:tcW w:w="928" w:type="dxa"/>
            <w:tcBorders>
              <w:top w:val="nil"/>
              <w:left w:val="nil"/>
              <w:bottom w:val="single" w:sz="8" w:space="0" w:color="auto"/>
              <w:right w:val="single" w:sz="8" w:space="0" w:color="auto"/>
            </w:tcBorders>
            <w:shd w:val="clear" w:color="auto" w:fill="auto"/>
            <w:noWrap/>
            <w:vAlign w:val="center"/>
            <w:hideMark/>
          </w:tcPr>
          <w:p w14:paraId="7955B7D5" w14:textId="77777777" w:rsidR="00296BB8" w:rsidRPr="00A52AEE" w:rsidRDefault="00296BB8" w:rsidP="009A2373">
            <w:pPr>
              <w:jc w:val="right"/>
              <w:rPr>
                <w:lang w:eastAsia="en-GB"/>
              </w:rPr>
            </w:pPr>
            <w:r w:rsidRPr="00A52AEE">
              <w:rPr>
                <w:lang w:eastAsia="en-GB"/>
              </w:rPr>
              <w:t>49%</w:t>
            </w:r>
          </w:p>
        </w:tc>
        <w:tc>
          <w:tcPr>
            <w:tcW w:w="1232" w:type="dxa"/>
            <w:tcBorders>
              <w:top w:val="nil"/>
              <w:left w:val="nil"/>
              <w:bottom w:val="single" w:sz="8" w:space="0" w:color="auto"/>
              <w:right w:val="single" w:sz="8" w:space="0" w:color="auto"/>
            </w:tcBorders>
            <w:shd w:val="clear" w:color="auto" w:fill="auto"/>
            <w:noWrap/>
            <w:vAlign w:val="center"/>
            <w:hideMark/>
          </w:tcPr>
          <w:p w14:paraId="687A507A" w14:textId="77777777" w:rsidR="00296BB8" w:rsidRPr="00A52AEE" w:rsidRDefault="00296BB8" w:rsidP="009A2373">
            <w:pPr>
              <w:jc w:val="right"/>
              <w:rPr>
                <w:lang w:eastAsia="en-GB"/>
              </w:rPr>
            </w:pPr>
            <w:r w:rsidRPr="00A52AEE">
              <w:rPr>
                <w:lang w:eastAsia="en-GB"/>
              </w:rPr>
              <w:t>75%</w:t>
            </w:r>
          </w:p>
        </w:tc>
        <w:tc>
          <w:tcPr>
            <w:tcW w:w="960" w:type="dxa"/>
            <w:tcBorders>
              <w:top w:val="nil"/>
              <w:left w:val="nil"/>
              <w:bottom w:val="single" w:sz="8" w:space="0" w:color="auto"/>
              <w:right w:val="single" w:sz="8" w:space="0" w:color="auto"/>
            </w:tcBorders>
            <w:shd w:val="clear" w:color="auto" w:fill="auto"/>
            <w:noWrap/>
            <w:vAlign w:val="center"/>
            <w:hideMark/>
          </w:tcPr>
          <w:p w14:paraId="376E39F4" w14:textId="77777777" w:rsidR="00296BB8" w:rsidRPr="00A52AEE" w:rsidRDefault="00296BB8" w:rsidP="009A2373">
            <w:pPr>
              <w:jc w:val="right"/>
              <w:rPr>
                <w:lang w:eastAsia="en-GB"/>
              </w:rPr>
            </w:pPr>
            <w:r w:rsidRPr="00A52AEE">
              <w:rPr>
                <w:lang w:eastAsia="en-GB"/>
              </w:rPr>
              <w:t>31%</w:t>
            </w:r>
          </w:p>
        </w:tc>
        <w:tc>
          <w:tcPr>
            <w:tcW w:w="737" w:type="dxa"/>
            <w:tcBorders>
              <w:top w:val="nil"/>
              <w:left w:val="nil"/>
              <w:bottom w:val="single" w:sz="8" w:space="0" w:color="auto"/>
              <w:right w:val="single" w:sz="8" w:space="0" w:color="auto"/>
            </w:tcBorders>
            <w:shd w:val="clear" w:color="auto" w:fill="auto"/>
            <w:noWrap/>
            <w:vAlign w:val="center"/>
            <w:hideMark/>
          </w:tcPr>
          <w:p w14:paraId="1AB2131E" w14:textId="77777777" w:rsidR="00296BB8" w:rsidRPr="00A52AEE" w:rsidRDefault="00296BB8" w:rsidP="009A2373">
            <w:pPr>
              <w:jc w:val="right"/>
              <w:rPr>
                <w:lang w:eastAsia="en-GB"/>
              </w:rPr>
            </w:pPr>
            <w:r w:rsidRPr="00A52AEE">
              <w:rPr>
                <w:lang w:eastAsia="en-GB"/>
              </w:rPr>
              <w:t>4%</w:t>
            </w:r>
          </w:p>
        </w:tc>
        <w:tc>
          <w:tcPr>
            <w:tcW w:w="1430" w:type="dxa"/>
            <w:tcBorders>
              <w:top w:val="nil"/>
              <w:left w:val="nil"/>
              <w:bottom w:val="single" w:sz="8" w:space="0" w:color="auto"/>
              <w:right w:val="single" w:sz="8" w:space="0" w:color="auto"/>
            </w:tcBorders>
            <w:shd w:val="clear" w:color="auto" w:fill="auto"/>
            <w:noWrap/>
            <w:vAlign w:val="center"/>
            <w:hideMark/>
          </w:tcPr>
          <w:p w14:paraId="3C9438B2" w14:textId="77777777" w:rsidR="00296BB8" w:rsidRPr="00A52AEE" w:rsidRDefault="00296BB8" w:rsidP="009A2373">
            <w:pPr>
              <w:jc w:val="right"/>
              <w:rPr>
                <w:lang w:eastAsia="en-GB"/>
              </w:rPr>
            </w:pPr>
            <w:r w:rsidRPr="00A52AEE">
              <w:rPr>
                <w:lang w:eastAsia="en-GB"/>
              </w:rPr>
              <w:t>11%</w:t>
            </w:r>
          </w:p>
        </w:tc>
      </w:tr>
      <w:tr w:rsidR="00296BB8" w:rsidRPr="00A52AEE" w14:paraId="7C4F27C7" w14:textId="77777777" w:rsidTr="00CE4337">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1A713F8C" w14:textId="77777777" w:rsidR="00296BB8" w:rsidRPr="00A52AEE" w:rsidRDefault="00296BB8" w:rsidP="00A52AEE">
            <w:pPr>
              <w:rPr>
                <w:lang w:eastAsia="en-GB"/>
              </w:rPr>
            </w:pPr>
            <w:r w:rsidRPr="00A52AEE">
              <w:rPr>
                <w:lang w:eastAsia="en-GB"/>
              </w:rPr>
              <w:t>2011-12</w:t>
            </w:r>
          </w:p>
        </w:tc>
        <w:tc>
          <w:tcPr>
            <w:tcW w:w="1843" w:type="dxa"/>
            <w:tcBorders>
              <w:top w:val="nil"/>
              <w:left w:val="nil"/>
              <w:bottom w:val="single" w:sz="8" w:space="0" w:color="auto"/>
              <w:right w:val="single" w:sz="8" w:space="0" w:color="auto"/>
            </w:tcBorders>
            <w:shd w:val="clear" w:color="auto" w:fill="auto"/>
            <w:noWrap/>
            <w:vAlign w:val="center"/>
            <w:hideMark/>
          </w:tcPr>
          <w:p w14:paraId="059FAF3C" w14:textId="77777777" w:rsidR="00296BB8" w:rsidRPr="00A52AEE" w:rsidRDefault="00296BB8" w:rsidP="00A52AEE">
            <w:pPr>
              <w:rPr>
                <w:lang w:eastAsia="en-GB"/>
              </w:rPr>
            </w:pPr>
            <w:r w:rsidRPr="00A52AEE">
              <w:rPr>
                <w:lang w:eastAsia="en-GB"/>
              </w:rPr>
              <w:t>Cohort Number</w:t>
            </w:r>
          </w:p>
        </w:tc>
        <w:tc>
          <w:tcPr>
            <w:tcW w:w="1057" w:type="dxa"/>
            <w:tcBorders>
              <w:top w:val="nil"/>
              <w:left w:val="nil"/>
              <w:bottom w:val="single" w:sz="8" w:space="0" w:color="auto"/>
              <w:right w:val="single" w:sz="8" w:space="0" w:color="auto"/>
            </w:tcBorders>
            <w:shd w:val="clear" w:color="auto" w:fill="auto"/>
            <w:noWrap/>
            <w:vAlign w:val="center"/>
            <w:hideMark/>
          </w:tcPr>
          <w:p w14:paraId="5A124E50" w14:textId="77777777" w:rsidR="00296BB8" w:rsidRPr="00A52AEE" w:rsidRDefault="00296BB8" w:rsidP="009A2373">
            <w:pPr>
              <w:jc w:val="right"/>
              <w:rPr>
                <w:lang w:eastAsia="en-GB"/>
              </w:rPr>
            </w:pPr>
            <w:r w:rsidRPr="00A52AEE">
              <w:rPr>
                <w:lang w:eastAsia="en-GB"/>
              </w:rPr>
              <w:t>4935</w:t>
            </w:r>
          </w:p>
        </w:tc>
        <w:tc>
          <w:tcPr>
            <w:tcW w:w="928" w:type="dxa"/>
            <w:tcBorders>
              <w:top w:val="nil"/>
              <w:left w:val="nil"/>
              <w:bottom w:val="single" w:sz="8" w:space="0" w:color="auto"/>
              <w:right w:val="single" w:sz="8" w:space="0" w:color="auto"/>
            </w:tcBorders>
            <w:shd w:val="clear" w:color="auto" w:fill="auto"/>
            <w:noWrap/>
            <w:vAlign w:val="center"/>
            <w:hideMark/>
          </w:tcPr>
          <w:p w14:paraId="0B5331C7" w14:textId="77777777" w:rsidR="00296BB8" w:rsidRPr="00A52AEE" w:rsidRDefault="00296BB8" w:rsidP="009A2373">
            <w:pPr>
              <w:jc w:val="right"/>
              <w:rPr>
                <w:lang w:eastAsia="en-GB"/>
              </w:rPr>
            </w:pPr>
            <w:r w:rsidRPr="00A52AEE">
              <w:rPr>
                <w:lang w:eastAsia="en-GB"/>
              </w:rPr>
              <w:t>18660</w:t>
            </w:r>
          </w:p>
        </w:tc>
        <w:tc>
          <w:tcPr>
            <w:tcW w:w="1232" w:type="dxa"/>
            <w:tcBorders>
              <w:top w:val="nil"/>
              <w:left w:val="nil"/>
              <w:bottom w:val="single" w:sz="8" w:space="0" w:color="auto"/>
              <w:right w:val="single" w:sz="8" w:space="0" w:color="auto"/>
            </w:tcBorders>
            <w:shd w:val="clear" w:color="auto" w:fill="auto"/>
            <w:noWrap/>
            <w:vAlign w:val="center"/>
            <w:hideMark/>
          </w:tcPr>
          <w:p w14:paraId="11A94330" w14:textId="77777777" w:rsidR="00296BB8" w:rsidRPr="00A52AEE" w:rsidRDefault="00296BB8" w:rsidP="009A2373">
            <w:pPr>
              <w:jc w:val="right"/>
              <w:rPr>
                <w:lang w:eastAsia="en-GB"/>
              </w:rPr>
            </w:pPr>
            <w:r w:rsidRPr="00A52AEE">
              <w:rPr>
                <w:lang w:eastAsia="en-GB"/>
              </w:rPr>
              <w:t>8485</w:t>
            </w:r>
          </w:p>
        </w:tc>
        <w:tc>
          <w:tcPr>
            <w:tcW w:w="960" w:type="dxa"/>
            <w:tcBorders>
              <w:top w:val="nil"/>
              <w:left w:val="nil"/>
              <w:bottom w:val="single" w:sz="8" w:space="0" w:color="auto"/>
              <w:right w:val="single" w:sz="8" w:space="0" w:color="auto"/>
            </w:tcBorders>
            <w:shd w:val="clear" w:color="auto" w:fill="auto"/>
            <w:noWrap/>
            <w:vAlign w:val="center"/>
            <w:hideMark/>
          </w:tcPr>
          <w:p w14:paraId="25833C24" w14:textId="77777777" w:rsidR="00296BB8" w:rsidRPr="00A52AEE" w:rsidRDefault="00296BB8" w:rsidP="009A2373">
            <w:pPr>
              <w:jc w:val="right"/>
              <w:rPr>
                <w:lang w:eastAsia="en-GB"/>
              </w:rPr>
            </w:pPr>
            <w:r w:rsidRPr="00A52AEE">
              <w:rPr>
                <w:lang w:eastAsia="en-GB"/>
              </w:rPr>
              <w:t>905</w:t>
            </w:r>
          </w:p>
        </w:tc>
        <w:tc>
          <w:tcPr>
            <w:tcW w:w="737" w:type="dxa"/>
            <w:tcBorders>
              <w:top w:val="nil"/>
              <w:left w:val="nil"/>
              <w:bottom w:val="single" w:sz="8" w:space="0" w:color="auto"/>
              <w:right w:val="single" w:sz="8" w:space="0" w:color="auto"/>
            </w:tcBorders>
            <w:shd w:val="clear" w:color="auto" w:fill="auto"/>
            <w:noWrap/>
            <w:vAlign w:val="center"/>
            <w:hideMark/>
          </w:tcPr>
          <w:p w14:paraId="36A6F14B" w14:textId="77777777" w:rsidR="00296BB8" w:rsidRPr="00A52AEE" w:rsidRDefault="00296BB8" w:rsidP="009A2373">
            <w:pPr>
              <w:jc w:val="right"/>
              <w:rPr>
                <w:lang w:eastAsia="en-GB"/>
              </w:rPr>
            </w:pPr>
            <w:r w:rsidRPr="00A52AEE">
              <w:rPr>
                <w:lang w:eastAsia="en-GB"/>
              </w:rPr>
              <w:t>2775</w:t>
            </w:r>
          </w:p>
        </w:tc>
        <w:tc>
          <w:tcPr>
            <w:tcW w:w="1430" w:type="dxa"/>
            <w:tcBorders>
              <w:top w:val="nil"/>
              <w:left w:val="nil"/>
              <w:bottom w:val="single" w:sz="8" w:space="0" w:color="auto"/>
              <w:right w:val="single" w:sz="8" w:space="0" w:color="auto"/>
            </w:tcBorders>
            <w:shd w:val="clear" w:color="auto" w:fill="auto"/>
            <w:noWrap/>
            <w:vAlign w:val="center"/>
            <w:hideMark/>
          </w:tcPr>
          <w:p w14:paraId="3D839746" w14:textId="77777777" w:rsidR="00296BB8" w:rsidRPr="00A52AEE" w:rsidRDefault="00296BB8" w:rsidP="009A2373">
            <w:pPr>
              <w:jc w:val="right"/>
              <w:rPr>
                <w:lang w:eastAsia="en-GB"/>
              </w:rPr>
            </w:pPr>
            <w:r w:rsidRPr="00A52AEE">
              <w:rPr>
                <w:lang w:eastAsia="en-GB"/>
              </w:rPr>
              <w:t>10625</w:t>
            </w:r>
          </w:p>
        </w:tc>
      </w:tr>
      <w:tr w:rsidR="00296BB8" w:rsidRPr="00A52AEE" w14:paraId="1F0C92D3" w14:textId="77777777" w:rsidTr="00CE4337">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3B5E4D9"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74190D81" w14:textId="77777777" w:rsidR="00296BB8" w:rsidRPr="00A52AEE" w:rsidRDefault="00296BB8" w:rsidP="00A52AEE">
            <w:pPr>
              <w:rPr>
                <w:lang w:eastAsia="en-GB"/>
              </w:rPr>
            </w:pPr>
            <w:r w:rsidRPr="00A52AEE">
              <w:rPr>
                <w:lang w:eastAsia="en-GB"/>
              </w:rPr>
              <w:t>HE entrants</w:t>
            </w:r>
          </w:p>
        </w:tc>
        <w:tc>
          <w:tcPr>
            <w:tcW w:w="1057" w:type="dxa"/>
            <w:tcBorders>
              <w:top w:val="nil"/>
              <w:left w:val="nil"/>
              <w:bottom w:val="single" w:sz="8" w:space="0" w:color="auto"/>
              <w:right w:val="single" w:sz="8" w:space="0" w:color="auto"/>
            </w:tcBorders>
            <w:shd w:val="clear" w:color="auto" w:fill="auto"/>
            <w:noWrap/>
            <w:vAlign w:val="center"/>
            <w:hideMark/>
          </w:tcPr>
          <w:p w14:paraId="0028024E" w14:textId="77777777" w:rsidR="00296BB8" w:rsidRPr="00A52AEE" w:rsidRDefault="00296BB8" w:rsidP="009A2373">
            <w:pPr>
              <w:jc w:val="right"/>
              <w:rPr>
                <w:lang w:eastAsia="en-GB"/>
              </w:rPr>
            </w:pPr>
            <w:r w:rsidRPr="00A52AEE">
              <w:rPr>
                <w:lang w:eastAsia="en-GB"/>
              </w:rPr>
              <w:t>3230</w:t>
            </w:r>
          </w:p>
        </w:tc>
        <w:tc>
          <w:tcPr>
            <w:tcW w:w="928" w:type="dxa"/>
            <w:tcBorders>
              <w:top w:val="nil"/>
              <w:left w:val="nil"/>
              <w:bottom w:val="single" w:sz="8" w:space="0" w:color="auto"/>
              <w:right w:val="single" w:sz="8" w:space="0" w:color="auto"/>
            </w:tcBorders>
            <w:shd w:val="clear" w:color="auto" w:fill="auto"/>
            <w:noWrap/>
            <w:vAlign w:val="center"/>
            <w:hideMark/>
          </w:tcPr>
          <w:p w14:paraId="19ED284E" w14:textId="77777777" w:rsidR="00296BB8" w:rsidRPr="00A52AEE" w:rsidRDefault="00296BB8" w:rsidP="009A2373">
            <w:pPr>
              <w:jc w:val="right"/>
              <w:rPr>
                <w:lang w:eastAsia="en-GB"/>
              </w:rPr>
            </w:pPr>
            <w:r w:rsidRPr="00A52AEE">
              <w:rPr>
                <w:lang w:eastAsia="en-GB"/>
              </w:rPr>
              <w:t>6955</w:t>
            </w:r>
          </w:p>
        </w:tc>
        <w:tc>
          <w:tcPr>
            <w:tcW w:w="1232" w:type="dxa"/>
            <w:tcBorders>
              <w:top w:val="nil"/>
              <w:left w:val="nil"/>
              <w:bottom w:val="single" w:sz="8" w:space="0" w:color="auto"/>
              <w:right w:val="single" w:sz="8" w:space="0" w:color="auto"/>
            </w:tcBorders>
            <w:shd w:val="clear" w:color="auto" w:fill="auto"/>
            <w:noWrap/>
            <w:vAlign w:val="center"/>
            <w:hideMark/>
          </w:tcPr>
          <w:p w14:paraId="3A2FF422" w14:textId="77777777" w:rsidR="00296BB8" w:rsidRPr="00A52AEE" w:rsidRDefault="00296BB8" w:rsidP="009A2373">
            <w:pPr>
              <w:jc w:val="right"/>
              <w:rPr>
                <w:lang w:eastAsia="en-GB"/>
              </w:rPr>
            </w:pPr>
            <w:r w:rsidRPr="00A52AEE">
              <w:rPr>
                <w:lang w:eastAsia="en-GB"/>
              </w:rPr>
              <w:t>5795</w:t>
            </w:r>
          </w:p>
        </w:tc>
        <w:tc>
          <w:tcPr>
            <w:tcW w:w="960" w:type="dxa"/>
            <w:tcBorders>
              <w:top w:val="nil"/>
              <w:left w:val="nil"/>
              <w:bottom w:val="single" w:sz="8" w:space="0" w:color="auto"/>
              <w:right w:val="single" w:sz="8" w:space="0" w:color="auto"/>
            </w:tcBorders>
            <w:shd w:val="clear" w:color="auto" w:fill="auto"/>
            <w:noWrap/>
            <w:vAlign w:val="center"/>
            <w:hideMark/>
          </w:tcPr>
          <w:p w14:paraId="5CB57C3F" w14:textId="77777777" w:rsidR="00296BB8" w:rsidRPr="00A52AEE" w:rsidRDefault="00296BB8" w:rsidP="009A2373">
            <w:pPr>
              <w:jc w:val="right"/>
              <w:rPr>
                <w:lang w:eastAsia="en-GB"/>
              </w:rPr>
            </w:pPr>
            <w:r w:rsidRPr="00A52AEE">
              <w:rPr>
                <w:lang w:eastAsia="en-GB"/>
              </w:rPr>
              <w:t>230</w:t>
            </w:r>
          </w:p>
        </w:tc>
        <w:tc>
          <w:tcPr>
            <w:tcW w:w="737" w:type="dxa"/>
            <w:tcBorders>
              <w:top w:val="nil"/>
              <w:left w:val="nil"/>
              <w:bottom w:val="single" w:sz="8" w:space="0" w:color="auto"/>
              <w:right w:val="single" w:sz="8" w:space="0" w:color="auto"/>
            </w:tcBorders>
            <w:shd w:val="clear" w:color="auto" w:fill="auto"/>
            <w:noWrap/>
            <w:vAlign w:val="center"/>
            <w:hideMark/>
          </w:tcPr>
          <w:p w14:paraId="396C5C45" w14:textId="77777777" w:rsidR="00296BB8" w:rsidRPr="00A52AEE" w:rsidRDefault="00296BB8" w:rsidP="009A2373">
            <w:pPr>
              <w:jc w:val="right"/>
              <w:rPr>
                <w:lang w:eastAsia="en-GB"/>
              </w:rPr>
            </w:pPr>
            <w:r w:rsidRPr="00A52AEE">
              <w:rPr>
                <w:lang w:eastAsia="en-GB"/>
              </w:rPr>
              <w:t>155</w:t>
            </w:r>
          </w:p>
        </w:tc>
        <w:tc>
          <w:tcPr>
            <w:tcW w:w="1430" w:type="dxa"/>
            <w:tcBorders>
              <w:top w:val="nil"/>
              <w:left w:val="nil"/>
              <w:bottom w:val="single" w:sz="8" w:space="0" w:color="auto"/>
              <w:right w:val="single" w:sz="8" w:space="0" w:color="auto"/>
            </w:tcBorders>
            <w:shd w:val="clear" w:color="auto" w:fill="auto"/>
            <w:noWrap/>
            <w:vAlign w:val="center"/>
            <w:hideMark/>
          </w:tcPr>
          <w:p w14:paraId="0D1CA5AD" w14:textId="77777777" w:rsidR="00296BB8" w:rsidRPr="00A52AEE" w:rsidRDefault="00296BB8" w:rsidP="009A2373">
            <w:pPr>
              <w:jc w:val="right"/>
              <w:rPr>
                <w:lang w:eastAsia="en-GB"/>
              </w:rPr>
            </w:pPr>
            <w:r w:rsidRPr="00A52AEE">
              <w:rPr>
                <w:lang w:eastAsia="en-GB"/>
              </w:rPr>
              <w:t>1405</w:t>
            </w:r>
          </w:p>
        </w:tc>
      </w:tr>
      <w:tr w:rsidR="00296BB8" w:rsidRPr="00A52AEE" w14:paraId="52878BB6" w14:textId="77777777" w:rsidTr="00CE4337">
        <w:trPr>
          <w:trHeight w:val="330"/>
        </w:trPr>
        <w:tc>
          <w:tcPr>
            <w:tcW w:w="1124" w:type="dxa"/>
            <w:vMerge/>
            <w:tcBorders>
              <w:top w:val="nil"/>
              <w:left w:val="single" w:sz="8" w:space="0" w:color="auto"/>
              <w:bottom w:val="single" w:sz="8" w:space="0" w:color="000000"/>
              <w:right w:val="single" w:sz="8" w:space="0" w:color="auto"/>
            </w:tcBorders>
            <w:vAlign w:val="center"/>
            <w:hideMark/>
          </w:tcPr>
          <w:p w14:paraId="40696C3D" w14:textId="77777777" w:rsidR="00296BB8" w:rsidRPr="00A52AEE" w:rsidRDefault="00296BB8" w:rsidP="00A52AEE">
            <w:pPr>
              <w:rPr>
                <w:lang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276A33DB" w14:textId="77777777" w:rsidR="00296BB8" w:rsidRPr="00A52AEE" w:rsidRDefault="00296BB8" w:rsidP="00A52AEE">
            <w:pPr>
              <w:rPr>
                <w:lang w:eastAsia="en-GB"/>
              </w:rPr>
            </w:pPr>
            <w:r w:rsidRPr="00A52AEE">
              <w:rPr>
                <w:lang w:eastAsia="en-GB"/>
              </w:rPr>
              <w:t>% Total HE</w:t>
            </w:r>
          </w:p>
        </w:tc>
        <w:tc>
          <w:tcPr>
            <w:tcW w:w="1057" w:type="dxa"/>
            <w:tcBorders>
              <w:top w:val="nil"/>
              <w:left w:val="nil"/>
              <w:bottom w:val="single" w:sz="8" w:space="0" w:color="auto"/>
              <w:right w:val="single" w:sz="8" w:space="0" w:color="auto"/>
            </w:tcBorders>
            <w:shd w:val="clear" w:color="auto" w:fill="auto"/>
            <w:noWrap/>
            <w:vAlign w:val="center"/>
            <w:hideMark/>
          </w:tcPr>
          <w:p w14:paraId="30542E47" w14:textId="77777777" w:rsidR="00296BB8" w:rsidRPr="00A52AEE" w:rsidRDefault="00296BB8" w:rsidP="009A2373">
            <w:pPr>
              <w:jc w:val="right"/>
              <w:rPr>
                <w:lang w:eastAsia="en-GB"/>
              </w:rPr>
            </w:pPr>
            <w:r w:rsidRPr="00A52AEE">
              <w:rPr>
                <w:lang w:eastAsia="en-GB"/>
              </w:rPr>
              <w:t>65%</w:t>
            </w:r>
          </w:p>
        </w:tc>
        <w:tc>
          <w:tcPr>
            <w:tcW w:w="928" w:type="dxa"/>
            <w:tcBorders>
              <w:top w:val="nil"/>
              <w:left w:val="nil"/>
              <w:bottom w:val="single" w:sz="8" w:space="0" w:color="auto"/>
              <w:right w:val="single" w:sz="8" w:space="0" w:color="auto"/>
            </w:tcBorders>
            <w:shd w:val="clear" w:color="auto" w:fill="auto"/>
            <w:noWrap/>
            <w:vAlign w:val="center"/>
            <w:hideMark/>
          </w:tcPr>
          <w:p w14:paraId="28802BD7" w14:textId="77777777" w:rsidR="00296BB8" w:rsidRPr="00A52AEE" w:rsidRDefault="00296BB8" w:rsidP="009A2373">
            <w:pPr>
              <w:jc w:val="right"/>
              <w:rPr>
                <w:lang w:eastAsia="en-GB"/>
              </w:rPr>
            </w:pPr>
            <w:r w:rsidRPr="00A52AEE">
              <w:rPr>
                <w:lang w:eastAsia="en-GB"/>
              </w:rPr>
              <w:t>37%</w:t>
            </w:r>
          </w:p>
        </w:tc>
        <w:tc>
          <w:tcPr>
            <w:tcW w:w="1232" w:type="dxa"/>
            <w:tcBorders>
              <w:top w:val="nil"/>
              <w:left w:val="nil"/>
              <w:bottom w:val="single" w:sz="8" w:space="0" w:color="auto"/>
              <w:right w:val="single" w:sz="8" w:space="0" w:color="auto"/>
            </w:tcBorders>
            <w:shd w:val="clear" w:color="auto" w:fill="auto"/>
            <w:noWrap/>
            <w:vAlign w:val="center"/>
            <w:hideMark/>
          </w:tcPr>
          <w:p w14:paraId="581EACF9" w14:textId="77777777" w:rsidR="00296BB8" w:rsidRPr="00A52AEE" w:rsidRDefault="00296BB8" w:rsidP="009A2373">
            <w:pPr>
              <w:jc w:val="right"/>
              <w:rPr>
                <w:lang w:eastAsia="en-GB"/>
              </w:rPr>
            </w:pPr>
            <w:r w:rsidRPr="00A52AEE">
              <w:rPr>
                <w:lang w:eastAsia="en-GB"/>
              </w:rPr>
              <w:t>68%</w:t>
            </w:r>
          </w:p>
        </w:tc>
        <w:tc>
          <w:tcPr>
            <w:tcW w:w="960" w:type="dxa"/>
            <w:tcBorders>
              <w:top w:val="nil"/>
              <w:left w:val="nil"/>
              <w:bottom w:val="single" w:sz="8" w:space="0" w:color="auto"/>
              <w:right w:val="single" w:sz="8" w:space="0" w:color="auto"/>
            </w:tcBorders>
            <w:shd w:val="clear" w:color="auto" w:fill="auto"/>
            <w:noWrap/>
            <w:vAlign w:val="center"/>
            <w:hideMark/>
          </w:tcPr>
          <w:p w14:paraId="2BDEAC71" w14:textId="77777777" w:rsidR="00296BB8" w:rsidRPr="00A52AEE" w:rsidRDefault="00296BB8" w:rsidP="009A2373">
            <w:pPr>
              <w:jc w:val="right"/>
              <w:rPr>
                <w:lang w:eastAsia="en-GB"/>
              </w:rPr>
            </w:pPr>
            <w:r w:rsidRPr="00A52AEE">
              <w:rPr>
                <w:lang w:eastAsia="en-GB"/>
              </w:rPr>
              <w:t>25%</w:t>
            </w:r>
          </w:p>
        </w:tc>
        <w:tc>
          <w:tcPr>
            <w:tcW w:w="737" w:type="dxa"/>
            <w:tcBorders>
              <w:top w:val="nil"/>
              <w:left w:val="nil"/>
              <w:bottom w:val="single" w:sz="8" w:space="0" w:color="auto"/>
              <w:right w:val="single" w:sz="8" w:space="0" w:color="auto"/>
            </w:tcBorders>
            <w:shd w:val="clear" w:color="auto" w:fill="auto"/>
            <w:noWrap/>
            <w:vAlign w:val="center"/>
            <w:hideMark/>
          </w:tcPr>
          <w:p w14:paraId="188A38AE" w14:textId="77777777" w:rsidR="00296BB8" w:rsidRPr="00A52AEE" w:rsidRDefault="00296BB8" w:rsidP="009A2373">
            <w:pPr>
              <w:jc w:val="right"/>
              <w:rPr>
                <w:lang w:eastAsia="en-GB"/>
              </w:rPr>
            </w:pPr>
            <w:r w:rsidRPr="00A52AEE">
              <w:rPr>
                <w:lang w:eastAsia="en-GB"/>
              </w:rPr>
              <w:t>6%</w:t>
            </w:r>
          </w:p>
        </w:tc>
        <w:tc>
          <w:tcPr>
            <w:tcW w:w="1430" w:type="dxa"/>
            <w:tcBorders>
              <w:top w:val="nil"/>
              <w:left w:val="nil"/>
              <w:bottom w:val="single" w:sz="8" w:space="0" w:color="auto"/>
              <w:right w:val="single" w:sz="8" w:space="0" w:color="auto"/>
            </w:tcBorders>
            <w:shd w:val="clear" w:color="auto" w:fill="auto"/>
            <w:noWrap/>
            <w:vAlign w:val="center"/>
            <w:hideMark/>
          </w:tcPr>
          <w:p w14:paraId="09AD2595" w14:textId="77777777" w:rsidR="00296BB8" w:rsidRPr="00A52AEE" w:rsidRDefault="00296BB8" w:rsidP="009A2373">
            <w:pPr>
              <w:jc w:val="right"/>
              <w:rPr>
                <w:lang w:eastAsia="en-GB"/>
              </w:rPr>
            </w:pPr>
            <w:r w:rsidRPr="00A52AEE">
              <w:rPr>
                <w:lang w:eastAsia="en-GB"/>
              </w:rPr>
              <w:t>13%</w:t>
            </w:r>
          </w:p>
        </w:tc>
      </w:tr>
    </w:tbl>
    <w:p w14:paraId="0B4F5773" w14:textId="77777777" w:rsidR="005F0A18" w:rsidRPr="00A52AEE" w:rsidRDefault="005F0A18" w:rsidP="00A52AEE"/>
    <w:p w14:paraId="488CC2CE" w14:textId="63E51942" w:rsidR="00FE2946" w:rsidRPr="00A52AEE" w:rsidRDefault="00CE4337" w:rsidP="008D527A">
      <w:pPr>
        <w:pStyle w:val="Heading2"/>
      </w:pPr>
      <w:bookmarkStart w:id="112" w:name="_Toc429151330"/>
      <w:r w:rsidRPr="00A52AEE">
        <w:t>5.6</w:t>
      </w:r>
      <w:r w:rsidRPr="00A52AEE">
        <w:tab/>
      </w:r>
      <w:r w:rsidR="00AF3CBA">
        <w:t>Breakdown of delivery of HE in FE Colleges and universities</w:t>
      </w:r>
      <w:bookmarkEnd w:id="112"/>
    </w:p>
    <w:p w14:paraId="44F9D603" w14:textId="76B04D12" w:rsidR="00FE2946" w:rsidRPr="00A52AEE" w:rsidRDefault="00AF3CBA" w:rsidP="00A52AEE">
      <w:r>
        <w:t>Although the majority progress to university, m</w:t>
      </w:r>
      <w:r w:rsidR="00FE2946" w:rsidRPr="00A52AEE">
        <w:t xml:space="preserve">ore </w:t>
      </w:r>
      <w:r w:rsidR="0076166E" w:rsidRPr="00A52AEE">
        <w:t>London</w:t>
      </w:r>
      <w:r w:rsidR="00FE2946" w:rsidRPr="00A52AEE">
        <w:t xml:space="preserve"> students who progress to HE are continuing their HE studies in FE colleges than ever before. Around 14% of total HE entrants in the latest cohort studied HE in FE</w:t>
      </w:r>
      <w:r w:rsidR="00D60DA6" w:rsidRPr="00A52AEE">
        <w:t xml:space="preserve"> and this is double that of the earlier cohort</w:t>
      </w:r>
      <w:r>
        <w:t xml:space="preserve"> (although still less than the England average for this cohort which was 20%).  </w:t>
      </w:r>
    </w:p>
    <w:p w14:paraId="5D40409E" w14:textId="77777777" w:rsidR="00D60DA6" w:rsidRPr="00A52AEE" w:rsidRDefault="00D60DA6" w:rsidP="00A52AEE"/>
    <w:p w14:paraId="11F46FD2" w14:textId="20F8FB18" w:rsidR="00FE2946" w:rsidRPr="00AF3CBA" w:rsidRDefault="00D60DA6" w:rsidP="00A52AEE">
      <w:pPr>
        <w:rPr>
          <w:b/>
        </w:rPr>
      </w:pPr>
      <w:r w:rsidRPr="00AF3CBA">
        <w:rPr>
          <w:b/>
        </w:rPr>
        <w:t xml:space="preserve">Figure </w:t>
      </w:r>
      <w:r w:rsidR="00F60ABC" w:rsidRPr="00AF3CBA">
        <w:rPr>
          <w:b/>
        </w:rPr>
        <w:t>3</w:t>
      </w:r>
      <w:r w:rsidR="00FE2946" w:rsidRPr="00AF3CBA">
        <w:rPr>
          <w:b/>
        </w:rPr>
        <w:t xml:space="preserve">: </w:t>
      </w:r>
      <w:r w:rsidRPr="00AF3CBA">
        <w:rPr>
          <w:b/>
        </w:rPr>
        <w:t>Share of HE delivery</w:t>
      </w:r>
    </w:p>
    <w:p w14:paraId="78F68283" w14:textId="77777777" w:rsidR="00CE4337" w:rsidRPr="00A52AEE" w:rsidRDefault="00CE4337" w:rsidP="00A52AEE"/>
    <w:p w14:paraId="7781B9EF" w14:textId="4312F1FB" w:rsidR="00FE2946" w:rsidRPr="00A52AEE" w:rsidRDefault="0056198A" w:rsidP="00A52AEE">
      <w:r w:rsidRPr="00A52AEE">
        <w:rPr>
          <w:noProof/>
          <w:lang w:eastAsia="en-GB"/>
        </w:rPr>
        <w:drawing>
          <wp:inline distT="0" distB="0" distL="0" distR="0" wp14:anchorId="48D9FAA8" wp14:editId="2C11B33C">
            <wp:extent cx="6115050" cy="2333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DAA9E47" w14:textId="28676967" w:rsidR="0056198A" w:rsidRPr="00A52AEE" w:rsidRDefault="0056198A" w:rsidP="00A52AEE"/>
    <w:p w14:paraId="0D3D0067" w14:textId="5972899F" w:rsidR="0056198A" w:rsidRPr="00A52AEE" w:rsidRDefault="0056198A" w:rsidP="008D527A">
      <w:pPr>
        <w:pStyle w:val="Heading2"/>
      </w:pPr>
      <w:r w:rsidRPr="00A52AEE">
        <w:t xml:space="preserve"> </w:t>
      </w:r>
      <w:bookmarkStart w:id="113" w:name="_Toc429151331"/>
      <w:r w:rsidR="00CE4337" w:rsidRPr="00A52AEE">
        <w:t>5.7</w:t>
      </w:r>
      <w:r w:rsidR="00CE4337" w:rsidRPr="00A52AEE">
        <w:tab/>
      </w:r>
      <w:r w:rsidR="00CE4337" w:rsidRPr="00A52AEE">
        <w:tab/>
      </w:r>
      <w:r w:rsidR="00593BBA" w:rsidRPr="00A52AEE">
        <w:t>HE d</w:t>
      </w:r>
      <w:r w:rsidRPr="00A52AEE">
        <w:t>elivery breakdown and by age</w:t>
      </w:r>
      <w:bookmarkEnd w:id="113"/>
    </w:p>
    <w:p w14:paraId="325E7987" w14:textId="229018D4" w:rsidR="00D60DA6" w:rsidRPr="00A52AEE" w:rsidRDefault="0056198A" w:rsidP="00A52AEE">
      <w:r w:rsidRPr="00A52AEE">
        <w:t xml:space="preserve">Figure </w:t>
      </w:r>
      <w:r w:rsidR="0068454F" w:rsidRPr="00A52AEE">
        <w:t>3</w:t>
      </w:r>
      <w:r w:rsidRPr="00A52AEE">
        <w:t xml:space="preserve"> showed that </w:t>
      </w:r>
      <w:r w:rsidR="00012E3F" w:rsidRPr="00A52AEE">
        <w:t xml:space="preserve">FE colleges are now delivering more HE to the </w:t>
      </w:r>
      <w:r w:rsidR="0076166E" w:rsidRPr="00A52AEE">
        <w:t>London</w:t>
      </w:r>
      <w:r w:rsidR="00012E3F" w:rsidRPr="00A52AEE">
        <w:t xml:space="preserve"> </w:t>
      </w:r>
      <w:r w:rsidR="0021637B" w:rsidRPr="00A52AEE">
        <w:t>Level</w:t>
      </w:r>
      <w:r w:rsidR="00012E3F" w:rsidRPr="00A52AEE">
        <w:t xml:space="preserve"> 3 cohort than ever before. The chart below examines HE delivery by </w:t>
      </w:r>
      <w:r w:rsidR="00AF3CBA">
        <w:t>age group and illustrates that u</w:t>
      </w:r>
      <w:r w:rsidR="00012E3F" w:rsidRPr="00A52AEE">
        <w:t xml:space="preserve">niversities continue to deliver the majority of HE to young </w:t>
      </w:r>
      <w:r w:rsidR="00842186" w:rsidRPr="00A52AEE">
        <w:t>student</w:t>
      </w:r>
      <w:r w:rsidR="00012E3F" w:rsidRPr="00A52AEE">
        <w:t xml:space="preserve">s (although there was a drop in 2011-12 </w:t>
      </w:r>
      <w:r w:rsidR="00BE09C2">
        <w:t xml:space="preserve">of students </w:t>
      </w:r>
      <w:r w:rsidR="00012E3F" w:rsidRPr="00A52AEE">
        <w:t xml:space="preserve">who entered HE in 2012-13).  There has been a marked difference in delivery to mature </w:t>
      </w:r>
      <w:r w:rsidR="00842186" w:rsidRPr="00A52AEE">
        <w:t>student</w:t>
      </w:r>
      <w:r w:rsidR="00AF3CBA">
        <w:t>s however, where the u</w:t>
      </w:r>
      <w:r w:rsidR="00012E3F" w:rsidRPr="00A52AEE">
        <w:t xml:space="preserve">niversity share has dropped considerably. In 2007-08, 82% of older </w:t>
      </w:r>
      <w:r w:rsidR="00842186" w:rsidRPr="00A52AEE">
        <w:t>student</w:t>
      </w:r>
      <w:r w:rsidR="00012E3F" w:rsidRPr="00A52AEE">
        <w:t xml:space="preserve">s aged 25+ </w:t>
      </w:r>
      <w:r w:rsidR="001923B6">
        <w:t xml:space="preserve">who </w:t>
      </w:r>
      <w:r w:rsidR="00012E3F" w:rsidRPr="00A52AEE">
        <w:t>progressed</w:t>
      </w:r>
      <w:r w:rsidR="001923B6">
        <w:t xml:space="preserve">, progressed </w:t>
      </w:r>
      <w:r w:rsidR="00012E3F" w:rsidRPr="00A52AEE">
        <w:t xml:space="preserve">to </w:t>
      </w:r>
      <w:r w:rsidR="00AF3CBA">
        <w:t>u</w:t>
      </w:r>
      <w:r w:rsidR="00012E3F" w:rsidRPr="00A52AEE">
        <w:t>niversity and by the 2011-12 cohort this share had dropped to 63%.</w:t>
      </w:r>
    </w:p>
    <w:p w14:paraId="40C6803E" w14:textId="77777777" w:rsidR="001923B6" w:rsidRDefault="001923B6" w:rsidP="00A52AEE"/>
    <w:p w14:paraId="0B0A5A62" w14:textId="0E0C80F6" w:rsidR="0056198A" w:rsidRPr="001923B6" w:rsidRDefault="0056198A" w:rsidP="00A52AEE">
      <w:pPr>
        <w:rPr>
          <w:b/>
        </w:rPr>
      </w:pPr>
      <w:r w:rsidRPr="001923B6">
        <w:rPr>
          <w:b/>
        </w:rPr>
        <w:t xml:space="preserve">Figure </w:t>
      </w:r>
      <w:r w:rsidR="0068454F" w:rsidRPr="001923B6">
        <w:rPr>
          <w:b/>
        </w:rPr>
        <w:t>4</w:t>
      </w:r>
      <w:r w:rsidRPr="001923B6">
        <w:rPr>
          <w:b/>
        </w:rPr>
        <w:t>: Share of HE delivery</w:t>
      </w:r>
    </w:p>
    <w:p w14:paraId="7CC0AA33" w14:textId="7A6E9C1E" w:rsidR="0056198A" w:rsidRPr="00A52AEE" w:rsidRDefault="00A409CB" w:rsidP="00A52AEE">
      <w:r w:rsidRPr="00A52AEE">
        <w:rPr>
          <w:noProof/>
          <w:lang w:eastAsia="en-GB"/>
        </w:rPr>
        <w:drawing>
          <wp:inline distT="0" distB="0" distL="0" distR="0" wp14:anchorId="00682DCD" wp14:editId="3E15BF77">
            <wp:extent cx="6257925" cy="259969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1281" cy="2630164"/>
                    </a:xfrm>
                    <a:prstGeom prst="rect">
                      <a:avLst/>
                    </a:prstGeom>
                  </pic:spPr>
                </pic:pic>
              </a:graphicData>
            </a:graphic>
          </wp:inline>
        </w:drawing>
      </w:r>
    </w:p>
    <w:p w14:paraId="4FA70ACD" w14:textId="618753B1" w:rsidR="00A409CB" w:rsidRPr="00A52AEE" w:rsidRDefault="00DC373C" w:rsidP="008D527A">
      <w:pPr>
        <w:pStyle w:val="Heading2"/>
      </w:pPr>
      <w:r w:rsidRPr="00BE09C2">
        <w:t xml:space="preserve"> </w:t>
      </w:r>
      <w:bookmarkStart w:id="114" w:name="_Toc429151332"/>
      <w:r w:rsidR="00CE4337" w:rsidRPr="00A52AEE">
        <w:t>5.8</w:t>
      </w:r>
      <w:r w:rsidR="00CE4337" w:rsidRPr="00A52AEE">
        <w:tab/>
      </w:r>
      <w:r w:rsidR="00CE4337" w:rsidRPr="00A52AEE">
        <w:tab/>
      </w:r>
      <w:r w:rsidR="00012E3F" w:rsidRPr="00A52AEE">
        <w:t xml:space="preserve">HE </w:t>
      </w:r>
      <w:r w:rsidR="001923B6">
        <w:t>qualification</w:t>
      </w:r>
      <w:r w:rsidR="00A409CB" w:rsidRPr="00A52AEE">
        <w:t xml:space="preserve"> breakdown and age</w:t>
      </w:r>
      <w:bookmarkEnd w:id="114"/>
    </w:p>
    <w:p w14:paraId="03E0814B" w14:textId="1E2567F6" w:rsidR="00BE09C2" w:rsidRDefault="00A409CB" w:rsidP="00BE09C2">
      <w:r w:rsidRPr="00A52AEE">
        <w:rPr>
          <w:lang w:eastAsia="en-GB"/>
        </w:rPr>
        <w:t xml:space="preserve">Not surprisingly, young </w:t>
      </w:r>
      <w:r w:rsidR="00842186" w:rsidRPr="00A52AEE">
        <w:rPr>
          <w:lang w:eastAsia="en-GB"/>
        </w:rPr>
        <w:t>student</w:t>
      </w:r>
      <w:r w:rsidRPr="00A52AEE">
        <w:rPr>
          <w:lang w:eastAsia="en-GB"/>
        </w:rPr>
        <w:t xml:space="preserve">s are more likely to study </w:t>
      </w:r>
      <w:r w:rsidR="001923B6">
        <w:rPr>
          <w:lang w:eastAsia="en-GB"/>
        </w:rPr>
        <w:t>at First d</w:t>
      </w:r>
      <w:r w:rsidR="00DC373C" w:rsidRPr="00A52AEE">
        <w:rPr>
          <w:lang w:eastAsia="en-GB"/>
        </w:rPr>
        <w:t xml:space="preserve">egree level while older </w:t>
      </w:r>
      <w:r w:rsidR="00842186" w:rsidRPr="00A52AEE">
        <w:rPr>
          <w:lang w:eastAsia="en-GB"/>
        </w:rPr>
        <w:t>student</w:t>
      </w:r>
      <w:r w:rsidR="00DC373C" w:rsidRPr="00A52AEE">
        <w:rPr>
          <w:lang w:eastAsia="en-GB"/>
        </w:rPr>
        <w:t>s are entering HE to study a range of levels; 30% of students age 25+ years were studying Other Undergraduate programmes.</w:t>
      </w:r>
      <w:r w:rsidR="00BE09C2">
        <w:rPr>
          <w:lang w:eastAsia="en-GB"/>
        </w:rPr>
        <w:t xml:space="preserve">  </w:t>
      </w:r>
      <w:r w:rsidR="00BE09C2">
        <w:t xml:space="preserve">Percentages have been rounded </w:t>
      </w:r>
    </w:p>
    <w:p w14:paraId="02ED168B" w14:textId="729EF3FF" w:rsidR="00A409CB" w:rsidRPr="00A52AEE" w:rsidRDefault="00A409CB" w:rsidP="00A52AEE">
      <w:pPr>
        <w:rPr>
          <w:lang w:eastAsia="en-GB"/>
        </w:rPr>
      </w:pPr>
    </w:p>
    <w:p w14:paraId="2E60A7C7" w14:textId="77777777" w:rsidR="007E698B" w:rsidRPr="001923B6" w:rsidRDefault="00A409CB" w:rsidP="00A52AEE">
      <w:pPr>
        <w:rPr>
          <w:b/>
        </w:rPr>
      </w:pPr>
      <w:r w:rsidRPr="001923B6">
        <w:rPr>
          <w:b/>
        </w:rPr>
        <w:t xml:space="preserve">Figure </w:t>
      </w:r>
      <w:r w:rsidR="0068454F" w:rsidRPr="001923B6">
        <w:rPr>
          <w:b/>
        </w:rPr>
        <w:t>5</w:t>
      </w:r>
      <w:r w:rsidRPr="001923B6">
        <w:rPr>
          <w:b/>
        </w:rPr>
        <w:t>: Share of HE delivery</w:t>
      </w:r>
    </w:p>
    <w:p w14:paraId="4C699832" w14:textId="4D1147D9" w:rsidR="00A409CB" w:rsidRPr="00A52AEE" w:rsidRDefault="00DC373C" w:rsidP="00A52AEE">
      <w:r w:rsidRPr="00A52AEE">
        <w:rPr>
          <w:noProof/>
          <w:lang w:eastAsia="en-GB"/>
        </w:rPr>
        <w:drawing>
          <wp:inline distT="0" distB="0" distL="0" distR="0" wp14:anchorId="57818AE7" wp14:editId="1C921B6A">
            <wp:extent cx="5980167" cy="19431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57238" cy="2000635"/>
                    </a:xfrm>
                    <a:prstGeom prst="rect">
                      <a:avLst/>
                    </a:prstGeom>
                  </pic:spPr>
                </pic:pic>
              </a:graphicData>
            </a:graphic>
          </wp:inline>
        </w:drawing>
      </w:r>
    </w:p>
    <w:p w14:paraId="6CF3AAA8" w14:textId="77777777" w:rsidR="005E08C9" w:rsidRDefault="005E08C9" w:rsidP="002F1965">
      <w:pPr>
        <w:pStyle w:val="Heading2"/>
        <w:spacing w:after="0"/>
      </w:pPr>
    </w:p>
    <w:p w14:paraId="5DBD54DE" w14:textId="6843A9EF" w:rsidR="00012E3F" w:rsidRPr="00A52AEE" w:rsidRDefault="00CE4337" w:rsidP="008D527A">
      <w:pPr>
        <w:pStyle w:val="Heading2"/>
      </w:pPr>
      <w:bookmarkStart w:id="115" w:name="_Toc429151333"/>
      <w:r w:rsidRPr="00A52AEE">
        <w:t>5.9</w:t>
      </w:r>
      <w:r w:rsidRPr="00A52AEE">
        <w:tab/>
      </w:r>
      <w:r w:rsidRPr="00A52AEE">
        <w:tab/>
      </w:r>
      <w:r w:rsidR="00A409CB" w:rsidRPr="00A52AEE">
        <w:t xml:space="preserve">HE subject </w:t>
      </w:r>
      <w:r w:rsidR="00012E3F" w:rsidRPr="00A52AEE">
        <w:t>area breakdown and by age</w:t>
      </w:r>
      <w:bookmarkEnd w:id="115"/>
    </w:p>
    <w:p w14:paraId="2890A95E" w14:textId="33DA22B3" w:rsidR="00012E3F" w:rsidRDefault="00012E3F" w:rsidP="00A52AEE">
      <w:pPr>
        <w:rPr>
          <w:b/>
        </w:rPr>
      </w:pPr>
      <w:r w:rsidRPr="001923B6">
        <w:rPr>
          <w:b/>
        </w:rPr>
        <w:t xml:space="preserve">Table </w:t>
      </w:r>
      <w:r w:rsidR="001068A2" w:rsidRPr="001923B6">
        <w:rPr>
          <w:b/>
        </w:rPr>
        <w:t>2</w:t>
      </w:r>
      <w:r w:rsidR="004D2866">
        <w:rPr>
          <w:b/>
        </w:rPr>
        <w:t>5</w:t>
      </w:r>
      <w:r w:rsidRPr="001923B6">
        <w:rPr>
          <w:b/>
        </w:rPr>
        <w:t>: HE subject area and age group</w:t>
      </w:r>
    </w:p>
    <w:p w14:paraId="2F0D8C74" w14:textId="77777777" w:rsidR="002F1965" w:rsidRDefault="002F1965" w:rsidP="00A52AEE">
      <w:pPr>
        <w:rPr>
          <w:b/>
        </w:rPr>
      </w:pPr>
    </w:p>
    <w:tbl>
      <w:tblPr>
        <w:tblW w:w="8643" w:type="dxa"/>
        <w:tblInd w:w="113" w:type="dxa"/>
        <w:tblLook w:val="04A0" w:firstRow="1" w:lastRow="0" w:firstColumn="1" w:lastColumn="0" w:noHBand="0" w:noVBand="1"/>
      </w:tblPr>
      <w:tblGrid>
        <w:gridCol w:w="704"/>
        <w:gridCol w:w="3686"/>
        <w:gridCol w:w="4253"/>
      </w:tblGrid>
      <w:tr w:rsidR="002F1965" w:rsidRPr="002F1965" w14:paraId="74790F7E" w14:textId="77777777" w:rsidTr="002F1965">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31E0C995" w14:textId="116EB7F1" w:rsidR="002F1965" w:rsidRPr="002F1965" w:rsidRDefault="002F1965" w:rsidP="001923B6">
            <w:pPr>
              <w:jc w:val="center"/>
              <w:rPr>
                <w:b/>
                <w:color w:val="FFFFFF" w:themeColor="background1"/>
                <w:sz w:val="22"/>
                <w:lang w:eastAsia="en-GB"/>
              </w:rPr>
            </w:pPr>
          </w:p>
        </w:tc>
        <w:tc>
          <w:tcPr>
            <w:tcW w:w="3686"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7A22EED" w14:textId="77777777" w:rsidR="002F1965" w:rsidRPr="002F1965" w:rsidRDefault="002F1965" w:rsidP="00A52AEE">
            <w:pPr>
              <w:rPr>
                <w:b/>
                <w:color w:val="FFFFFF" w:themeColor="background1"/>
                <w:sz w:val="22"/>
                <w:lang w:eastAsia="en-GB"/>
              </w:rPr>
            </w:pPr>
            <w:r w:rsidRPr="002F1965">
              <w:rPr>
                <w:b/>
                <w:color w:val="FFFFFF" w:themeColor="background1"/>
                <w:sz w:val="22"/>
                <w:lang w:eastAsia="en-GB"/>
              </w:rPr>
              <w:t>First degree</w:t>
            </w:r>
          </w:p>
        </w:tc>
        <w:tc>
          <w:tcPr>
            <w:tcW w:w="4253"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FFD537F" w14:textId="2ECE050B" w:rsidR="002F1965" w:rsidRPr="002F1965" w:rsidRDefault="002F1965" w:rsidP="00A52AEE">
            <w:pPr>
              <w:rPr>
                <w:b/>
                <w:color w:val="FFFFFF" w:themeColor="background1"/>
                <w:sz w:val="22"/>
                <w:lang w:eastAsia="en-GB"/>
              </w:rPr>
            </w:pPr>
            <w:r w:rsidRPr="002F1965">
              <w:rPr>
                <w:b/>
                <w:color w:val="FFFFFF" w:themeColor="background1"/>
                <w:sz w:val="22"/>
                <w:lang w:eastAsia="en-GB"/>
              </w:rPr>
              <w:t>Other Undergraduate</w:t>
            </w:r>
          </w:p>
        </w:tc>
      </w:tr>
      <w:tr w:rsidR="002F1965" w:rsidRPr="00A52AEE" w14:paraId="45F9E983" w14:textId="77777777" w:rsidTr="002F1965">
        <w:trPr>
          <w:trHeight w:val="248"/>
          <w:tblHeader/>
        </w:trPr>
        <w:tc>
          <w:tcPr>
            <w:tcW w:w="704" w:type="dxa"/>
            <w:vMerge w:val="restart"/>
            <w:tcBorders>
              <w:top w:val="nil"/>
              <w:left w:val="single" w:sz="4" w:space="0" w:color="auto"/>
              <w:bottom w:val="single" w:sz="4" w:space="0" w:color="auto"/>
              <w:right w:val="single" w:sz="4" w:space="0" w:color="auto"/>
            </w:tcBorders>
            <w:shd w:val="clear" w:color="auto" w:fill="1F4E79" w:themeFill="accent1" w:themeFillShade="80"/>
            <w:noWrap/>
            <w:textDirection w:val="btLr"/>
            <w:vAlign w:val="center"/>
            <w:hideMark/>
          </w:tcPr>
          <w:p w14:paraId="6354453D" w14:textId="77777777" w:rsidR="002F1965" w:rsidRPr="001923B6" w:rsidRDefault="002F1965" w:rsidP="001923B6">
            <w:pPr>
              <w:jc w:val="center"/>
              <w:rPr>
                <w:b/>
                <w:color w:val="FFFFFF" w:themeColor="background1"/>
                <w:lang w:eastAsia="en-GB"/>
              </w:rPr>
            </w:pPr>
            <w:r w:rsidRPr="002F1965">
              <w:rPr>
                <w:b/>
                <w:color w:val="FFFFFF" w:themeColor="background1"/>
                <w:lang w:eastAsia="en-GB"/>
              </w:rPr>
              <w:t>Less than 20 years</w:t>
            </w:r>
          </w:p>
        </w:tc>
        <w:tc>
          <w:tcPr>
            <w:tcW w:w="3686" w:type="dxa"/>
            <w:tcBorders>
              <w:top w:val="nil"/>
              <w:left w:val="nil"/>
              <w:bottom w:val="single" w:sz="4" w:space="0" w:color="auto"/>
              <w:right w:val="single" w:sz="4" w:space="0" w:color="auto"/>
            </w:tcBorders>
            <w:shd w:val="clear" w:color="000000" w:fill="FFFFFF"/>
            <w:noWrap/>
            <w:vAlign w:val="center"/>
            <w:hideMark/>
          </w:tcPr>
          <w:p w14:paraId="32F127BA" w14:textId="6079D532" w:rsidR="002F1965" w:rsidRPr="002F1965" w:rsidRDefault="002F1965" w:rsidP="00A52AEE">
            <w:pPr>
              <w:rPr>
                <w:sz w:val="18"/>
                <w:lang w:eastAsia="en-GB"/>
              </w:rPr>
            </w:pPr>
            <w:r w:rsidRPr="002F1965">
              <w:rPr>
                <w:sz w:val="18"/>
                <w:lang w:eastAsia="en-GB"/>
              </w:rPr>
              <w:t>Business studies</w:t>
            </w:r>
          </w:p>
        </w:tc>
        <w:tc>
          <w:tcPr>
            <w:tcW w:w="4253" w:type="dxa"/>
            <w:tcBorders>
              <w:top w:val="nil"/>
              <w:left w:val="nil"/>
              <w:bottom w:val="single" w:sz="4" w:space="0" w:color="auto"/>
              <w:right w:val="single" w:sz="4" w:space="0" w:color="auto"/>
            </w:tcBorders>
            <w:shd w:val="clear" w:color="auto" w:fill="auto"/>
            <w:noWrap/>
            <w:vAlign w:val="bottom"/>
            <w:hideMark/>
          </w:tcPr>
          <w:p w14:paraId="24F0D3CB" w14:textId="31FCBE24" w:rsidR="002F1965" w:rsidRPr="002F1965" w:rsidRDefault="002F1965" w:rsidP="00BE09C2">
            <w:pPr>
              <w:rPr>
                <w:sz w:val="18"/>
                <w:lang w:eastAsia="en-GB"/>
              </w:rPr>
            </w:pPr>
            <w:r w:rsidRPr="002F1965">
              <w:rPr>
                <w:sz w:val="18"/>
                <w:lang w:eastAsia="en-GB"/>
              </w:rPr>
              <w:t>Nursing</w:t>
            </w:r>
          </w:p>
        </w:tc>
      </w:tr>
      <w:tr w:rsidR="002F1965" w:rsidRPr="00A52AEE" w14:paraId="7B0D6CDB" w14:textId="77777777" w:rsidTr="002F1965">
        <w:trPr>
          <w:trHeight w:val="137"/>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F802D78"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135D1722" w14:textId="62454C40" w:rsidR="002F1965" w:rsidRPr="002F1965" w:rsidRDefault="002F1965" w:rsidP="00A52AEE">
            <w:pPr>
              <w:rPr>
                <w:sz w:val="18"/>
                <w:lang w:eastAsia="en-GB"/>
              </w:rPr>
            </w:pPr>
            <w:r w:rsidRPr="002F1965">
              <w:rPr>
                <w:sz w:val="18"/>
                <w:lang w:eastAsia="en-GB"/>
              </w:rPr>
              <w:t>Psychology</w:t>
            </w:r>
          </w:p>
        </w:tc>
        <w:tc>
          <w:tcPr>
            <w:tcW w:w="4253" w:type="dxa"/>
            <w:tcBorders>
              <w:top w:val="nil"/>
              <w:left w:val="nil"/>
              <w:bottom w:val="single" w:sz="4" w:space="0" w:color="auto"/>
              <w:right w:val="single" w:sz="4" w:space="0" w:color="auto"/>
            </w:tcBorders>
            <w:shd w:val="clear" w:color="auto" w:fill="auto"/>
            <w:noWrap/>
            <w:vAlign w:val="bottom"/>
            <w:hideMark/>
          </w:tcPr>
          <w:p w14:paraId="2D8C5108" w14:textId="00FEBF90" w:rsidR="002F1965" w:rsidRPr="002F1965" w:rsidRDefault="002F1965" w:rsidP="00BE09C2">
            <w:pPr>
              <w:rPr>
                <w:sz w:val="18"/>
                <w:lang w:eastAsia="en-GB"/>
              </w:rPr>
            </w:pPr>
            <w:r w:rsidRPr="002F1965">
              <w:rPr>
                <w:sz w:val="18"/>
                <w:lang w:eastAsia="en-GB"/>
              </w:rPr>
              <w:t>Building</w:t>
            </w:r>
          </w:p>
        </w:tc>
      </w:tr>
      <w:tr w:rsidR="002F1965" w:rsidRPr="00A52AEE" w14:paraId="4EF39B53" w14:textId="77777777" w:rsidTr="002F1965">
        <w:trPr>
          <w:trHeight w:val="170"/>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D15FC4D"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5F7D01CB" w14:textId="494AB3AF" w:rsidR="002F1965" w:rsidRPr="002F1965" w:rsidRDefault="002F1965" w:rsidP="00A52AEE">
            <w:pPr>
              <w:rPr>
                <w:sz w:val="18"/>
                <w:lang w:eastAsia="en-GB"/>
              </w:rPr>
            </w:pPr>
            <w:r w:rsidRPr="002F1965">
              <w:rPr>
                <w:sz w:val="18"/>
                <w:lang w:eastAsia="en-GB"/>
              </w:rPr>
              <w:t>Design studies</w:t>
            </w:r>
          </w:p>
        </w:tc>
        <w:tc>
          <w:tcPr>
            <w:tcW w:w="4253" w:type="dxa"/>
            <w:tcBorders>
              <w:top w:val="nil"/>
              <w:left w:val="nil"/>
              <w:bottom w:val="single" w:sz="4" w:space="0" w:color="auto"/>
              <w:right w:val="single" w:sz="4" w:space="0" w:color="auto"/>
            </w:tcBorders>
            <w:shd w:val="clear" w:color="auto" w:fill="auto"/>
            <w:noWrap/>
            <w:vAlign w:val="bottom"/>
            <w:hideMark/>
          </w:tcPr>
          <w:p w14:paraId="6A2CACF1" w14:textId="4712DCEC" w:rsidR="002F1965" w:rsidRPr="002F1965" w:rsidRDefault="002F1965" w:rsidP="00BE09C2">
            <w:pPr>
              <w:rPr>
                <w:sz w:val="18"/>
                <w:lang w:eastAsia="en-GB"/>
              </w:rPr>
            </w:pPr>
            <w:r w:rsidRPr="002F1965">
              <w:rPr>
                <w:sz w:val="18"/>
                <w:lang w:eastAsia="en-GB"/>
              </w:rPr>
              <w:t>Combined</w:t>
            </w:r>
          </w:p>
        </w:tc>
      </w:tr>
      <w:tr w:rsidR="002F1965" w:rsidRPr="00A52AEE" w14:paraId="28E95980" w14:textId="77777777" w:rsidTr="002F1965">
        <w:trPr>
          <w:trHeight w:val="65"/>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29AB011"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3361721D" w14:textId="33DBDCCA" w:rsidR="002F1965" w:rsidRPr="002F1965" w:rsidRDefault="002F1965" w:rsidP="00A52AEE">
            <w:pPr>
              <w:rPr>
                <w:sz w:val="18"/>
                <w:lang w:eastAsia="en-GB"/>
              </w:rPr>
            </w:pPr>
            <w:r w:rsidRPr="002F1965">
              <w:rPr>
                <w:sz w:val="18"/>
                <w:lang w:eastAsia="en-GB"/>
              </w:rPr>
              <w:t>Computer science</w:t>
            </w:r>
          </w:p>
        </w:tc>
        <w:tc>
          <w:tcPr>
            <w:tcW w:w="4253" w:type="dxa"/>
            <w:tcBorders>
              <w:top w:val="nil"/>
              <w:left w:val="nil"/>
              <w:bottom w:val="single" w:sz="4" w:space="0" w:color="auto"/>
              <w:right w:val="single" w:sz="4" w:space="0" w:color="auto"/>
            </w:tcBorders>
            <w:shd w:val="clear" w:color="auto" w:fill="auto"/>
            <w:noWrap/>
            <w:vAlign w:val="bottom"/>
            <w:hideMark/>
          </w:tcPr>
          <w:p w14:paraId="53E8E6C1" w14:textId="7F578CA6" w:rsidR="002F1965" w:rsidRPr="002F1965" w:rsidRDefault="002F1965" w:rsidP="00BE09C2">
            <w:pPr>
              <w:rPr>
                <w:sz w:val="18"/>
                <w:lang w:eastAsia="en-GB"/>
              </w:rPr>
            </w:pPr>
            <w:r w:rsidRPr="002F1965">
              <w:rPr>
                <w:sz w:val="18"/>
                <w:lang w:eastAsia="en-GB"/>
              </w:rPr>
              <w:t>General engineering</w:t>
            </w:r>
          </w:p>
        </w:tc>
      </w:tr>
      <w:tr w:rsidR="002F1965" w:rsidRPr="00A52AEE" w14:paraId="0872F4B8" w14:textId="77777777" w:rsidTr="002F1965">
        <w:trPr>
          <w:trHeight w:val="77"/>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B1B3FBF"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7F69375C" w14:textId="166CE539" w:rsidR="002F1965" w:rsidRPr="002F1965" w:rsidRDefault="002F1965" w:rsidP="00A52AEE">
            <w:pPr>
              <w:rPr>
                <w:sz w:val="18"/>
                <w:lang w:eastAsia="en-GB"/>
              </w:rPr>
            </w:pPr>
            <w:r w:rsidRPr="002F1965">
              <w:rPr>
                <w:sz w:val="18"/>
                <w:lang w:eastAsia="en-GB"/>
              </w:rPr>
              <w:t>Sociology</w:t>
            </w:r>
          </w:p>
        </w:tc>
        <w:tc>
          <w:tcPr>
            <w:tcW w:w="4253" w:type="dxa"/>
            <w:tcBorders>
              <w:top w:val="nil"/>
              <w:left w:val="nil"/>
              <w:bottom w:val="single" w:sz="4" w:space="0" w:color="auto"/>
              <w:right w:val="single" w:sz="4" w:space="0" w:color="auto"/>
            </w:tcBorders>
            <w:shd w:val="clear" w:color="auto" w:fill="auto"/>
            <w:noWrap/>
            <w:vAlign w:val="bottom"/>
            <w:hideMark/>
          </w:tcPr>
          <w:p w14:paraId="2A97465C" w14:textId="38D05E53" w:rsidR="002F1965" w:rsidRPr="002F1965" w:rsidRDefault="002F1965" w:rsidP="00BE09C2">
            <w:pPr>
              <w:rPr>
                <w:sz w:val="18"/>
                <w:lang w:eastAsia="en-GB"/>
              </w:rPr>
            </w:pPr>
            <w:r w:rsidRPr="002F1965">
              <w:rPr>
                <w:sz w:val="18"/>
                <w:lang w:eastAsia="en-GB"/>
              </w:rPr>
              <w:t>Others in subjects allied to medicine</w:t>
            </w:r>
          </w:p>
        </w:tc>
      </w:tr>
      <w:tr w:rsidR="002F1965" w:rsidRPr="00A52AEE" w14:paraId="21CAE277" w14:textId="77777777" w:rsidTr="002F1965">
        <w:trPr>
          <w:trHeight w:val="250"/>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D22F14A"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008F7170" w14:textId="049A3684" w:rsidR="002F1965" w:rsidRPr="002F1965" w:rsidRDefault="002F1965" w:rsidP="00BE09C2">
            <w:pPr>
              <w:rPr>
                <w:sz w:val="18"/>
                <w:lang w:eastAsia="en-GB"/>
              </w:rPr>
            </w:pPr>
            <w:r w:rsidRPr="002F1965">
              <w:rPr>
                <w:sz w:val="18"/>
                <w:lang w:eastAsia="en-GB"/>
              </w:rPr>
              <w:t>Accounting</w:t>
            </w:r>
          </w:p>
        </w:tc>
        <w:tc>
          <w:tcPr>
            <w:tcW w:w="4253" w:type="dxa"/>
            <w:tcBorders>
              <w:top w:val="nil"/>
              <w:left w:val="nil"/>
              <w:bottom w:val="single" w:sz="4" w:space="0" w:color="auto"/>
              <w:right w:val="single" w:sz="4" w:space="0" w:color="auto"/>
            </w:tcBorders>
            <w:shd w:val="clear" w:color="auto" w:fill="auto"/>
            <w:noWrap/>
            <w:vAlign w:val="bottom"/>
            <w:hideMark/>
          </w:tcPr>
          <w:p w14:paraId="7B3B020F" w14:textId="6CF675FF" w:rsidR="002F1965" w:rsidRPr="002F1965" w:rsidRDefault="002F1965" w:rsidP="00BE09C2">
            <w:pPr>
              <w:rPr>
                <w:sz w:val="18"/>
                <w:lang w:eastAsia="en-GB"/>
              </w:rPr>
            </w:pPr>
            <w:r w:rsidRPr="002F1965">
              <w:rPr>
                <w:sz w:val="18"/>
                <w:lang w:eastAsia="en-GB"/>
              </w:rPr>
              <w:t>Music</w:t>
            </w:r>
          </w:p>
        </w:tc>
      </w:tr>
      <w:tr w:rsidR="002F1965" w:rsidRPr="00A52AEE" w14:paraId="245BF468" w14:textId="77777777" w:rsidTr="002F1965">
        <w:trPr>
          <w:trHeight w:val="269"/>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F5EA566"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6CFC46C5" w14:textId="12F475C5" w:rsidR="002F1965" w:rsidRPr="002F1965" w:rsidRDefault="002F1965" w:rsidP="00BE09C2">
            <w:pPr>
              <w:rPr>
                <w:sz w:val="18"/>
                <w:lang w:eastAsia="en-GB"/>
              </w:rPr>
            </w:pPr>
            <w:r w:rsidRPr="002F1965">
              <w:rPr>
                <w:sz w:val="18"/>
                <w:lang w:eastAsia="en-GB"/>
              </w:rPr>
              <w:t xml:space="preserve">Law </w:t>
            </w:r>
          </w:p>
        </w:tc>
        <w:tc>
          <w:tcPr>
            <w:tcW w:w="4253" w:type="dxa"/>
            <w:tcBorders>
              <w:top w:val="nil"/>
              <w:left w:val="nil"/>
              <w:bottom w:val="single" w:sz="4" w:space="0" w:color="auto"/>
              <w:right w:val="single" w:sz="4" w:space="0" w:color="auto"/>
            </w:tcBorders>
            <w:shd w:val="clear" w:color="auto" w:fill="auto"/>
            <w:noWrap/>
            <w:vAlign w:val="bottom"/>
            <w:hideMark/>
          </w:tcPr>
          <w:p w14:paraId="5013D840" w14:textId="4A578C0C" w:rsidR="002F1965" w:rsidRPr="002F1965" w:rsidRDefault="002F1965" w:rsidP="00BE09C2">
            <w:pPr>
              <w:rPr>
                <w:sz w:val="18"/>
                <w:lang w:eastAsia="en-GB"/>
              </w:rPr>
            </w:pPr>
            <w:r w:rsidRPr="002F1965">
              <w:rPr>
                <w:sz w:val="18"/>
                <w:lang w:eastAsia="en-GB"/>
              </w:rPr>
              <w:t>Design studies</w:t>
            </w:r>
          </w:p>
        </w:tc>
      </w:tr>
      <w:tr w:rsidR="002F1965" w:rsidRPr="00A52AEE" w14:paraId="7E931A51" w14:textId="77777777" w:rsidTr="002F1965">
        <w:trPr>
          <w:trHeight w:val="144"/>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6BBF57F"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23C6006D" w14:textId="7884C99E" w:rsidR="002F1965" w:rsidRPr="002F1965" w:rsidRDefault="002F1965" w:rsidP="00BE09C2">
            <w:pPr>
              <w:rPr>
                <w:sz w:val="18"/>
                <w:lang w:eastAsia="en-GB"/>
              </w:rPr>
            </w:pPr>
            <w:r w:rsidRPr="002F1965">
              <w:rPr>
                <w:sz w:val="18"/>
                <w:lang w:eastAsia="en-GB"/>
              </w:rPr>
              <w:t>Media studies</w:t>
            </w:r>
          </w:p>
        </w:tc>
        <w:tc>
          <w:tcPr>
            <w:tcW w:w="4253" w:type="dxa"/>
            <w:tcBorders>
              <w:top w:val="nil"/>
              <w:left w:val="nil"/>
              <w:bottom w:val="single" w:sz="4" w:space="0" w:color="auto"/>
              <w:right w:val="single" w:sz="4" w:space="0" w:color="auto"/>
            </w:tcBorders>
            <w:shd w:val="clear" w:color="auto" w:fill="auto"/>
            <w:noWrap/>
            <w:vAlign w:val="bottom"/>
            <w:hideMark/>
          </w:tcPr>
          <w:p w14:paraId="0964E432" w14:textId="6BF3F5A2" w:rsidR="002F1965" w:rsidRPr="002F1965" w:rsidRDefault="002F1965" w:rsidP="00BE09C2">
            <w:pPr>
              <w:rPr>
                <w:sz w:val="18"/>
                <w:lang w:eastAsia="en-GB"/>
              </w:rPr>
            </w:pPr>
            <w:r w:rsidRPr="002F1965">
              <w:rPr>
                <w:sz w:val="18"/>
                <w:lang w:eastAsia="en-GB"/>
              </w:rPr>
              <w:t>Social work</w:t>
            </w:r>
          </w:p>
        </w:tc>
      </w:tr>
      <w:tr w:rsidR="002F1965" w:rsidRPr="00A52AEE" w14:paraId="0033CA50" w14:textId="77777777" w:rsidTr="002F1965">
        <w:trPr>
          <w:trHeight w:val="163"/>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C65928E"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0FB4389E" w14:textId="42D22024" w:rsidR="002F1965" w:rsidRPr="002F1965" w:rsidRDefault="002F1965" w:rsidP="00BE09C2">
            <w:pPr>
              <w:rPr>
                <w:sz w:val="18"/>
                <w:lang w:eastAsia="en-GB"/>
              </w:rPr>
            </w:pPr>
            <w:r w:rsidRPr="002F1965">
              <w:rPr>
                <w:sz w:val="18"/>
                <w:lang w:eastAsia="en-GB"/>
              </w:rPr>
              <w:t>Management studies</w:t>
            </w:r>
          </w:p>
        </w:tc>
        <w:tc>
          <w:tcPr>
            <w:tcW w:w="4253" w:type="dxa"/>
            <w:tcBorders>
              <w:top w:val="nil"/>
              <w:left w:val="nil"/>
              <w:bottom w:val="single" w:sz="4" w:space="0" w:color="auto"/>
              <w:right w:val="single" w:sz="4" w:space="0" w:color="auto"/>
            </w:tcBorders>
            <w:shd w:val="clear" w:color="auto" w:fill="auto"/>
            <w:noWrap/>
            <w:vAlign w:val="bottom"/>
            <w:hideMark/>
          </w:tcPr>
          <w:p w14:paraId="0618CB16" w14:textId="54C47C56" w:rsidR="002F1965" w:rsidRPr="002F1965" w:rsidRDefault="002F1965" w:rsidP="00BE09C2">
            <w:pPr>
              <w:rPr>
                <w:sz w:val="18"/>
                <w:lang w:eastAsia="en-GB"/>
              </w:rPr>
            </w:pPr>
            <w:r w:rsidRPr="002F1965">
              <w:rPr>
                <w:sz w:val="18"/>
                <w:lang w:eastAsia="en-GB"/>
              </w:rPr>
              <w:t>Civil engineering</w:t>
            </w:r>
          </w:p>
        </w:tc>
      </w:tr>
      <w:tr w:rsidR="002F1965" w:rsidRPr="00A52AEE" w14:paraId="5EA02052" w14:textId="77777777" w:rsidTr="002F1965">
        <w:trPr>
          <w:trHeight w:val="195"/>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DE4FED5"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000000" w:fill="FFFFFF"/>
            <w:noWrap/>
            <w:vAlign w:val="center"/>
            <w:hideMark/>
          </w:tcPr>
          <w:p w14:paraId="35110BD2" w14:textId="600D2A05" w:rsidR="002F1965" w:rsidRPr="002F1965" w:rsidRDefault="002F1965" w:rsidP="00BE09C2">
            <w:pPr>
              <w:rPr>
                <w:sz w:val="18"/>
                <w:lang w:eastAsia="en-GB"/>
              </w:rPr>
            </w:pPr>
            <w:r w:rsidRPr="002F1965">
              <w:rPr>
                <w:sz w:val="18"/>
                <w:lang w:eastAsia="en-GB"/>
              </w:rPr>
              <w:t>Economics</w:t>
            </w:r>
          </w:p>
        </w:tc>
        <w:tc>
          <w:tcPr>
            <w:tcW w:w="4253" w:type="dxa"/>
            <w:tcBorders>
              <w:top w:val="nil"/>
              <w:left w:val="nil"/>
              <w:bottom w:val="single" w:sz="4" w:space="0" w:color="auto"/>
              <w:right w:val="single" w:sz="4" w:space="0" w:color="auto"/>
            </w:tcBorders>
            <w:shd w:val="clear" w:color="auto" w:fill="auto"/>
            <w:noWrap/>
            <w:vAlign w:val="bottom"/>
            <w:hideMark/>
          </w:tcPr>
          <w:p w14:paraId="00A1EA24" w14:textId="2AB4CFE9" w:rsidR="002F1965" w:rsidRPr="002F1965" w:rsidRDefault="002F1965" w:rsidP="00BE09C2">
            <w:pPr>
              <w:rPr>
                <w:sz w:val="18"/>
                <w:lang w:eastAsia="en-GB"/>
              </w:rPr>
            </w:pPr>
            <w:r w:rsidRPr="002F1965">
              <w:rPr>
                <w:sz w:val="18"/>
                <w:lang w:eastAsia="en-GB"/>
              </w:rPr>
              <w:t>Electronic &amp; electrical engineering</w:t>
            </w:r>
          </w:p>
        </w:tc>
      </w:tr>
      <w:tr w:rsidR="002F1965" w:rsidRPr="001923B6" w14:paraId="64F6E148" w14:textId="77777777" w:rsidTr="002F1965">
        <w:trPr>
          <w:trHeight w:val="84"/>
          <w:tblHeader/>
        </w:trPr>
        <w:tc>
          <w:tcPr>
            <w:tcW w:w="704" w:type="dxa"/>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4004E14D" w14:textId="5F93558B" w:rsidR="002F1965" w:rsidRPr="00B959B2" w:rsidRDefault="002F1965" w:rsidP="001923B6">
            <w:pPr>
              <w:jc w:val="center"/>
              <w:rPr>
                <w:b/>
                <w:color w:val="FFFFFF" w:themeColor="background1"/>
                <w:sz w:val="2"/>
                <w:lang w:eastAsia="en-GB"/>
              </w:rPr>
            </w:pPr>
          </w:p>
        </w:tc>
        <w:tc>
          <w:tcPr>
            <w:tcW w:w="3686" w:type="dxa"/>
            <w:tcBorders>
              <w:top w:val="nil"/>
              <w:left w:val="nil"/>
              <w:bottom w:val="single" w:sz="4" w:space="0" w:color="auto"/>
              <w:right w:val="single" w:sz="4" w:space="0" w:color="auto"/>
            </w:tcBorders>
            <w:shd w:val="clear" w:color="auto" w:fill="BDD6EE" w:themeFill="accent1" w:themeFillTint="66"/>
            <w:noWrap/>
            <w:vAlign w:val="center"/>
            <w:hideMark/>
          </w:tcPr>
          <w:p w14:paraId="1644216A" w14:textId="77777777" w:rsidR="002F1965" w:rsidRPr="00B959B2" w:rsidRDefault="002F1965" w:rsidP="00A52AEE">
            <w:pPr>
              <w:rPr>
                <w:sz w:val="2"/>
                <w:lang w:eastAsia="en-GB"/>
              </w:rPr>
            </w:pPr>
            <w:r w:rsidRPr="00B959B2">
              <w:rPr>
                <w:sz w:val="2"/>
                <w:lang w:eastAsia="en-GB"/>
              </w:rPr>
              <w:t> </w:t>
            </w:r>
          </w:p>
        </w:tc>
        <w:tc>
          <w:tcPr>
            <w:tcW w:w="4253" w:type="dxa"/>
            <w:tcBorders>
              <w:top w:val="nil"/>
              <w:left w:val="nil"/>
              <w:bottom w:val="single" w:sz="4" w:space="0" w:color="auto"/>
              <w:right w:val="single" w:sz="4" w:space="0" w:color="auto"/>
            </w:tcBorders>
            <w:shd w:val="clear" w:color="auto" w:fill="BDD6EE" w:themeFill="accent1" w:themeFillTint="66"/>
            <w:noWrap/>
            <w:vAlign w:val="bottom"/>
            <w:hideMark/>
          </w:tcPr>
          <w:p w14:paraId="1AEF2F50" w14:textId="7E2A4D82" w:rsidR="002F1965" w:rsidRPr="00B959B2" w:rsidRDefault="002F1965" w:rsidP="00A52AEE">
            <w:pPr>
              <w:rPr>
                <w:sz w:val="2"/>
                <w:lang w:eastAsia="en-GB"/>
              </w:rPr>
            </w:pPr>
          </w:p>
        </w:tc>
      </w:tr>
      <w:tr w:rsidR="002F1965" w:rsidRPr="00A52AEE" w14:paraId="2256E967" w14:textId="77777777" w:rsidTr="002F1965">
        <w:trPr>
          <w:trHeight w:val="103"/>
          <w:tblHeader/>
        </w:trPr>
        <w:tc>
          <w:tcPr>
            <w:tcW w:w="704" w:type="dxa"/>
            <w:vMerge w:val="restart"/>
            <w:tcBorders>
              <w:top w:val="nil"/>
              <w:left w:val="single" w:sz="4" w:space="0" w:color="auto"/>
              <w:bottom w:val="single" w:sz="4" w:space="0" w:color="auto"/>
              <w:right w:val="single" w:sz="4" w:space="0" w:color="auto"/>
            </w:tcBorders>
            <w:shd w:val="clear" w:color="auto" w:fill="1F4E79" w:themeFill="accent1" w:themeFillShade="80"/>
            <w:noWrap/>
            <w:textDirection w:val="btLr"/>
            <w:vAlign w:val="center"/>
            <w:hideMark/>
          </w:tcPr>
          <w:p w14:paraId="6E2D8376" w14:textId="77777777" w:rsidR="002F1965" w:rsidRPr="001923B6" w:rsidRDefault="002F1965" w:rsidP="001923B6">
            <w:pPr>
              <w:jc w:val="center"/>
              <w:rPr>
                <w:b/>
                <w:color w:val="FFFFFF" w:themeColor="background1"/>
                <w:lang w:eastAsia="en-GB"/>
              </w:rPr>
            </w:pPr>
            <w:r w:rsidRPr="001923B6">
              <w:rPr>
                <w:b/>
                <w:color w:val="FFFFFF" w:themeColor="background1"/>
                <w:lang w:eastAsia="en-GB"/>
              </w:rPr>
              <w:t>20-24 years</w:t>
            </w:r>
          </w:p>
        </w:tc>
        <w:tc>
          <w:tcPr>
            <w:tcW w:w="3686" w:type="dxa"/>
            <w:tcBorders>
              <w:top w:val="nil"/>
              <w:left w:val="nil"/>
              <w:bottom w:val="single" w:sz="4" w:space="0" w:color="auto"/>
              <w:right w:val="single" w:sz="4" w:space="0" w:color="auto"/>
            </w:tcBorders>
            <w:shd w:val="clear" w:color="auto" w:fill="auto"/>
            <w:vAlign w:val="center"/>
            <w:hideMark/>
          </w:tcPr>
          <w:p w14:paraId="63192CD1" w14:textId="7015787B" w:rsidR="002F1965" w:rsidRPr="002F1965" w:rsidRDefault="002F1965" w:rsidP="00BE09C2">
            <w:pPr>
              <w:rPr>
                <w:sz w:val="18"/>
                <w:lang w:eastAsia="en-GB"/>
              </w:rPr>
            </w:pPr>
            <w:r w:rsidRPr="002F1965">
              <w:rPr>
                <w:sz w:val="18"/>
                <w:lang w:eastAsia="en-GB"/>
              </w:rPr>
              <w:t>Business studies</w:t>
            </w:r>
          </w:p>
        </w:tc>
        <w:tc>
          <w:tcPr>
            <w:tcW w:w="4253" w:type="dxa"/>
            <w:tcBorders>
              <w:top w:val="nil"/>
              <w:left w:val="nil"/>
              <w:bottom w:val="single" w:sz="4" w:space="0" w:color="auto"/>
              <w:right w:val="single" w:sz="4" w:space="0" w:color="auto"/>
            </w:tcBorders>
            <w:shd w:val="clear" w:color="auto" w:fill="auto"/>
            <w:noWrap/>
            <w:vAlign w:val="bottom"/>
            <w:hideMark/>
          </w:tcPr>
          <w:p w14:paraId="442A3598" w14:textId="067B6605" w:rsidR="002F1965" w:rsidRPr="002F1965" w:rsidRDefault="002F1965" w:rsidP="00BE09C2">
            <w:pPr>
              <w:rPr>
                <w:sz w:val="18"/>
                <w:lang w:eastAsia="en-GB"/>
              </w:rPr>
            </w:pPr>
            <w:r w:rsidRPr="002F1965">
              <w:rPr>
                <w:sz w:val="18"/>
                <w:lang w:eastAsia="en-GB"/>
              </w:rPr>
              <w:t>Nursing</w:t>
            </w:r>
          </w:p>
        </w:tc>
      </w:tr>
      <w:tr w:rsidR="002F1965" w:rsidRPr="00A52AEE" w14:paraId="106C479E" w14:textId="77777777" w:rsidTr="002F1965">
        <w:trPr>
          <w:trHeight w:val="148"/>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B44DE72"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1C16A6F0" w14:textId="1148A75C" w:rsidR="002F1965" w:rsidRPr="002F1965" w:rsidRDefault="002F1965" w:rsidP="00BE09C2">
            <w:pPr>
              <w:rPr>
                <w:sz w:val="18"/>
                <w:lang w:eastAsia="en-GB"/>
              </w:rPr>
            </w:pPr>
            <w:r w:rsidRPr="002F1965">
              <w:rPr>
                <w:sz w:val="18"/>
                <w:lang w:eastAsia="en-GB"/>
              </w:rPr>
              <w:t>Nursing</w:t>
            </w:r>
          </w:p>
        </w:tc>
        <w:tc>
          <w:tcPr>
            <w:tcW w:w="4253" w:type="dxa"/>
            <w:tcBorders>
              <w:top w:val="nil"/>
              <w:left w:val="nil"/>
              <w:bottom w:val="single" w:sz="4" w:space="0" w:color="auto"/>
              <w:right w:val="single" w:sz="4" w:space="0" w:color="auto"/>
            </w:tcBorders>
            <w:shd w:val="clear" w:color="auto" w:fill="auto"/>
            <w:noWrap/>
            <w:vAlign w:val="bottom"/>
            <w:hideMark/>
          </w:tcPr>
          <w:p w14:paraId="592C37FA" w14:textId="4DFDCF46" w:rsidR="002F1965" w:rsidRPr="002F1965" w:rsidRDefault="002F1965" w:rsidP="00BE09C2">
            <w:pPr>
              <w:rPr>
                <w:sz w:val="18"/>
                <w:lang w:eastAsia="en-GB"/>
              </w:rPr>
            </w:pPr>
            <w:r w:rsidRPr="002F1965">
              <w:rPr>
                <w:sz w:val="18"/>
                <w:lang w:eastAsia="en-GB"/>
              </w:rPr>
              <w:t>Accounting</w:t>
            </w:r>
          </w:p>
        </w:tc>
      </w:tr>
      <w:tr w:rsidR="002F1965" w:rsidRPr="00A52AEE" w14:paraId="2979FF84" w14:textId="77777777" w:rsidTr="002F1965">
        <w:trPr>
          <w:trHeight w:val="181"/>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5042B0D"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2BF46379" w14:textId="11BBF172" w:rsidR="002F1965" w:rsidRPr="002F1965" w:rsidRDefault="002F1965" w:rsidP="00BE09C2">
            <w:pPr>
              <w:rPr>
                <w:sz w:val="18"/>
                <w:lang w:eastAsia="en-GB"/>
              </w:rPr>
            </w:pPr>
            <w:r w:rsidRPr="002F1965">
              <w:rPr>
                <w:sz w:val="18"/>
                <w:lang w:eastAsia="en-GB"/>
              </w:rPr>
              <w:t>Psychology</w:t>
            </w:r>
          </w:p>
        </w:tc>
        <w:tc>
          <w:tcPr>
            <w:tcW w:w="4253" w:type="dxa"/>
            <w:tcBorders>
              <w:top w:val="nil"/>
              <w:left w:val="nil"/>
              <w:bottom w:val="single" w:sz="4" w:space="0" w:color="auto"/>
              <w:right w:val="single" w:sz="4" w:space="0" w:color="auto"/>
            </w:tcBorders>
            <w:shd w:val="clear" w:color="auto" w:fill="auto"/>
            <w:noWrap/>
            <w:vAlign w:val="bottom"/>
            <w:hideMark/>
          </w:tcPr>
          <w:p w14:paraId="56E1A4BE" w14:textId="12D7B24D" w:rsidR="002F1965" w:rsidRPr="002F1965" w:rsidRDefault="002F1965" w:rsidP="00BE09C2">
            <w:pPr>
              <w:rPr>
                <w:sz w:val="18"/>
                <w:lang w:eastAsia="en-GB"/>
              </w:rPr>
            </w:pPr>
            <w:r w:rsidRPr="002F1965">
              <w:rPr>
                <w:sz w:val="18"/>
                <w:lang w:eastAsia="en-GB"/>
              </w:rPr>
              <w:t>Combined</w:t>
            </w:r>
          </w:p>
        </w:tc>
      </w:tr>
      <w:tr w:rsidR="002F1965" w:rsidRPr="00A52AEE" w14:paraId="5B62F7D2" w14:textId="77777777" w:rsidTr="002F1965">
        <w:trPr>
          <w:trHeight w:val="198"/>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84C3369"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2E5D0F6C" w14:textId="469141A6" w:rsidR="002F1965" w:rsidRPr="002F1965" w:rsidRDefault="002F1965" w:rsidP="00BE09C2">
            <w:pPr>
              <w:rPr>
                <w:sz w:val="18"/>
                <w:lang w:eastAsia="en-GB"/>
              </w:rPr>
            </w:pPr>
            <w:r w:rsidRPr="002F1965">
              <w:rPr>
                <w:sz w:val="18"/>
                <w:lang w:eastAsia="en-GB"/>
              </w:rPr>
              <w:t>Computer science</w:t>
            </w:r>
          </w:p>
        </w:tc>
        <w:tc>
          <w:tcPr>
            <w:tcW w:w="4253" w:type="dxa"/>
            <w:tcBorders>
              <w:top w:val="nil"/>
              <w:left w:val="nil"/>
              <w:bottom w:val="single" w:sz="4" w:space="0" w:color="auto"/>
              <w:right w:val="single" w:sz="4" w:space="0" w:color="auto"/>
            </w:tcBorders>
            <w:shd w:val="clear" w:color="auto" w:fill="auto"/>
            <w:noWrap/>
            <w:vAlign w:val="bottom"/>
            <w:hideMark/>
          </w:tcPr>
          <w:p w14:paraId="0F917C87" w14:textId="22C1AE79" w:rsidR="002F1965" w:rsidRPr="002F1965" w:rsidRDefault="002F1965" w:rsidP="00BE09C2">
            <w:pPr>
              <w:rPr>
                <w:sz w:val="18"/>
                <w:lang w:eastAsia="en-GB"/>
              </w:rPr>
            </w:pPr>
            <w:r w:rsidRPr="002F1965">
              <w:rPr>
                <w:sz w:val="18"/>
                <w:lang w:eastAsia="en-GB"/>
              </w:rPr>
              <w:t>Building</w:t>
            </w:r>
          </w:p>
        </w:tc>
      </w:tr>
      <w:tr w:rsidR="002F1965" w:rsidRPr="00A52AEE" w14:paraId="73428F64" w14:textId="77777777" w:rsidTr="002F1965">
        <w:trPr>
          <w:trHeight w:val="231"/>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ECA16A4"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29D38C3D" w14:textId="0159AA89" w:rsidR="002F1965" w:rsidRPr="002F1965" w:rsidRDefault="002F1965" w:rsidP="00BE09C2">
            <w:pPr>
              <w:rPr>
                <w:sz w:val="18"/>
                <w:lang w:eastAsia="en-GB"/>
              </w:rPr>
            </w:pPr>
            <w:r w:rsidRPr="002F1965">
              <w:rPr>
                <w:sz w:val="18"/>
                <w:lang w:eastAsia="en-GB"/>
              </w:rPr>
              <w:t>Design studies</w:t>
            </w:r>
          </w:p>
        </w:tc>
        <w:tc>
          <w:tcPr>
            <w:tcW w:w="4253" w:type="dxa"/>
            <w:tcBorders>
              <w:top w:val="nil"/>
              <w:left w:val="nil"/>
              <w:bottom w:val="single" w:sz="4" w:space="0" w:color="auto"/>
              <w:right w:val="single" w:sz="4" w:space="0" w:color="auto"/>
            </w:tcBorders>
            <w:shd w:val="clear" w:color="auto" w:fill="auto"/>
            <w:noWrap/>
            <w:vAlign w:val="bottom"/>
            <w:hideMark/>
          </w:tcPr>
          <w:p w14:paraId="2B72EEDE" w14:textId="65AF8272" w:rsidR="002F1965" w:rsidRPr="002F1965" w:rsidRDefault="002F1965" w:rsidP="00BE09C2">
            <w:pPr>
              <w:rPr>
                <w:sz w:val="18"/>
                <w:lang w:eastAsia="en-GB"/>
              </w:rPr>
            </w:pPr>
            <w:r w:rsidRPr="002F1965">
              <w:rPr>
                <w:sz w:val="18"/>
                <w:lang w:eastAsia="en-GB"/>
              </w:rPr>
              <w:t>Training teachers</w:t>
            </w:r>
          </w:p>
        </w:tc>
      </w:tr>
      <w:tr w:rsidR="002F1965" w:rsidRPr="00A52AEE" w14:paraId="6C75D34F" w14:textId="77777777" w:rsidTr="002F1965">
        <w:trPr>
          <w:trHeight w:val="106"/>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B83D9E0"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6C4A4B9A" w14:textId="393D9D9E" w:rsidR="002F1965" w:rsidRPr="002F1965" w:rsidRDefault="002F1965" w:rsidP="00BE09C2">
            <w:pPr>
              <w:rPr>
                <w:sz w:val="18"/>
                <w:lang w:eastAsia="en-GB"/>
              </w:rPr>
            </w:pPr>
            <w:r w:rsidRPr="002F1965">
              <w:rPr>
                <w:sz w:val="18"/>
                <w:lang w:eastAsia="en-GB"/>
              </w:rPr>
              <w:t>Sociology</w:t>
            </w:r>
          </w:p>
        </w:tc>
        <w:tc>
          <w:tcPr>
            <w:tcW w:w="4253" w:type="dxa"/>
            <w:tcBorders>
              <w:top w:val="nil"/>
              <w:left w:val="nil"/>
              <w:bottom w:val="single" w:sz="4" w:space="0" w:color="auto"/>
              <w:right w:val="single" w:sz="4" w:space="0" w:color="auto"/>
            </w:tcBorders>
            <w:shd w:val="clear" w:color="auto" w:fill="auto"/>
            <w:noWrap/>
            <w:vAlign w:val="bottom"/>
            <w:hideMark/>
          </w:tcPr>
          <w:p w14:paraId="23617297" w14:textId="07EB77DA" w:rsidR="002F1965" w:rsidRPr="002F1965" w:rsidRDefault="002F1965" w:rsidP="00BE09C2">
            <w:pPr>
              <w:rPr>
                <w:sz w:val="18"/>
                <w:lang w:eastAsia="en-GB"/>
              </w:rPr>
            </w:pPr>
            <w:r w:rsidRPr="002F1965">
              <w:rPr>
                <w:sz w:val="18"/>
                <w:lang w:eastAsia="en-GB"/>
              </w:rPr>
              <w:t>Others in education</w:t>
            </w:r>
          </w:p>
        </w:tc>
      </w:tr>
      <w:tr w:rsidR="002F1965" w:rsidRPr="00A52AEE" w14:paraId="55A1CDCB" w14:textId="77777777" w:rsidTr="002F1965">
        <w:trPr>
          <w:trHeight w:val="139"/>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F387056"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333A9026" w14:textId="0E3CF33A" w:rsidR="002F1965" w:rsidRPr="002F1965" w:rsidRDefault="002F1965" w:rsidP="00BE09C2">
            <w:pPr>
              <w:rPr>
                <w:sz w:val="18"/>
                <w:lang w:eastAsia="en-GB"/>
              </w:rPr>
            </w:pPr>
            <w:r w:rsidRPr="002F1965">
              <w:rPr>
                <w:sz w:val="18"/>
                <w:lang w:eastAsia="en-GB"/>
              </w:rPr>
              <w:t>Social work</w:t>
            </w:r>
          </w:p>
        </w:tc>
        <w:tc>
          <w:tcPr>
            <w:tcW w:w="4253" w:type="dxa"/>
            <w:tcBorders>
              <w:top w:val="nil"/>
              <w:left w:val="nil"/>
              <w:bottom w:val="single" w:sz="4" w:space="0" w:color="auto"/>
              <w:right w:val="single" w:sz="4" w:space="0" w:color="auto"/>
            </w:tcBorders>
            <w:shd w:val="clear" w:color="auto" w:fill="auto"/>
            <w:noWrap/>
            <w:vAlign w:val="bottom"/>
            <w:hideMark/>
          </w:tcPr>
          <w:p w14:paraId="15A42811" w14:textId="2F9D52E4" w:rsidR="002F1965" w:rsidRPr="002F1965" w:rsidRDefault="002F1965" w:rsidP="00BE09C2">
            <w:pPr>
              <w:rPr>
                <w:sz w:val="18"/>
                <w:lang w:eastAsia="en-GB"/>
              </w:rPr>
            </w:pPr>
            <w:r w:rsidRPr="002F1965">
              <w:rPr>
                <w:sz w:val="18"/>
                <w:lang w:eastAsia="en-GB"/>
              </w:rPr>
              <w:t>Civil engineering</w:t>
            </w:r>
          </w:p>
        </w:tc>
      </w:tr>
      <w:tr w:rsidR="002F1965" w:rsidRPr="00A52AEE" w14:paraId="3E03DCF0" w14:textId="77777777" w:rsidTr="002F1965">
        <w:trPr>
          <w:trHeight w:val="184"/>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B60D8BC"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0D678508" w14:textId="6AA5FE9C" w:rsidR="002F1965" w:rsidRPr="002F1965" w:rsidRDefault="002F1965" w:rsidP="00BE09C2">
            <w:pPr>
              <w:rPr>
                <w:sz w:val="18"/>
                <w:lang w:eastAsia="en-GB"/>
              </w:rPr>
            </w:pPr>
            <w:r w:rsidRPr="002F1965">
              <w:rPr>
                <w:sz w:val="18"/>
                <w:lang w:eastAsia="en-GB"/>
              </w:rPr>
              <w:t>Management studies</w:t>
            </w:r>
          </w:p>
        </w:tc>
        <w:tc>
          <w:tcPr>
            <w:tcW w:w="4253" w:type="dxa"/>
            <w:tcBorders>
              <w:top w:val="nil"/>
              <w:left w:val="nil"/>
              <w:bottom w:val="single" w:sz="4" w:space="0" w:color="auto"/>
              <w:right w:val="single" w:sz="4" w:space="0" w:color="auto"/>
            </w:tcBorders>
            <w:shd w:val="clear" w:color="auto" w:fill="auto"/>
            <w:noWrap/>
            <w:vAlign w:val="bottom"/>
            <w:hideMark/>
          </w:tcPr>
          <w:p w14:paraId="30A17B4C" w14:textId="62942970" w:rsidR="002F1965" w:rsidRPr="002F1965" w:rsidRDefault="002F1965" w:rsidP="00BE09C2">
            <w:pPr>
              <w:rPr>
                <w:sz w:val="18"/>
                <w:lang w:eastAsia="en-GB"/>
              </w:rPr>
            </w:pPr>
            <w:r w:rsidRPr="002F1965">
              <w:rPr>
                <w:sz w:val="18"/>
                <w:lang w:eastAsia="en-GB"/>
              </w:rPr>
              <w:t>Academic studies in education</w:t>
            </w:r>
          </w:p>
        </w:tc>
      </w:tr>
      <w:tr w:rsidR="002F1965" w:rsidRPr="00A52AEE" w14:paraId="071C35D7" w14:textId="77777777" w:rsidTr="002F1965">
        <w:trPr>
          <w:trHeight w:val="203"/>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53FC438"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6A577ACC" w14:textId="46DB23CB" w:rsidR="002F1965" w:rsidRPr="002F1965" w:rsidRDefault="002F1965" w:rsidP="00BE09C2">
            <w:pPr>
              <w:rPr>
                <w:sz w:val="18"/>
                <w:lang w:eastAsia="en-GB"/>
              </w:rPr>
            </w:pPr>
            <w:r w:rsidRPr="002F1965">
              <w:rPr>
                <w:sz w:val="18"/>
                <w:lang w:eastAsia="en-GB"/>
              </w:rPr>
              <w:t>Accounting</w:t>
            </w:r>
          </w:p>
        </w:tc>
        <w:tc>
          <w:tcPr>
            <w:tcW w:w="4253" w:type="dxa"/>
            <w:tcBorders>
              <w:top w:val="nil"/>
              <w:left w:val="nil"/>
              <w:bottom w:val="single" w:sz="4" w:space="0" w:color="auto"/>
              <w:right w:val="single" w:sz="4" w:space="0" w:color="auto"/>
            </w:tcBorders>
            <w:shd w:val="clear" w:color="auto" w:fill="auto"/>
            <w:noWrap/>
            <w:vAlign w:val="bottom"/>
            <w:hideMark/>
          </w:tcPr>
          <w:p w14:paraId="097C7835" w14:textId="2DF718B3" w:rsidR="002F1965" w:rsidRPr="002F1965" w:rsidRDefault="002F1965" w:rsidP="00BE09C2">
            <w:pPr>
              <w:rPr>
                <w:sz w:val="18"/>
                <w:lang w:eastAsia="en-GB"/>
              </w:rPr>
            </w:pPr>
            <w:r w:rsidRPr="002F1965">
              <w:rPr>
                <w:sz w:val="18"/>
                <w:lang w:eastAsia="en-GB"/>
              </w:rPr>
              <w:t>Electronic &amp; electrical engineering</w:t>
            </w:r>
          </w:p>
        </w:tc>
      </w:tr>
      <w:tr w:rsidR="002F1965" w:rsidRPr="00A52AEE" w14:paraId="6C7376BB" w14:textId="77777777" w:rsidTr="002F1965">
        <w:trPr>
          <w:trHeight w:val="93"/>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04A2F80"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vAlign w:val="center"/>
            <w:hideMark/>
          </w:tcPr>
          <w:p w14:paraId="190D3CC2" w14:textId="67098DDE" w:rsidR="002F1965" w:rsidRPr="002F1965" w:rsidRDefault="002F1965" w:rsidP="00BE09C2">
            <w:pPr>
              <w:rPr>
                <w:sz w:val="18"/>
                <w:lang w:eastAsia="en-GB"/>
              </w:rPr>
            </w:pPr>
            <w:r w:rsidRPr="002F1965">
              <w:rPr>
                <w:sz w:val="18"/>
                <w:lang w:eastAsia="en-GB"/>
              </w:rPr>
              <w:t xml:space="preserve">Law </w:t>
            </w:r>
          </w:p>
        </w:tc>
        <w:tc>
          <w:tcPr>
            <w:tcW w:w="4253" w:type="dxa"/>
            <w:tcBorders>
              <w:top w:val="nil"/>
              <w:left w:val="nil"/>
              <w:bottom w:val="single" w:sz="4" w:space="0" w:color="auto"/>
              <w:right w:val="single" w:sz="4" w:space="0" w:color="auto"/>
            </w:tcBorders>
            <w:shd w:val="clear" w:color="auto" w:fill="auto"/>
            <w:noWrap/>
            <w:vAlign w:val="bottom"/>
            <w:hideMark/>
          </w:tcPr>
          <w:p w14:paraId="65E3BA6B" w14:textId="2054CF97" w:rsidR="002F1965" w:rsidRPr="002F1965" w:rsidRDefault="002F1965" w:rsidP="00BE09C2">
            <w:pPr>
              <w:rPr>
                <w:sz w:val="18"/>
                <w:lang w:eastAsia="en-GB"/>
              </w:rPr>
            </w:pPr>
            <w:r w:rsidRPr="002F1965">
              <w:rPr>
                <w:sz w:val="18"/>
                <w:lang w:eastAsia="en-GB"/>
              </w:rPr>
              <w:t>Others in subjects allied to medicine</w:t>
            </w:r>
          </w:p>
        </w:tc>
      </w:tr>
      <w:tr w:rsidR="002F1965" w:rsidRPr="001923B6" w14:paraId="4188F223" w14:textId="77777777" w:rsidTr="002F1965">
        <w:trPr>
          <w:trHeight w:val="137"/>
          <w:tblHeader/>
        </w:trPr>
        <w:tc>
          <w:tcPr>
            <w:tcW w:w="704"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textDirection w:val="btLr"/>
            <w:vAlign w:val="center"/>
            <w:hideMark/>
          </w:tcPr>
          <w:p w14:paraId="06EC0EE3" w14:textId="3245A0CB" w:rsidR="002F1965" w:rsidRPr="00B959B2" w:rsidRDefault="002F1965" w:rsidP="001923B6">
            <w:pPr>
              <w:jc w:val="center"/>
              <w:rPr>
                <w:b/>
                <w:color w:val="FFFFFF" w:themeColor="background1"/>
                <w:sz w:val="2"/>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249ED84D" w14:textId="7592419D" w:rsidR="002F1965" w:rsidRPr="00B959B2" w:rsidRDefault="002F1965" w:rsidP="00A52AEE">
            <w:pPr>
              <w:rPr>
                <w:sz w:val="2"/>
                <w:lang w:eastAsia="en-GB"/>
              </w:rPr>
            </w:pPr>
          </w:p>
        </w:tc>
        <w:tc>
          <w:tcPr>
            <w:tcW w:w="4253" w:type="dxa"/>
            <w:tcBorders>
              <w:top w:val="nil"/>
              <w:left w:val="nil"/>
              <w:bottom w:val="single" w:sz="4" w:space="0" w:color="auto"/>
              <w:right w:val="single" w:sz="4" w:space="0" w:color="auto"/>
            </w:tcBorders>
            <w:shd w:val="clear" w:color="auto" w:fill="9CC2E5" w:themeFill="accent1" w:themeFillTint="99"/>
            <w:noWrap/>
            <w:vAlign w:val="center"/>
            <w:hideMark/>
          </w:tcPr>
          <w:p w14:paraId="3AAE0880" w14:textId="093AA428" w:rsidR="002F1965" w:rsidRPr="00B959B2" w:rsidRDefault="002F1965" w:rsidP="00A52AEE">
            <w:pPr>
              <w:rPr>
                <w:sz w:val="2"/>
                <w:lang w:eastAsia="en-GB"/>
              </w:rPr>
            </w:pPr>
            <w:r w:rsidRPr="002F1965">
              <w:rPr>
                <w:sz w:val="2"/>
                <w:lang w:eastAsia="en-GB"/>
              </w:rPr>
              <w:t> 1</w:t>
            </w:r>
          </w:p>
        </w:tc>
      </w:tr>
      <w:tr w:rsidR="002F1965" w:rsidRPr="00A52AEE" w14:paraId="555A9F4D" w14:textId="77777777" w:rsidTr="002F1965">
        <w:trPr>
          <w:trHeight w:val="143"/>
          <w:tblHeader/>
        </w:trPr>
        <w:tc>
          <w:tcPr>
            <w:tcW w:w="704" w:type="dxa"/>
            <w:vMerge w:val="restart"/>
            <w:tcBorders>
              <w:top w:val="nil"/>
              <w:left w:val="single" w:sz="4" w:space="0" w:color="auto"/>
              <w:bottom w:val="single" w:sz="4" w:space="0" w:color="auto"/>
              <w:right w:val="single" w:sz="4" w:space="0" w:color="auto"/>
            </w:tcBorders>
            <w:shd w:val="clear" w:color="auto" w:fill="1F4E79" w:themeFill="accent1" w:themeFillShade="80"/>
            <w:noWrap/>
            <w:textDirection w:val="btLr"/>
            <w:vAlign w:val="center"/>
            <w:hideMark/>
          </w:tcPr>
          <w:p w14:paraId="3DBE082D" w14:textId="77777777" w:rsidR="002F1965" w:rsidRPr="001923B6" w:rsidRDefault="002F1965" w:rsidP="001923B6">
            <w:pPr>
              <w:jc w:val="center"/>
              <w:rPr>
                <w:b/>
                <w:color w:val="FFFFFF" w:themeColor="background1"/>
                <w:lang w:eastAsia="en-GB"/>
              </w:rPr>
            </w:pPr>
            <w:r w:rsidRPr="001923B6">
              <w:rPr>
                <w:b/>
                <w:color w:val="FFFFFF" w:themeColor="background1"/>
                <w:lang w:eastAsia="en-GB"/>
              </w:rPr>
              <w:t>25+ years</w:t>
            </w:r>
          </w:p>
        </w:tc>
        <w:tc>
          <w:tcPr>
            <w:tcW w:w="3686" w:type="dxa"/>
            <w:tcBorders>
              <w:top w:val="nil"/>
              <w:left w:val="nil"/>
              <w:bottom w:val="single" w:sz="4" w:space="0" w:color="auto"/>
              <w:right w:val="single" w:sz="4" w:space="0" w:color="auto"/>
            </w:tcBorders>
            <w:shd w:val="clear" w:color="auto" w:fill="auto"/>
            <w:noWrap/>
            <w:vAlign w:val="bottom"/>
            <w:hideMark/>
          </w:tcPr>
          <w:p w14:paraId="3E4C698F" w14:textId="2D4308F5" w:rsidR="002F1965" w:rsidRPr="002F1965" w:rsidRDefault="002F1965" w:rsidP="00BE09C2">
            <w:pPr>
              <w:rPr>
                <w:sz w:val="18"/>
                <w:lang w:eastAsia="en-GB"/>
              </w:rPr>
            </w:pPr>
            <w:r w:rsidRPr="002F1965">
              <w:rPr>
                <w:sz w:val="18"/>
                <w:lang w:eastAsia="en-GB"/>
              </w:rPr>
              <w:t>Nursing</w:t>
            </w:r>
          </w:p>
        </w:tc>
        <w:tc>
          <w:tcPr>
            <w:tcW w:w="4253" w:type="dxa"/>
            <w:tcBorders>
              <w:top w:val="nil"/>
              <w:left w:val="nil"/>
              <w:bottom w:val="single" w:sz="4" w:space="0" w:color="auto"/>
              <w:right w:val="single" w:sz="4" w:space="0" w:color="auto"/>
            </w:tcBorders>
            <w:shd w:val="clear" w:color="auto" w:fill="auto"/>
            <w:noWrap/>
            <w:vAlign w:val="bottom"/>
            <w:hideMark/>
          </w:tcPr>
          <w:p w14:paraId="3747B795" w14:textId="0FAF0650" w:rsidR="002F1965" w:rsidRPr="002F1965" w:rsidRDefault="002F1965" w:rsidP="007C17F7">
            <w:pPr>
              <w:rPr>
                <w:sz w:val="18"/>
                <w:lang w:eastAsia="en-GB"/>
              </w:rPr>
            </w:pPr>
            <w:r w:rsidRPr="002F1965">
              <w:rPr>
                <w:sz w:val="18"/>
                <w:lang w:eastAsia="en-GB"/>
              </w:rPr>
              <w:t>Nursing</w:t>
            </w:r>
          </w:p>
        </w:tc>
      </w:tr>
      <w:tr w:rsidR="002F1965" w:rsidRPr="00A52AEE" w14:paraId="4B68CBAB" w14:textId="77777777" w:rsidTr="002F1965">
        <w:trPr>
          <w:trHeight w:val="174"/>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09E3474"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204EF3B3" w14:textId="249BA981" w:rsidR="002F1965" w:rsidRPr="002F1965" w:rsidRDefault="002F1965" w:rsidP="00BE09C2">
            <w:pPr>
              <w:rPr>
                <w:sz w:val="18"/>
                <w:lang w:eastAsia="en-GB"/>
              </w:rPr>
            </w:pPr>
            <w:r w:rsidRPr="002F1965">
              <w:rPr>
                <w:sz w:val="18"/>
                <w:lang w:eastAsia="en-GB"/>
              </w:rPr>
              <w:t>Social work</w:t>
            </w:r>
          </w:p>
        </w:tc>
        <w:tc>
          <w:tcPr>
            <w:tcW w:w="4253" w:type="dxa"/>
            <w:tcBorders>
              <w:top w:val="nil"/>
              <w:left w:val="nil"/>
              <w:bottom w:val="single" w:sz="4" w:space="0" w:color="auto"/>
              <w:right w:val="single" w:sz="4" w:space="0" w:color="auto"/>
            </w:tcBorders>
            <w:shd w:val="clear" w:color="auto" w:fill="auto"/>
            <w:noWrap/>
            <w:vAlign w:val="bottom"/>
            <w:hideMark/>
          </w:tcPr>
          <w:p w14:paraId="4D478291" w14:textId="1FDF4504" w:rsidR="002F1965" w:rsidRPr="002F1965" w:rsidRDefault="002F1965" w:rsidP="007C17F7">
            <w:pPr>
              <w:rPr>
                <w:sz w:val="18"/>
                <w:lang w:eastAsia="en-GB"/>
              </w:rPr>
            </w:pPr>
            <w:r w:rsidRPr="002F1965">
              <w:rPr>
                <w:sz w:val="18"/>
                <w:lang w:eastAsia="en-GB"/>
              </w:rPr>
              <w:t>Training teachers</w:t>
            </w:r>
          </w:p>
        </w:tc>
      </w:tr>
      <w:tr w:rsidR="002F1965" w:rsidRPr="00A52AEE" w14:paraId="479626C3" w14:textId="77777777" w:rsidTr="002F1965">
        <w:trPr>
          <w:trHeight w:val="79"/>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E5A348B"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359E6EAC" w14:textId="4A71955D" w:rsidR="002F1965" w:rsidRPr="002F1965" w:rsidRDefault="002F1965" w:rsidP="00BE09C2">
            <w:pPr>
              <w:rPr>
                <w:sz w:val="18"/>
                <w:lang w:eastAsia="en-GB"/>
              </w:rPr>
            </w:pPr>
            <w:r w:rsidRPr="002F1965">
              <w:rPr>
                <w:sz w:val="18"/>
                <w:lang w:eastAsia="en-GB"/>
              </w:rPr>
              <w:t>Psychology</w:t>
            </w:r>
          </w:p>
        </w:tc>
        <w:tc>
          <w:tcPr>
            <w:tcW w:w="4253" w:type="dxa"/>
            <w:tcBorders>
              <w:top w:val="nil"/>
              <w:left w:val="nil"/>
              <w:bottom w:val="single" w:sz="4" w:space="0" w:color="auto"/>
              <w:right w:val="single" w:sz="4" w:space="0" w:color="auto"/>
            </w:tcBorders>
            <w:shd w:val="clear" w:color="auto" w:fill="auto"/>
            <w:noWrap/>
            <w:vAlign w:val="bottom"/>
            <w:hideMark/>
          </w:tcPr>
          <w:p w14:paraId="529C0C71" w14:textId="49F22F22" w:rsidR="002F1965" w:rsidRPr="002F1965" w:rsidRDefault="002F1965" w:rsidP="007C17F7">
            <w:pPr>
              <w:rPr>
                <w:sz w:val="18"/>
                <w:lang w:eastAsia="en-GB"/>
              </w:rPr>
            </w:pPr>
            <w:r w:rsidRPr="002F1965">
              <w:rPr>
                <w:sz w:val="18"/>
                <w:lang w:eastAsia="en-GB"/>
              </w:rPr>
              <w:t>Combined</w:t>
            </w:r>
          </w:p>
        </w:tc>
      </w:tr>
      <w:tr w:rsidR="002F1965" w:rsidRPr="00A52AEE" w14:paraId="6F6814BE" w14:textId="77777777" w:rsidTr="002F1965">
        <w:trPr>
          <w:trHeight w:val="238"/>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659ED44"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22F02F28" w14:textId="0AFC3A86" w:rsidR="002F1965" w:rsidRPr="002F1965" w:rsidRDefault="002F1965" w:rsidP="00BE09C2">
            <w:pPr>
              <w:rPr>
                <w:sz w:val="18"/>
                <w:lang w:eastAsia="en-GB"/>
              </w:rPr>
            </w:pPr>
            <w:r w:rsidRPr="002F1965">
              <w:rPr>
                <w:sz w:val="18"/>
                <w:lang w:eastAsia="en-GB"/>
              </w:rPr>
              <w:t>Academic studies in education</w:t>
            </w:r>
          </w:p>
        </w:tc>
        <w:tc>
          <w:tcPr>
            <w:tcW w:w="4253" w:type="dxa"/>
            <w:tcBorders>
              <w:top w:val="nil"/>
              <w:left w:val="nil"/>
              <w:bottom w:val="single" w:sz="4" w:space="0" w:color="auto"/>
              <w:right w:val="single" w:sz="4" w:space="0" w:color="auto"/>
            </w:tcBorders>
            <w:shd w:val="clear" w:color="auto" w:fill="auto"/>
            <w:noWrap/>
            <w:vAlign w:val="bottom"/>
            <w:hideMark/>
          </w:tcPr>
          <w:p w14:paraId="0EF53111" w14:textId="57F9D205" w:rsidR="002F1965" w:rsidRPr="002F1965" w:rsidRDefault="002F1965" w:rsidP="007C17F7">
            <w:pPr>
              <w:rPr>
                <w:sz w:val="18"/>
                <w:lang w:eastAsia="en-GB"/>
              </w:rPr>
            </w:pPr>
            <w:r w:rsidRPr="002F1965">
              <w:rPr>
                <w:sz w:val="18"/>
                <w:lang w:eastAsia="en-GB"/>
              </w:rPr>
              <w:t>Accounting</w:t>
            </w:r>
          </w:p>
        </w:tc>
      </w:tr>
      <w:tr w:rsidR="002F1965" w:rsidRPr="00A52AEE" w14:paraId="7C3929FC" w14:textId="77777777" w:rsidTr="002F1965">
        <w:trPr>
          <w:trHeight w:val="129"/>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6F0A660"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592B7356" w14:textId="138CB0B6" w:rsidR="002F1965" w:rsidRPr="002F1965" w:rsidRDefault="002F1965" w:rsidP="00BE09C2">
            <w:pPr>
              <w:rPr>
                <w:sz w:val="18"/>
                <w:lang w:eastAsia="en-GB"/>
              </w:rPr>
            </w:pPr>
            <w:r w:rsidRPr="002F1965">
              <w:rPr>
                <w:sz w:val="18"/>
                <w:lang w:eastAsia="en-GB"/>
              </w:rPr>
              <w:t>Sociology</w:t>
            </w:r>
          </w:p>
        </w:tc>
        <w:tc>
          <w:tcPr>
            <w:tcW w:w="4253" w:type="dxa"/>
            <w:tcBorders>
              <w:top w:val="nil"/>
              <w:left w:val="nil"/>
              <w:bottom w:val="single" w:sz="4" w:space="0" w:color="auto"/>
              <w:right w:val="single" w:sz="4" w:space="0" w:color="auto"/>
            </w:tcBorders>
            <w:shd w:val="clear" w:color="auto" w:fill="auto"/>
            <w:noWrap/>
            <w:vAlign w:val="bottom"/>
            <w:hideMark/>
          </w:tcPr>
          <w:p w14:paraId="2A2583AC" w14:textId="4B4E664A" w:rsidR="002F1965" w:rsidRPr="002F1965" w:rsidRDefault="002F1965" w:rsidP="007C17F7">
            <w:pPr>
              <w:rPr>
                <w:sz w:val="18"/>
                <w:lang w:eastAsia="en-GB"/>
              </w:rPr>
            </w:pPr>
            <w:r w:rsidRPr="002F1965">
              <w:rPr>
                <w:sz w:val="18"/>
                <w:lang w:eastAsia="en-GB"/>
              </w:rPr>
              <w:t>Others in education</w:t>
            </w:r>
          </w:p>
        </w:tc>
      </w:tr>
      <w:tr w:rsidR="002F1965" w:rsidRPr="00A52AEE" w14:paraId="39449B80" w14:textId="77777777" w:rsidTr="002F1965">
        <w:trPr>
          <w:trHeight w:val="161"/>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80C93D8"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5590A381" w14:textId="7E1903CB" w:rsidR="002F1965" w:rsidRPr="002F1965" w:rsidRDefault="002F1965" w:rsidP="00BE09C2">
            <w:pPr>
              <w:rPr>
                <w:sz w:val="18"/>
                <w:lang w:eastAsia="en-GB"/>
              </w:rPr>
            </w:pPr>
            <w:r w:rsidRPr="002F1965">
              <w:rPr>
                <w:sz w:val="18"/>
                <w:lang w:eastAsia="en-GB"/>
              </w:rPr>
              <w:t>Others in subjects allied to medicine</w:t>
            </w:r>
          </w:p>
        </w:tc>
        <w:tc>
          <w:tcPr>
            <w:tcW w:w="4253" w:type="dxa"/>
            <w:tcBorders>
              <w:top w:val="nil"/>
              <w:left w:val="nil"/>
              <w:bottom w:val="single" w:sz="4" w:space="0" w:color="auto"/>
              <w:right w:val="single" w:sz="4" w:space="0" w:color="auto"/>
            </w:tcBorders>
            <w:shd w:val="clear" w:color="auto" w:fill="auto"/>
            <w:noWrap/>
            <w:vAlign w:val="bottom"/>
            <w:hideMark/>
          </w:tcPr>
          <w:p w14:paraId="50571EC7" w14:textId="0434ABC1" w:rsidR="002F1965" w:rsidRPr="002F1965" w:rsidRDefault="002F1965" w:rsidP="007C17F7">
            <w:pPr>
              <w:rPr>
                <w:sz w:val="18"/>
                <w:lang w:eastAsia="en-GB"/>
              </w:rPr>
            </w:pPr>
            <w:r w:rsidRPr="002F1965">
              <w:rPr>
                <w:sz w:val="18"/>
                <w:lang w:eastAsia="en-GB"/>
              </w:rPr>
              <w:t>Social work</w:t>
            </w:r>
          </w:p>
        </w:tc>
      </w:tr>
      <w:tr w:rsidR="002F1965" w:rsidRPr="00A52AEE" w14:paraId="0C35C1A9" w14:textId="77777777" w:rsidTr="002F1965">
        <w:trPr>
          <w:trHeight w:val="179"/>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80E43DC"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764E17E6" w14:textId="27D6F3F6" w:rsidR="002F1965" w:rsidRPr="002F1965" w:rsidRDefault="002F1965" w:rsidP="00BE09C2">
            <w:pPr>
              <w:rPr>
                <w:sz w:val="18"/>
                <w:lang w:eastAsia="en-GB"/>
              </w:rPr>
            </w:pPr>
            <w:r w:rsidRPr="002F1965">
              <w:rPr>
                <w:sz w:val="18"/>
                <w:lang w:eastAsia="en-GB"/>
              </w:rPr>
              <w:t>Training teachers</w:t>
            </w:r>
          </w:p>
        </w:tc>
        <w:tc>
          <w:tcPr>
            <w:tcW w:w="4253" w:type="dxa"/>
            <w:tcBorders>
              <w:top w:val="nil"/>
              <w:left w:val="nil"/>
              <w:bottom w:val="single" w:sz="4" w:space="0" w:color="auto"/>
              <w:right w:val="single" w:sz="4" w:space="0" w:color="auto"/>
            </w:tcBorders>
            <w:shd w:val="clear" w:color="auto" w:fill="auto"/>
            <w:noWrap/>
            <w:vAlign w:val="bottom"/>
            <w:hideMark/>
          </w:tcPr>
          <w:p w14:paraId="39E473A8" w14:textId="6090140F" w:rsidR="002F1965" w:rsidRPr="002F1965" w:rsidRDefault="002F1965" w:rsidP="007C17F7">
            <w:pPr>
              <w:rPr>
                <w:sz w:val="18"/>
                <w:lang w:eastAsia="en-GB"/>
              </w:rPr>
            </w:pPr>
            <w:r w:rsidRPr="002F1965">
              <w:rPr>
                <w:sz w:val="18"/>
                <w:lang w:eastAsia="en-GB"/>
              </w:rPr>
              <w:t>Academic studies in education</w:t>
            </w:r>
          </w:p>
        </w:tc>
      </w:tr>
      <w:tr w:rsidR="002F1965" w:rsidRPr="00A52AEE" w14:paraId="21D0B6B5" w14:textId="77777777" w:rsidTr="002F1965">
        <w:trPr>
          <w:trHeight w:val="211"/>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5532AC5"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629C67C9" w14:textId="7154ABA1" w:rsidR="002F1965" w:rsidRPr="002F1965" w:rsidRDefault="002F1965" w:rsidP="00BE09C2">
            <w:pPr>
              <w:rPr>
                <w:sz w:val="18"/>
                <w:lang w:eastAsia="en-GB"/>
              </w:rPr>
            </w:pPr>
            <w:r w:rsidRPr="002F1965">
              <w:rPr>
                <w:sz w:val="18"/>
                <w:lang w:eastAsia="en-GB"/>
              </w:rPr>
              <w:t>Law</w:t>
            </w:r>
          </w:p>
        </w:tc>
        <w:tc>
          <w:tcPr>
            <w:tcW w:w="4253" w:type="dxa"/>
            <w:tcBorders>
              <w:top w:val="nil"/>
              <w:left w:val="nil"/>
              <w:bottom w:val="single" w:sz="4" w:space="0" w:color="auto"/>
              <w:right w:val="single" w:sz="4" w:space="0" w:color="auto"/>
            </w:tcBorders>
            <w:shd w:val="clear" w:color="auto" w:fill="auto"/>
            <w:noWrap/>
            <w:vAlign w:val="bottom"/>
            <w:hideMark/>
          </w:tcPr>
          <w:p w14:paraId="190CF99D" w14:textId="194088A9" w:rsidR="002F1965" w:rsidRPr="002F1965" w:rsidRDefault="002F1965" w:rsidP="007C17F7">
            <w:pPr>
              <w:rPr>
                <w:sz w:val="18"/>
                <w:lang w:eastAsia="en-GB"/>
              </w:rPr>
            </w:pPr>
            <w:r w:rsidRPr="002F1965">
              <w:rPr>
                <w:sz w:val="18"/>
                <w:lang w:eastAsia="en-GB"/>
              </w:rPr>
              <w:t>Others in subjects allied to medicine</w:t>
            </w:r>
          </w:p>
        </w:tc>
      </w:tr>
      <w:tr w:rsidR="002F1965" w:rsidRPr="00A52AEE" w14:paraId="20D5BC4D" w14:textId="77777777" w:rsidTr="002F1965">
        <w:trPr>
          <w:trHeight w:val="65"/>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EFDF9D8"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5066C73B" w14:textId="472CF8CF" w:rsidR="002F1965" w:rsidRPr="002F1965" w:rsidRDefault="002F1965" w:rsidP="00BE09C2">
            <w:pPr>
              <w:rPr>
                <w:sz w:val="18"/>
                <w:lang w:eastAsia="en-GB"/>
              </w:rPr>
            </w:pPr>
            <w:r w:rsidRPr="002F1965">
              <w:rPr>
                <w:sz w:val="18"/>
                <w:lang w:eastAsia="en-GB"/>
              </w:rPr>
              <w:t>Business studies</w:t>
            </w:r>
          </w:p>
        </w:tc>
        <w:tc>
          <w:tcPr>
            <w:tcW w:w="4253" w:type="dxa"/>
            <w:tcBorders>
              <w:top w:val="nil"/>
              <w:left w:val="nil"/>
              <w:bottom w:val="single" w:sz="4" w:space="0" w:color="auto"/>
              <w:right w:val="single" w:sz="4" w:space="0" w:color="auto"/>
            </w:tcBorders>
            <w:shd w:val="clear" w:color="auto" w:fill="auto"/>
            <w:noWrap/>
            <w:vAlign w:val="bottom"/>
            <w:hideMark/>
          </w:tcPr>
          <w:p w14:paraId="28821113" w14:textId="2B2813A2" w:rsidR="002F1965" w:rsidRPr="002F1965" w:rsidRDefault="002F1965" w:rsidP="007C17F7">
            <w:pPr>
              <w:rPr>
                <w:sz w:val="18"/>
                <w:lang w:eastAsia="en-GB"/>
              </w:rPr>
            </w:pPr>
            <w:r w:rsidRPr="002F1965">
              <w:rPr>
                <w:sz w:val="18"/>
                <w:lang w:eastAsia="en-GB"/>
              </w:rPr>
              <w:t>Design studies</w:t>
            </w:r>
          </w:p>
        </w:tc>
      </w:tr>
      <w:tr w:rsidR="002F1965" w:rsidRPr="00A52AEE" w14:paraId="5FDE0128" w14:textId="77777777" w:rsidTr="002F1965">
        <w:trPr>
          <w:trHeight w:val="113"/>
          <w:tblHeader/>
        </w:trPr>
        <w:tc>
          <w:tcPr>
            <w:tcW w:w="704"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2A5AADE" w14:textId="77777777" w:rsidR="002F1965" w:rsidRPr="001923B6" w:rsidRDefault="002F1965" w:rsidP="001923B6">
            <w:pPr>
              <w:jc w:val="center"/>
              <w:rPr>
                <w:b/>
                <w:color w:val="FFFFFF" w:themeColor="background1"/>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6898D8C5" w14:textId="4025BBBF" w:rsidR="002F1965" w:rsidRPr="002F1965" w:rsidRDefault="002F1965" w:rsidP="00BE09C2">
            <w:pPr>
              <w:rPr>
                <w:sz w:val="18"/>
                <w:lang w:eastAsia="en-GB"/>
              </w:rPr>
            </w:pPr>
            <w:r w:rsidRPr="002F1965">
              <w:rPr>
                <w:sz w:val="18"/>
                <w:lang w:eastAsia="en-GB"/>
              </w:rPr>
              <w:t>Design studies</w:t>
            </w:r>
          </w:p>
        </w:tc>
        <w:tc>
          <w:tcPr>
            <w:tcW w:w="4253" w:type="dxa"/>
            <w:tcBorders>
              <w:top w:val="nil"/>
              <w:left w:val="nil"/>
              <w:bottom w:val="single" w:sz="4" w:space="0" w:color="auto"/>
              <w:right w:val="single" w:sz="4" w:space="0" w:color="auto"/>
            </w:tcBorders>
            <w:shd w:val="clear" w:color="auto" w:fill="auto"/>
            <w:noWrap/>
            <w:vAlign w:val="bottom"/>
            <w:hideMark/>
          </w:tcPr>
          <w:p w14:paraId="63877D47" w14:textId="167F0094" w:rsidR="002F1965" w:rsidRPr="002F1965" w:rsidRDefault="002F1965" w:rsidP="007C17F7">
            <w:pPr>
              <w:rPr>
                <w:sz w:val="18"/>
                <w:lang w:eastAsia="en-GB"/>
              </w:rPr>
            </w:pPr>
            <w:r w:rsidRPr="002F1965">
              <w:rPr>
                <w:sz w:val="18"/>
                <w:lang w:eastAsia="en-GB"/>
              </w:rPr>
              <w:t>Psychology</w:t>
            </w:r>
          </w:p>
        </w:tc>
      </w:tr>
    </w:tbl>
    <w:p w14:paraId="2EF1B542" w14:textId="1A345167" w:rsidR="007C464B" w:rsidRPr="00A52AEE" w:rsidRDefault="005217F3" w:rsidP="008D527A">
      <w:pPr>
        <w:pStyle w:val="Heading2"/>
      </w:pPr>
      <w:bookmarkStart w:id="116" w:name="_Toc429151334"/>
      <w:r w:rsidRPr="00A52AEE">
        <w:t>5.10</w:t>
      </w:r>
      <w:r w:rsidRPr="00A52AEE">
        <w:tab/>
      </w:r>
      <w:r w:rsidRPr="00A52AEE">
        <w:tab/>
        <w:t>HE progression rates by sector s</w:t>
      </w:r>
      <w:r w:rsidR="007C464B" w:rsidRPr="00A52AEE">
        <w:t>kill</w:t>
      </w:r>
      <w:r w:rsidRPr="00A52AEE">
        <w:t xml:space="preserve">s </w:t>
      </w:r>
      <w:r w:rsidR="00593BBA" w:rsidRPr="00A52AEE">
        <w:t>area</w:t>
      </w:r>
      <w:bookmarkEnd w:id="116"/>
    </w:p>
    <w:p w14:paraId="1291C178" w14:textId="61E687CF" w:rsidR="007C464B" w:rsidRPr="00A52AEE" w:rsidRDefault="007C464B" w:rsidP="00A52AEE">
      <w:pPr>
        <w:rPr>
          <w:lang w:eastAsia="en-GB"/>
        </w:rPr>
      </w:pPr>
      <w:r w:rsidRPr="00A52AEE">
        <w:rPr>
          <w:lang w:eastAsia="en-GB"/>
        </w:rPr>
        <w:t>FE qualifications are classified in terms of Sector Skills areas and allow an exploration of subject progression.  The table below shows rates for each of the five cohorts. In section 2, we sa</w:t>
      </w:r>
      <w:r w:rsidR="00487B00" w:rsidRPr="00A52AEE">
        <w:rPr>
          <w:lang w:eastAsia="en-GB"/>
        </w:rPr>
        <w:t>w</w:t>
      </w:r>
      <w:r w:rsidRPr="00A52AEE">
        <w:rPr>
          <w:lang w:eastAsia="en-GB"/>
        </w:rPr>
        <w:t xml:space="preserve"> high growth areas in Arts, Media and Publishing</w:t>
      </w:r>
      <w:r w:rsidR="00487B00" w:rsidRPr="00A52AEE">
        <w:rPr>
          <w:lang w:eastAsia="en-GB"/>
        </w:rPr>
        <w:t>,</w:t>
      </w:r>
      <w:r w:rsidRPr="00A52AEE">
        <w:rPr>
          <w:lang w:eastAsia="en-GB"/>
        </w:rPr>
        <w:t xml:space="preserve"> Health, Public Services and Care and </w:t>
      </w:r>
      <w:r w:rsidR="00487B00" w:rsidRPr="00A52AEE">
        <w:rPr>
          <w:lang w:eastAsia="en-GB"/>
        </w:rPr>
        <w:t>Business Administration and Law. Healt</w:t>
      </w:r>
      <w:r w:rsidR="001923B6">
        <w:rPr>
          <w:lang w:eastAsia="en-GB"/>
        </w:rPr>
        <w:t>h, Public Services and Care do</w:t>
      </w:r>
      <w:r w:rsidR="00487B00" w:rsidRPr="00A52AEE">
        <w:rPr>
          <w:lang w:eastAsia="en-GB"/>
        </w:rPr>
        <w:t xml:space="preserve"> not appear to have been affected by the dip in 2012 and progression has actually gone up. Business Administration and Law has seen a small dip but </w:t>
      </w:r>
      <w:r w:rsidR="001923B6">
        <w:rPr>
          <w:lang w:eastAsia="en-GB"/>
        </w:rPr>
        <w:t xml:space="preserve">it is </w:t>
      </w:r>
      <w:r w:rsidR="00487B00" w:rsidRPr="00A52AEE">
        <w:rPr>
          <w:lang w:eastAsia="en-GB"/>
        </w:rPr>
        <w:t>not significant. However, the Arts, Media and Publishing sector which saw the highest growth in</w:t>
      </w:r>
      <w:r w:rsidR="00ED5A66" w:rsidRPr="00A52AEE">
        <w:rPr>
          <w:lang w:eastAsia="en-GB"/>
        </w:rPr>
        <w:t xml:space="preserve"> cohort population also saw the highest decrease in progression rates where entry rates have not been sustained against the higher </w:t>
      </w:r>
      <w:r w:rsidR="0021637B" w:rsidRPr="00A52AEE">
        <w:rPr>
          <w:lang w:eastAsia="en-GB"/>
        </w:rPr>
        <w:t>Level</w:t>
      </w:r>
      <w:r w:rsidR="00ED5A66" w:rsidRPr="00A52AEE">
        <w:rPr>
          <w:lang w:eastAsia="en-GB"/>
        </w:rPr>
        <w:t xml:space="preserve"> 3 population numbers (although this is against backdrop of higher fees in 2012). Education and T</w:t>
      </w:r>
      <w:r w:rsidRPr="00A52AEE">
        <w:rPr>
          <w:lang w:eastAsia="en-GB"/>
        </w:rPr>
        <w:t xml:space="preserve">raining </w:t>
      </w:r>
      <w:r w:rsidR="00ED5A66" w:rsidRPr="00A52AEE">
        <w:rPr>
          <w:lang w:eastAsia="en-GB"/>
        </w:rPr>
        <w:t>which saw</w:t>
      </w:r>
      <w:r w:rsidRPr="00A52AEE">
        <w:rPr>
          <w:lang w:eastAsia="en-GB"/>
        </w:rPr>
        <w:t xml:space="preserve"> </w:t>
      </w:r>
      <w:r w:rsidR="001923B6">
        <w:rPr>
          <w:lang w:eastAsia="en-GB"/>
        </w:rPr>
        <w:t xml:space="preserve">a </w:t>
      </w:r>
      <w:r w:rsidRPr="00A52AEE">
        <w:rPr>
          <w:lang w:eastAsia="en-GB"/>
        </w:rPr>
        <w:t xml:space="preserve">significant decrease in </w:t>
      </w:r>
      <w:r w:rsidR="0021637B" w:rsidRPr="00A52AEE">
        <w:rPr>
          <w:lang w:eastAsia="en-GB"/>
        </w:rPr>
        <w:t>Level</w:t>
      </w:r>
      <w:r w:rsidR="00ED5A66" w:rsidRPr="00A52AEE">
        <w:rPr>
          <w:lang w:eastAsia="en-GB"/>
        </w:rPr>
        <w:t xml:space="preserve"> 3 numbers has in fact seen an increase in progression. </w:t>
      </w:r>
      <w:r w:rsidRPr="00A52AEE">
        <w:rPr>
          <w:lang w:eastAsia="en-GB"/>
        </w:rPr>
        <w:t>Science and Mathematics and Agriculture, Horticulture and Animal Care</w:t>
      </w:r>
      <w:r w:rsidR="00ED5A66" w:rsidRPr="00A52AEE">
        <w:rPr>
          <w:lang w:eastAsia="en-GB"/>
        </w:rPr>
        <w:t xml:space="preserve">, both sectors that </w:t>
      </w:r>
      <w:r w:rsidRPr="00A52AEE">
        <w:rPr>
          <w:lang w:eastAsia="en-GB"/>
        </w:rPr>
        <w:t xml:space="preserve">saw small </w:t>
      </w:r>
      <w:r w:rsidR="00ED5A66" w:rsidRPr="00A52AEE">
        <w:rPr>
          <w:lang w:eastAsia="en-GB"/>
        </w:rPr>
        <w:t xml:space="preserve">population </w:t>
      </w:r>
      <w:r w:rsidRPr="00A52AEE">
        <w:rPr>
          <w:lang w:eastAsia="en-GB"/>
        </w:rPr>
        <w:t>decreases</w:t>
      </w:r>
      <w:r w:rsidR="00ED5A66" w:rsidRPr="00A52AEE">
        <w:rPr>
          <w:lang w:eastAsia="en-GB"/>
        </w:rPr>
        <w:t xml:space="preserve"> across the cohorts also had a decrease in rates of progression</w:t>
      </w:r>
      <w:r w:rsidRPr="00A52AEE">
        <w:rPr>
          <w:lang w:eastAsia="en-GB"/>
        </w:rPr>
        <w:t>.</w:t>
      </w:r>
    </w:p>
    <w:p w14:paraId="7F381568" w14:textId="182243DF" w:rsidR="007C464B" w:rsidRPr="00A52AEE" w:rsidRDefault="007C464B" w:rsidP="00A52AEE">
      <w:pPr>
        <w:rPr>
          <w:lang w:eastAsia="en-GB"/>
        </w:rPr>
      </w:pPr>
    </w:p>
    <w:p w14:paraId="541EB16B" w14:textId="726FB577" w:rsidR="001923B6" w:rsidRDefault="007C464B" w:rsidP="00A52AEE">
      <w:pPr>
        <w:rPr>
          <w:b/>
          <w:lang w:eastAsia="en-GB"/>
        </w:rPr>
      </w:pPr>
      <w:r w:rsidRPr="001923B6">
        <w:rPr>
          <w:b/>
          <w:lang w:eastAsia="en-GB"/>
        </w:rPr>
        <w:t>Table 2</w:t>
      </w:r>
      <w:r w:rsidR="004D2866">
        <w:rPr>
          <w:b/>
          <w:lang w:eastAsia="en-GB"/>
        </w:rPr>
        <w:t>6</w:t>
      </w:r>
      <w:r w:rsidR="005217F3" w:rsidRPr="001923B6">
        <w:rPr>
          <w:b/>
          <w:lang w:eastAsia="en-GB"/>
        </w:rPr>
        <w:t>:</w:t>
      </w:r>
      <w:r w:rsidRPr="001923B6">
        <w:rPr>
          <w:b/>
          <w:lang w:eastAsia="en-GB"/>
        </w:rPr>
        <w:t xml:space="preserve"> Immediate HE progression rates by Sector Skills area</w:t>
      </w:r>
    </w:p>
    <w:p w14:paraId="1540F08C" w14:textId="38894B0F" w:rsidR="007C464B" w:rsidRPr="001923B6" w:rsidRDefault="007C464B" w:rsidP="00A52AEE">
      <w:pPr>
        <w:rPr>
          <w:b/>
          <w:lang w:eastAsia="en-GB"/>
        </w:rPr>
      </w:pPr>
      <w:r w:rsidRPr="001923B6">
        <w:rPr>
          <w:b/>
          <w:lang w:eastAsia="en-GB"/>
        </w:rPr>
        <w:t xml:space="preserve"> </w:t>
      </w:r>
    </w:p>
    <w:tbl>
      <w:tblPr>
        <w:tblW w:w="9382" w:type="dxa"/>
        <w:tblInd w:w="113" w:type="dxa"/>
        <w:tblLook w:val="04A0" w:firstRow="1" w:lastRow="0" w:firstColumn="1" w:lastColumn="0" w:noHBand="0" w:noVBand="1"/>
      </w:tblPr>
      <w:tblGrid>
        <w:gridCol w:w="4673"/>
        <w:gridCol w:w="992"/>
        <w:gridCol w:w="993"/>
        <w:gridCol w:w="861"/>
        <w:gridCol w:w="981"/>
        <w:gridCol w:w="882"/>
      </w:tblGrid>
      <w:tr w:rsidR="001923B6" w:rsidRPr="001923B6" w14:paraId="15C2325F" w14:textId="77777777" w:rsidTr="005E08C9">
        <w:trPr>
          <w:trHeight w:val="694"/>
          <w:tblHeader/>
        </w:trPr>
        <w:tc>
          <w:tcPr>
            <w:tcW w:w="4673" w:type="dxa"/>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6A70E339" w14:textId="77777777" w:rsidR="001923B6" w:rsidRPr="001923B6" w:rsidRDefault="001923B6" w:rsidP="002F1965">
            <w:pPr>
              <w:rPr>
                <w:b/>
                <w:color w:val="FFFFFF" w:themeColor="background1"/>
                <w:lang w:eastAsia="en-GB"/>
              </w:rPr>
            </w:pPr>
            <w:r w:rsidRPr="001923B6">
              <w:rPr>
                <w:b/>
                <w:color w:val="FFFFFF" w:themeColor="background1"/>
                <w:lang w:eastAsia="en-GB"/>
              </w:rPr>
              <w:t>Sector Skills Tier 1</w:t>
            </w:r>
          </w:p>
        </w:tc>
        <w:tc>
          <w:tcPr>
            <w:tcW w:w="4709" w:type="dxa"/>
            <w:gridSpan w:val="5"/>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07C9F21A" w14:textId="77777777" w:rsidR="001923B6" w:rsidRPr="001923B6" w:rsidRDefault="001923B6" w:rsidP="001923B6">
            <w:pPr>
              <w:jc w:val="center"/>
              <w:rPr>
                <w:b/>
                <w:color w:val="FFFFFF" w:themeColor="background1"/>
                <w:lang w:eastAsia="en-GB"/>
              </w:rPr>
            </w:pPr>
          </w:p>
          <w:p w14:paraId="6959949A"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Immediate Progression Rates</w:t>
            </w:r>
          </w:p>
          <w:p w14:paraId="2CA6CAE3" w14:textId="77777777" w:rsidR="001923B6" w:rsidRPr="001923B6" w:rsidRDefault="001923B6" w:rsidP="001923B6">
            <w:pPr>
              <w:jc w:val="center"/>
              <w:rPr>
                <w:b/>
                <w:color w:val="FFFFFF" w:themeColor="background1"/>
                <w:lang w:eastAsia="en-GB"/>
              </w:rPr>
            </w:pPr>
          </w:p>
        </w:tc>
      </w:tr>
      <w:tr w:rsidR="001923B6" w:rsidRPr="001923B6" w14:paraId="6655FD1A" w14:textId="77777777" w:rsidTr="005E08C9">
        <w:trPr>
          <w:trHeight w:val="2062"/>
          <w:tblHeader/>
        </w:trPr>
        <w:tc>
          <w:tcPr>
            <w:tcW w:w="4673"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6131A10" w14:textId="77777777" w:rsidR="001923B6" w:rsidRPr="001923B6" w:rsidRDefault="001923B6" w:rsidP="001923B6">
            <w:pPr>
              <w:jc w:val="center"/>
              <w:rPr>
                <w:b/>
                <w:color w:val="FFFFFF" w:themeColor="background1"/>
                <w:lang w:eastAsia="en-GB"/>
              </w:rPr>
            </w:pPr>
          </w:p>
        </w:tc>
        <w:tc>
          <w:tcPr>
            <w:tcW w:w="992" w:type="dxa"/>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5DBB074"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2007-08</w:t>
            </w:r>
          </w:p>
          <w:p w14:paraId="480D2769"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into HE 2088-09</w:t>
            </w:r>
          </w:p>
        </w:tc>
        <w:tc>
          <w:tcPr>
            <w:tcW w:w="993" w:type="dxa"/>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3BADB5BF"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2008-09</w:t>
            </w:r>
          </w:p>
          <w:p w14:paraId="1222289F"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into HE  2009-10</w:t>
            </w:r>
          </w:p>
        </w:tc>
        <w:tc>
          <w:tcPr>
            <w:tcW w:w="861" w:type="dxa"/>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437D1322"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2009-10</w:t>
            </w:r>
          </w:p>
          <w:p w14:paraId="3053E21C"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into HE 2010-11</w:t>
            </w:r>
          </w:p>
        </w:tc>
        <w:tc>
          <w:tcPr>
            <w:tcW w:w="981" w:type="dxa"/>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1D160F16"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2010-11</w:t>
            </w:r>
          </w:p>
          <w:p w14:paraId="724D7A55"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into HE  2011-12</w:t>
            </w:r>
          </w:p>
        </w:tc>
        <w:tc>
          <w:tcPr>
            <w:tcW w:w="882" w:type="dxa"/>
            <w:tcBorders>
              <w:top w:val="nil"/>
              <w:left w:val="nil"/>
              <w:bottom w:val="single" w:sz="4" w:space="0" w:color="auto"/>
              <w:right w:val="single" w:sz="4" w:space="0" w:color="auto"/>
            </w:tcBorders>
            <w:shd w:val="clear" w:color="auto" w:fill="1F4E79" w:themeFill="accent1" w:themeFillShade="80"/>
            <w:noWrap/>
            <w:textDirection w:val="btLr"/>
            <w:vAlign w:val="center"/>
            <w:hideMark/>
          </w:tcPr>
          <w:p w14:paraId="215B09B0"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2011-12</w:t>
            </w:r>
          </w:p>
          <w:p w14:paraId="3C8F73B0" w14:textId="77777777" w:rsidR="001923B6" w:rsidRPr="001923B6" w:rsidRDefault="001923B6" w:rsidP="001923B6">
            <w:pPr>
              <w:jc w:val="center"/>
              <w:rPr>
                <w:b/>
                <w:color w:val="FFFFFF" w:themeColor="background1"/>
                <w:lang w:eastAsia="en-GB"/>
              </w:rPr>
            </w:pPr>
            <w:r w:rsidRPr="001923B6">
              <w:rPr>
                <w:b/>
                <w:color w:val="FFFFFF" w:themeColor="background1"/>
                <w:lang w:eastAsia="en-GB"/>
              </w:rPr>
              <w:t>into HE 2012-13</w:t>
            </w:r>
          </w:p>
        </w:tc>
      </w:tr>
      <w:tr w:rsidR="001923B6" w:rsidRPr="00A52AEE" w14:paraId="2DBB8D80"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BDBCA4E" w14:textId="77777777" w:rsidR="001923B6" w:rsidRPr="00A52AEE" w:rsidRDefault="001923B6" w:rsidP="001923B6">
            <w:pPr>
              <w:rPr>
                <w:lang w:eastAsia="en-GB"/>
              </w:rPr>
            </w:pPr>
            <w:r w:rsidRPr="00A52AEE">
              <w:rPr>
                <w:lang w:eastAsia="en-GB"/>
              </w:rPr>
              <w:t>Health, Public Services and Care</w:t>
            </w:r>
          </w:p>
        </w:tc>
        <w:tc>
          <w:tcPr>
            <w:tcW w:w="992" w:type="dxa"/>
            <w:tcBorders>
              <w:top w:val="nil"/>
              <w:left w:val="nil"/>
              <w:bottom w:val="single" w:sz="4" w:space="0" w:color="auto"/>
              <w:right w:val="single" w:sz="4" w:space="0" w:color="auto"/>
            </w:tcBorders>
            <w:shd w:val="clear" w:color="auto" w:fill="auto"/>
            <w:noWrap/>
            <w:vAlign w:val="bottom"/>
            <w:hideMark/>
          </w:tcPr>
          <w:p w14:paraId="09ECCF7B" w14:textId="77777777" w:rsidR="001923B6" w:rsidRPr="00A52AEE" w:rsidRDefault="001923B6" w:rsidP="009A2373">
            <w:pPr>
              <w:jc w:val="right"/>
              <w:rPr>
                <w:lang w:eastAsia="en-GB"/>
              </w:rPr>
            </w:pPr>
            <w:r w:rsidRPr="00A52AEE">
              <w:rPr>
                <w:lang w:eastAsia="en-GB"/>
              </w:rPr>
              <w:t>25%</w:t>
            </w:r>
          </w:p>
        </w:tc>
        <w:tc>
          <w:tcPr>
            <w:tcW w:w="993" w:type="dxa"/>
            <w:tcBorders>
              <w:top w:val="nil"/>
              <w:left w:val="nil"/>
              <w:bottom w:val="single" w:sz="4" w:space="0" w:color="auto"/>
              <w:right w:val="single" w:sz="4" w:space="0" w:color="auto"/>
            </w:tcBorders>
            <w:shd w:val="clear" w:color="auto" w:fill="auto"/>
            <w:noWrap/>
            <w:vAlign w:val="bottom"/>
            <w:hideMark/>
          </w:tcPr>
          <w:p w14:paraId="5CE05D8D" w14:textId="77777777" w:rsidR="001923B6" w:rsidRPr="00A52AEE" w:rsidRDefault="001923B6" w:rsidP="009A2373">
            <w:pPr>
              <w:jc w:val="right"/>
              <w:rPr>
                <w:lang w:eastAsia="en-GB"/>
              </w:rPr>
            </w:pPr>
            <w:r w:rsidRPr="00A52AEE">
              <w:rPr>
                <w:lang w:eastAsia="en-GB"/>
              </w:rPr>
              <w:t>24%</w:t>
            </w:r>
          </w:p>
        </w:tc>
        <w:tc>
          <w:tcPr>
            <w:tcW w:w="861" w:type="dxa"/>
            <w:tcBorders>
              <w:top w:val="nil"/>
              <w:left w:val="nil"/>
              <w:bottom w:val="single" w:sz="4" w:space="0" w:color="auto"/>
              <w:right w:val="single" w:sz="4" w:space="0" w:color="auto"/>
            </w:tcBorders>
            <w:shd w:val="clear" w:color="auto" w:fill="auto"/>
            <w:noWrap/>
            <w:vAlign w:val="bottom"/>
            <w:hideMark/>
          </w:tcPr>
          <w:p w14:paraId="2671C915" w14:textId="77777777" w:rsidR="001923B6" w:rsidRPr="00A52AEE" w:rsidRDefault="001923B6" w:rsidP="009A2373">
            <w:pPr>
              <w:jc w:val="right"/>
              <w:rPr>
                <w:lang w:eastAsia="en-GB"/>
              </w:rPr>
            </w:pPr>
            <w:r w:rsidRPr="00A52AEE">
              <w:rPr>
                <w:lang w:eastAsia="en-GB"/>
              </w:rPr>
              <w:t>25%</w:t>
            </w:r>
          </w:p>
        </w:tc>
        <w:tc>
          <w:tcPr>
            <w:tcW w:w="981" w:type="dxa"/>
            <w:tcBorders>
              <w:top w:val="nil"/>
              <w:left w:val="nil"/>
              <w:bottom w:val="single" w:sz="4" w:space="0" w:color="auto"/>
              <w:right w:val="single" w:sz="4" w:space="0" w:color="auto"/>
            </w:tcBorders>
            <w:shd w:val="clear" w:color="auto" w:fill="auto"/>
            <w:noWrap/>
            <w:vAlign w:val="bottom"/>
            <w:hideMark/>
          </w:tcPr>
          <w:p w14:paraId="763C02D1" w14:textId="77777777" w:rsidR="001923B6" w:rsidRPr="00A52AEE" w:rsidRDefault="001923B6" w:rsidP="009A2373">
            <w:pPr>
              <w:jc w:val="right"/>
              <w:rPr>
                <w:lang w:eastAsia="en-GB"/>
              </w:rPr>
            </w:pPr>
            <w:r w:rsidRPr="00A52AEE">
              <w:rPr>
                <w:lang w:eastAsia="en-GB"/>
              </w:rPr>
              <w:t>29%</w:t>
            </w:r>
          </w:p>
        </w:tc>
        <w:tc>
          <w:tcPr>
            <w:tcW w:w="882" w:type="dxa"/>
            <w:tcBorders>
              <w:top w:val="nil"/>
              <w:left w:val="nil"/>
              <w:bottom w:val="single" w:sz="4" w:space="0" w:color="auto"/>
              <w:right w:val="single" w:sz="4" w:space="0" w:color="auto"/>
            </w:tcBorders>
            <w:shd w:val="clear" w:color="auto" w:fill="auto"/>
            <w:noWrap/>
            <w:vAlign w:val="bottom"/>
            <w:hideMark/>
          </w:tcPr>
          <w:p w14:paraId="7745041C" w14:textId="77777777" w:rsidR="001923B6" w:rsidRPr="00A52AEE" w:rsidRDefault="001923B6" w:rsidP="009A2373">
            <w:pPr>
              <w:jc w:val="right"/>
              <w:rPr>
                <w:lang w:eastAsia="en-GB"/>
              </w:rPr>
            </w:pPr>
            <w:r w:rsidRPr="00A52AEE">
              <w:rPr>
                <w:lang w:eastAsia="en-GB"/>
              </w:rPr>
              <w:t>29%</w:t>
            </w:r>
          </w:p>
        </w:tc>
      </w:tr>
      <w:tr w:rsidR="001923B6" w:rsidRPr="00A52AEE" w14:paraId="356CF0F7"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302D90" w14:textId="77777777" w:rsidR="001923B6" w:rsidRPr="00A52AEE" w:rsidRDefault="001923B6" w:rsidP="001923B6">
            <w:pPr>
              <w:rPr>
                <w:lang w:eastAsia="en-GB"/>
              </w:rPr>
            </w:pPr>
            <w:r w:rsidRPr="00A52AEE">
              <w:rPr>
                <w:lang w:eastAsia="en-GB"/>
              </w:rPr>
              <w:t>Science and Mathematics</w:t>
            </w:r>
          </w:p>
        </w:tc>
        <w:tc>
          <w:tcPr>
            <w:tcW w:w="992" w:type="dxa"/>
            <w:tcBorders>
              <w:top w:val="nil"/>
              <w:left w:val="nil"/>
              <w:bottom w:val="single" w:sz="4" w:space="0" w:color="auto"/>
              <w:right w:val="single" w:sz="4" w:space="0" w:color="auto"/>
            </w:tcBorders>
            <w:shd w:val="clear" w:color="auto" w:fill="auto"/>
            <w:noWrap/>
            <w:vAlign w:val="bottom"/>
            <w:hideMark/>
          </w:tcPr>
          <w:p w14:paraId="46509A6B" w14:textId="77777777" w:rsidR="001923B6" w:rsidRPr="00A52AEE" w:rsidRDefault="001923B6" w:rsidP="009A2373">
            <w:pPr>
              <w:jc w:val="right"/>
              <w:rPr>
                <w:lang w:eastAsia="en-GB"/>
              </w:rPr>
            </w:pPr>
            <w:r w:rsidRPr="00A52AEE">
              <w:rPr>
                <w:lang w:eastAsia="en-GB"/>
              </w:rPr>
              <w:t>76%</w:t>
            </w:r>
          </w:p>
        </w:tc>
        <w:tc>
          <w:tcPr>
            <w:tcW w:w="993" w:type="dxa"/>
            <w:tcBorders>
              <w:top w:val="nil"/>
              <w:left w:val="nil"/>
              <w:bottom w:val="single" w:sz="4" w:space="0" w:color="auto"/>
              <w:right w:val="single" w:sz="4" w:space="0" w:color="auto"/>
            </w:tcBorders>
            <w:shd w:val="clear" w:color="auto" w:fill="auto"/>
            <w:noWrap/>
            <w:vAlign w:val="bottom"/>
            <w:hideMark/>
          </w:tcPr>
          <w:p w14:paraId="1D40E20D" w14:textId="77777777" w:rsidR="001923B6" w:rsidRPr="00A52AEE" w:rsidRDefault="001923B6" w:rsidP="009A2373">
            <w:pPr>
              <w:jc w:val="right"/>
              <w:rPr>
                <w:lang w:eastAsia="en-GB"/>
              </w:rPr>
            </w:pPr>
            <w:r w:rsidRPr="00A52AEE">
              <w:rPr>
                <w:lang w:eastAsia="en-GB"/>
              </w:rPr>
              <w:t>74%</w:t>
            </w:r>
          </w:p>
        </w:tc>
        <w:tc>
          <w:tcPr>
            <w:tcW w:w="861" w:type="dxa"/>
            <w:tcBorders>
              <w:top w:val="nil"/>
              <w:left w:val="nil"/>
              <w:bottom w:val="single" w:sz="4" w:space="0" w:color="auto"/>
              <w:right w:val="single" w:sz="4" w:space="0" w:color="auto"/>
            </w:tcBorders>
            <w:shd w:val="clear" w:color="auto" w:fill="auto"/>
            <w:noWrap/>
            <w:vAlign w:val="bottom"/>
            <w:hideMark/>
          </w:tcPr>
          <w:p w14:paraId="5D2CC4C4" w14:textId="77777777" w:rsidR="001923B6" w:rsidRPr="00A52AEE" w:rsidRDefault="001923B6" w:rsidP="009A2373">
            <w:pPr>
              <w:jc w:val="right"/>
              <w:rPr>
                <w:lang w:eastAsia="en-GB"/>
              </w:rPr>
            </w:pPr>
            <w:r w:rsidRPr="00A52AEE">
              <w:rPr>
                <w:lang w:eastAsia="en-GB"/>
              </w:rPr>
              <w:t>71%</w:t>
            </w:r>
          </w:p>
        </w:tc>
        <w:tc>
          <w:tcPr>
            <w:tcW w:w="981" w:type="dxa"/>
            <w:tcBorders>
              <w:top w:val="nil"/>
              <w:left w:val="nil"/>
              <w:bottom w:val="single" w:sz="4" w:space="0" w:color="auto"/>
              <w:right w:val="single" w:sz="4" w:space="0" w:color="auto"/>
            </w:tcBorders>
            <w:shd w:val="clear" w:color="auto" w:fill="auto"/>
            <w:noWrap/>
            <w:vAlign w:val="bottom"/>
            <w:hideMark/>
          </w:tcPr>
          <w:p w14:paraId="19858E50" w14:textId="77777777" w:rsidR="001923B6" w:rsidRPr="00A52AEE" w:rsidRDefault="001923B6" w:rsidP="009A2373">
            <w:pPr>
              <w:jc w:val="right"/>
              <w:rPr>
                <w:lang w:eastAsia="en-GB"/>
              </w:rPr>
            </w:pPr>
            <w:r w:rsidRPr="00A52AEE">
              <w:rPr>
                <w:lang w:eastAsia="en-GB"/>
              </w:rPr>
              <w:t>74%</w:t>
            </w:r>
          </w:p>
        </w:tc>
        <w:tc>
          <w:tcPr>
            <w:tcW w:w="882" w:type="dxa"/>
            <w:tcBorders>
              <w:top w:val="nil"/>
              <w:left w:val="nil"/>
              <w:bottom w:val="single" w:sz="4" w:space="0" w:color="auto"/>
              <w:right w:val="single" w:sz="4" w:space="0" w:color="auto"/>
            </w:tcBorders>
            <w:shd w:val="clear" w:color="auto" w:fill="auto"/>
            <w:noWrap/>
            <w:vAlign w:val="bottom"/>
            <w:hideMark/>
          </w:tcPr>
          <w:p w14:paraId="33B15740" w14:textId="77777777" w:rsidR="001923B6" w:rsidRPr="00A52AEE" w:rsidRDefault="001923B6" w:rsidP="009A2373">
            <w:pPr>
              <w:jc w:val="right"/>
              <w:rPr>
                <w:lang w:eastAsia="en-GB"/>
              </w:rPr>
            </w:pPr>
            <w:r w:rsidRPr="00A52AEE">
              <w:rPr>
                <w:lang w:eastAsia="en-GB"/>
              </w:rPr>
              <w:t>59%</w:t>
            </w:r>
          </w:p>
        </w:tc>
      </w:tr>
      <w:tr w:rsidR="001923B6" w:rsidRPr="00A52AEE" w14:paraId="673C07E3"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F650ED8" w14:textId="77777777" w:rsidR="001923B6" w:rsidRPr="00A52AEE" w:rsidRDefault="001923B6" w:rsidP="001923B6">
            <w:pPr>
              <w:rPr>
                <w:lang w:eastAsia="en-GB"/>
              </w:rPr>
            </w:pPr>
            <w:r w:rsidRPr="00A52AEE">
              <w:rPr>
                <w:lang w:eastAsia="en-GB"/>
              </w:rPr>
              <w:t>Agriculture, Horticulture and Animal Care</w:t>
            </w:r>
          </w:p>
        </w:tc>
        <w:tc>
          <w:tcPr>
            <w:tcW w:w="992" w:type="dxa"/>
            <w:tcBorders>
              <w:top w:val="nil"/>
              <w:left w:val="nil"/>
              <w:bottom w:val="single" w:sz="4" w:space="0" w:color="auto"/>
              <w:right w:val="single" w:sz="4" w:space="0" w:color="auto"/>
            </w:tcBorders>
            <w:shd w:val="clear" w:color="auto" w:fill="auto"/>
            <w:noWrap/>
            <w:vAlign w:val="bottom"/>
            <w:hideMark/>
          </w:tcPr>
          <w:p w14:paraId="52F74983" w14:textId="77777777" w:rsidR="001923B6" w:rsidRPr="00A52AEE" w:rsidRDefault="001923B6" w:rsidP="009A2373">
            <w:pPr>
              <w:jc w:val="right"/>
              <w:rPr>
                <w:lang w:eastAsia="en-GB"/>
              </w:rPr>
            </w:pPr>
            <w:r w:rsidRPr="00A52AEE">
              <w:rPr>
                <w:lang w:eastAsia="en-GB"/>
              </w:rPr>
              <w:t>12%</w:t>
            </w:r>
          </w:p>
        </w:tc>
        <w:tc>
          <w:tcPr>
            <w:tcW w:w="993" w:type="dxa"/>
            <w:tcBorders>
              <w:top w:val="nil"/>
              <w:left w:val="nil"/>
              <w:bottom w:val="single" w:sz="4" w:space="0" w:color="auto"/>
              <w:right w:val="single" w:sz="4" w:space="0" w:color="auto"/>
            </w:tcBorders>
            <w:shd w:val="clear" w:color="auto" w:fill="auto"/>
            <w:noWrap/>
            <w:vAlign w:val="bottom"/>
            <w:hideMark/>
          </w:tcPr>
          <w:p w14:paraId="73CC06A5" w14:textId="77777777" w:rsidR="001923B6" w:rsidRPr="00A52AEE" w:rsidRDefault="001923B6" w:rsidP="009A2373">
            <w:pPr>
              <w:jc w:val="right"/>
              <w:rPr>
                <w:lang w:eastAsia="en-GB"/>
              </w:rPr>
            </w:pPr>
            <w:r w:rsidRPr="00A52AEE">
              <w:rPr>
                <w:lang w:eastAsia="en-GB"/>
              </w:rPr>
              <w:t>10%</w:t>
            </w:r>
          </w:p>
        </w:tc>
        <w:tc>
          <w:tcPr>
            <w:tcW w:w="861" w:type="dxa"/>
            <w:tcBorders>
              <w:top w:val="nil"/>
              <w:left w:val="nil"/>
              <w:bottom w:val="single" w:sz="4" w:space="0" w:color="auto"/>
              <w:right w:val="single" w:sz="4" w:space="0" w:color="auto"/>
            </w:tcBorders>
            <w:shd w:val="clear" w:color="auto" w:fill="auto"/>
            <w:noWrap/>
            <w:vAlign w:val="bottom"/>
            <w:hideMark/>
          </w:tcPr>
          <w:p w14:paraId="7527E2E5" w14:textId="77777777" w:rsidR="001923B6" w:rsidRPr="00A52AEE" w:rsidRDefault="001923B6" w:rsidP="009A2373">
            <w:pPr>
              <w:jc w:val="right"/>
              <w:rPr>
                <w:lang w:eastAsia="en-GB"/>
              </w:rPr>
            </w:pPr>
            <w:r w:rsidRPr="00A52AEE">
              <w:rPr>
                <w:lang w:eastAsia="en-GB"/>
              </w:rPr>
              <w:t>14%</w:t>
            </w:r>
          </w:p>
        </w:tc>
        <w:tc>
          <w:tcPr>
            <w:tcW w:w="981" w:type="dxa"/>
            <w:tcBorders>
              <w:top w:val="nil"/>
              <w:left w:val="nil"/>
              <w:bottom w:val="single" w:sz="4" w:space="0" w:color="auto"/>
              <w:right w:val="single" w:sz="4" w:space="0" w:color="auto"/>
            </w:tcBorders>
            <w:shd w:val="clear" w:color="auto" w:fill="auto"/>
            <w:noWrap/>
            <w:vAlign w:val="bottom"/>
            <w:hideMark/>
          </w:tcPr>
          <w:p w14:paraId="16386E3E" w14:textId="77777777" w:rsidR="001923B6" w:rsidRPr="00A52AEE" w:rsidRDefault="001923B6" w:rsidP="009A2373">
            <w:pPr>
              <w:jc w:val="right"/>
              <w:rPr>
                <w:lang w:eastAsia="en-GB"/>
              </w:rPr>
            </w:pPr>
            <w:r w:rsidRPr="00A52AEE">
              <w:rPr>
                <w:lang w:eastAsia="en-GB"/>
              </w:rPr>
              <w:t>15%</w:t>
            </w:r>
          </w:p>
        </w:tc>
        <w:tc>
          <w:tcPr>
            <w:tcW w:w="882" w:type="dxa"/>
            <w:tcBorders>
              <w:top w:val="nil"/>
              <w:left w:val="nil"/>
              <w:bottom w:val="single" w:sz="4" w:space="0" w:color="auto"/>
              <w:right w:val="single" w:sz="4" w:space="0" w:color="auto"/>
            </w:tcBorders>
            <w:shd w:val="clear" w:color="auto" w:fill="auto"/>
            <w:noWrap/>
            <w:vAlign w:val="bottom"/>
            <w:hideMark/>
          </w:tcPr>
          <w:p w14:paraId="0DEA0E87" w14:textId="77777777" w:rsidR="001923B6" w:rsidRPr="00A52AEE" w:rsidRDefault="001923B6" w:rsidP="009A2373">
            <w:pPr>
              <w:jc w:val="right"/>
              <w:rPr>
                <w:lang w:eastAsia="en-GB"/>
              </w:rPr>
            </w:pPr>
            <w:r w:rsidRPr="00A52AEE">
              <w:rPr>
                <w:lang w:eastAsia="en-GB"/>
              </w:rPr>
              <w:t>8%</w:t>
            </w:r>
          </w:p>
        </w:tc>
      </w:tr>
      <w:tr w:rsidR="001923B6" w:rsidRPr="00A52AEE" w14:paraId="1882FCDC"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5078E2C" w14:textId="77777777" w:rsidR="001923B6" w:rsidRPr="00A52AEE" w:rsidRDefault="001923B6" w:rsidP="001923B6">
            <w:pPr>
              <w:rPr>
                <w:lang w:eastAsia="en-GB"/>
              </w:rPr>
            </w:pPr>
            <w:r w:rsidRPr="00A52AEE">
              <w:rPr>
                <w:lang w:eastAsia="en-GB"/>
              </w:rPr>
              <w:t>Engineering and Manufacturing Technologies</w:t>
            </w:r>
          </w:p>
        </w:tc>
        <w:tc>
          <w:tcPr>
            <w:tcW w:w="992" w:type="dxa"/>
            <w:tcBorders>
              <w:top w:val="nil"/>
              <w:left w:val="nil"/>
              <w:bottom w:val="single" w:sz="4" w:space="0" w:color="auto"/>
              <w:right w:val="single" w:sz="4" w:space="0" w:color="auto"/>
            </w:tcBorders>
            <w:shd w:val="clear" w:color="auto" w:fill="auto"/>
            <w:noWrap/>
            <w:vAlign w:val="bottom"/>
            <w:hideMark/>
          </w:tcPr>
          <w:p w14:paraId="0DE5E762" w14:textId="77777777" w:rsidR="001923B6" w:rsidRPr="00A52AEE" w:rsidRDefault="001923B6" w:rsidP="009A2373">
            <w:pPr>
              <w:jc w:val="right"/>
              <w:rPr>
                <w:lang w:eastAsia="en-GB"/>
              </w:rPr>
            </w:pPr>
            <w:r w:rsidRPr="00A52AEE">
              <w:rPr>
                <w:lang w:eastAsia="en-GB"/>
              </w:rPr>
              <w:t>16%</w:t>
            </w:r>
          </w:p>
        </w:tc>
        <w:tc>
          <w:tcPr>
            <w:tcW w:w="993" w:type="dxa"/>
            <w:tcBorders>
              <w:top w:val="nil"/>
              <w:left w:val="nil"/>
              <w:bottom w:val="single" w:sz="4" w:space="0" w:color="auto"/>
              <w:right w:val="single" w:sz="4" w:space="0" w:color="auto"/>
            </w:tcBorders>
            <w:shd w:val="clear" w:color="auto" w:fill="auto"/>
            <w:noWrap/>
            <w:vAlign w:val="bottom"/>
            <w:hideMark/>
          </w:tcPr>
          <w:p w14:paraId="47EA5352" w14:textId="77777777" w:rsidR="001923B6" w:rsidRPr="00A52AEE" w:rsidRDefault="001923B6" w:rsidP="009A2373">
            <w:pPr>
              <w:jc w:val="right"/>
              <w:rPr>
                <w:lang w:eastAsia="en-GB"/>
              </w:rPr>
            </w:pPr>
            <w:r w:rsidRPr="00A52AEE">
              <w:rPr>
                <w:lang w:eastAsia="en-GB"/>
              </w:rPr>
              <w:t>15%</w:t>
            </w:r>
          </w:p>
        </w:tc>
        <w:tc>
          <w:tcPr>
            <w:tcW w:w="861" w:type="dxa"/>
            <w:tcBorders>
              <w:top w:val="nil"/>
              <w:left w:val="nil"/>
              <w:bottom w:val="single" w:sz="4" w:space="0" w:color="auto"/>
              <w:right w:val="single" w:sz="4" w:space="0" w:color="auto"/>
            </w:tcBorders>
            <w:shd w:val="clear" w:color="auto" w:fill="auto"/>
            <w:noWrap/>
            <w:vAlign w:val="bottom"/>
            <w:hideMark/>
          </w:tcPr>
          <w:p w14:paraId="038B5DE3" w14:textId="77777777" w:rsidR="001923B6" w:rsidRPr="00A52AEE" w:rsidRDefault="001923B6" w:rsidP="009A2373">
            <w:pPr>
              <w:jc w:val="right"/>
              <w:rPr>
                <w:lang w:eastAsia="en-GB"/>
              </w:rPr>
            </w:pPr>
            <w:r w:rsidRPr="00A52AEE">
              <w:rPr>
                <w:lang w:eastAsia="en-GB"/>
              </w:rPr>
              <w:t>17%</w:t>
            </w:r>
          </w:p>
        </w:tc>
        <w:tc>
          <w:tcPr>
            <w:tcW w:w="981" w:type="dxa"/>
            <w:tcBorders>
              <w:top w:val="nil"/>
              <w:left w:val="nil"/>
              <w:bottom w:val="single" w:sz="4" w:space="0" w:color="auto"/>
              <w:right w:val="single" w:sz="4" w:space="0" w:color="auto"/>
            </w:tcBorders>
            <w:shd w:val="clear" w:color="auto" w:fill="auto"/>
            <w:noWrap/>
            <w:vAlign w:val="bottom"/>
            <w:hideMark/>
          </w:tcPr>
          <w:p w14:paraId="149D92ED" w14:textId="77777777" w:rsidR="001923B6" w:rsidRPr="00A52AEE" w:rsidRDefault="001923B6" w:rsidP="009A2373">
            <w:pPr>
              <w:jc w:val="right"/>
              <w:rPr>
                <w:lang w:eastAsia="en-GB"/>
              </w:rPr>
            </w:pPr>
            <w:r w:rsidRPr="00A52AEE">
              <w:rPr>
                <w:lang w:eastAsia="en-GB"/>
              </w:rPr>
              <w:t>20%</w:t>
            </w:r>
          </w:p>
        </w:tc>
        <w:tc>
          <w:tcPr>
            <w:tcW w:w="882" w:type="dxa"/>
            <w:tcBorders>
              <w:top w:val="nil"/>
              <w:left w:val="nil"/>
              <w:bottom w:val="single" w:sz="4" w:space="0" w:color="auto"/>
              <w:right w:val="single" w:sz="4" w:space="0" w:color="auto"/>
            </w:tcBorders>
            <w:shd w:val="clear" w:color="auto" w:fill="auto"/>
            <w:noWrap/>
            <w:vAlign w:val="bottom"/>
            <w:hideMark/>
          </w:tcPr>
          <w:p w14:paraId="7C1A502E" w14:textId="77777777" w:rsidR="001923B6" w:rsidRPr="00A52AEE" w:rsidRDefault="001923B6" w:rsidP="009A2373">
            <w:pPr>
              <w:jc w:val="right"/>
              <w:rPr>
                <w:lang w:eastAsia="en-GB"/>
              </w:rPr>
            </w:pPr>
            <w:r w:rsidRPr="00A52AEE">
              <w:rPr>
                <w:lang w:eastAsia="en-GB"/>
              </w:rPr>
              <w:t>18%</w:t>
            </w:r>
          </w:p>
        </w:tc>
      </w:tr>
      <w:tr w:rsidR="001923B6" w:rsidRPr="00A52AEE" w14:paraId="44D4D49B"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2B390B" w14:textId="77777777" w:rsidR="001923B6" w:rsidRPr="00A52AEE" w:rsidRDefault="001923B6" w:rsidP="001923B6">
            <w:pPr>
              <w:rPr>
                <w:lang w:eastAsia="en-GB"/>
              </w:rPr>
            </w:pPr>
            <w:r w:rsidRPr="00A52AEE">
              <w:rPr>
                <w:lang w:eastAsia="en-GB"/>
              </w:rPr>
              <w:t>Construction, Planning and the Built Environment</w:t>
            </w:r>
          </w:p>
        </w:tc>
        <w:tc>
          <w:tcPr>
            <w:tcW w:w="992" w:type="dxa"/>
            <w:tcBorders>
              <w:top w:val="nil"/>
              <w:left w:val="nil"/>
              <w:bottom w:val="single" w:sz="4" w:space="0" w:color="auto"/>
              <w:right w:val="single" w:sz="4" w:space="0" w:color="auto"/>
            </w:tcBorders>
            <w:shd w:val="clear" w:color="auto" w:fill="auto"/>
            <w:noWrap/>
            <w:vAlign w:val="bottom"/>
            <w:hideMark/>
          </w:tcPr>
          <w:p w14:paraId="393852E2" w14:textId="77777777" w:rsidR="001923B6" w:rsidRPr="00A52AEE" w:rsidRDefault="001923B6" w:rsidP="009A2373">
            <w:pPr>
              <w:jc w:val="right"/>
              <w:rPr>
                <w:lang w:eastAsia="en-GB"/>
              </w:rPr>
            </w:pPr>
            <w:r w:rsidRPr="00A52AEE">
              <w:rPr>
                <w:lang w:eastAsia="en-GB"/>
              </w:rPr>
              <w:t>8%</w:t>
            </w:r>
          </w:p>
        </w:tc>
        <w:tc>
          <w:tcPr>
            <w:tcW w:w="993" w:type="dxa"/>
            <w:tcBorders>
              <w:top w:val="nil"/>
              <w:left w:val="nil"/>
              <w:bottom w:val="single" w:sz="4" w:space="0" w:color="auto"/>
              <w:right w:val="single" w:sz="4" w:space="0" w:color="auto"/>
            </w:tcBorders>
            <w:shd w:val="clear" w:color="auto" w:fill="auto"/>
            <w:noWrap/>
            <w:vAlign w:val="bottom"/>
            <w:hideMark/>
          </w:tcPr>
          <w:p w14:paraId="40D0738E" w14:textId="77777777" w:rsidR="001923B6" w:rsidRPr="00A52AEE" w:rsidRDefault="001923B6" w:rsidP="009A2373">
            <w:pPr>
              <w:jc w:val="right"/>
              <w:rPr>
                <w:lang w:eastAsia="en-GB"/>
              </w:rPr>
            </w:pPr>
            <w:r w:rsidRPr="00A52AEE">
              <w:rPr>
                <w:lang w:eastAsia="en-GB"/>
              </w:rPr>
              <w:t>12%</w:t>
            </w:r>
          </w:p>
        </w:tc>
        <w:tc>
          <w:tcPr>
            <w:tcW w:w="861" w:type="dxa"/>
            <w:tcBorders>
              <w:top w:val="nil"/>
              <w:left w:val="nil"/>
              <w:bottom w:val="single" w:sz="4" w:space="0" w:color="auto"/>
              <w:right w:val="single" w:sz="4" w:space="0" w:color="auto"/>
            </w:tcBorders>
            <w:shd w:val="clear" w:color="auto" w:fill="auto"/>
            <w:noWrap/>
            <w:vAlign w:val="bottom"/>
            <w:hideMark/>
          </w:tcPr>
          <w:p w14:paraId="17EDE50E" w14:textId="77777777" w:rsidR="001923B6" w:rsidRPr="00A52AEE" w:rsidRDefault="001923B6" w:rsidP="009A2373">
            <w:pPr>
              <w:jc w:val="right"/>
              <w:rPr>
                <w:lang w:eastAsia="en-GB"/>
              </w:rPr>
            </w:pPr>
            <w:r w:rsidRPr="00A52AEE">
              <w:rPr>
                <w:lang w:eastAsia="en-GB"/>
              </w:rPr>
              <w:t>12%</w:t>
            </w:r>
          </w:p>
        </w:tc>
        <w:tc>
          <w:tcPr>
            <w:tcW w:w="981" w:type="dxa"/>
            <w:tcBorders>
              <w:top w:val="nil"/>
              <w:left w:val="nil"/>
              <w:bottom w:val="single" w:sz="4" w:space="0" w:color="auto"/>
              <w:right w:val="single" w:sz="4" w:space="0" w:color="auto"/>
            </w:tcBorders>
            <w:shd w:val="clear" w:color="auto" w:fill="auto"/>
            <w:noWrap/>
            <w:vAlign w:val="bottom"/>
            <w:hideMark/>
          </w:tcPr>
          <w:p w14:paraId="1C791517" w14:textId="77777777" w:rsidR="001923B6" w:rsidRPr="00A52AEE" w:rsidRDefault="001923B6" w:rsidP="009A2373">
            <w:pPr>
              <w:jc w:val="right"/>
              <w:rPr>
                <w:lang w:eastAsia="en-GB"/>
              </w:rPr>
            </w:pPr>
            <w:r w:rsidRPr="00A52AEE">
              <w:rPr>
                <w:lang w:eastAsia="en-GB"/>
              </w:rPr>
              <w:t>10%</w:t>
            </w:r>
          </w:p>
        </w:tc>
        <w:tc>
          <w:tcPr>
            <w:tcW w:w="882" w:type="dxa"/>
            <w:tcBorders>
              <w:top w:val="nil"/>
              <w:left w:val="nil"/>
              <w:bottom w:val="single" w:sz="4" w:space="0" w:color="auto"/>
              <w:right w:val="single" w:sz="4" w:space="0" w:color="auto"/>
            </w:tcBorders>
            <w:shd w:val="clear" w:color="auto" w:fill="auto"/>
            <w:noWrap/>
            <w:vAlign w:val="bottom"/>
            <w:hideMark/>
          </w:tcPr>
          <w:p w14:paraId="6C2AE660" w14:textId="77777777" w:rsidR="001923B6" w:rsidRPr="00A52AEE" w:rsidRDefault="001923B6" w:rsidP="009A2373">
            <w:pPr>
              <w:jc w:val="right"/>
              <w:rPr>
                <w:lang w:eastAsia="en-GB"/>
              </w:rPr>
            </w:pPr>
            <w:r w:rsidRPr="00A52AEE">
              <w:rPr>
                <w:lang w:eastAsia="en-GB"/>
              </w:rPr>
              <w:t>15%</w:t>
            </w:r>
          </w:p>
        </w:tc>
      </w:tr>
      <w:tr w:rsidR="001923B6" w:rsidRPr="00A52AEE" w14:paraId="039D3193"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ED0F28" w14:textId="77777777" w:rsidR="001923B6" w:rsidRPr="00A52AEE" w:rsidRDefault="001923B6" w:rsidP="001923B6">
            <w:pPr>
              <w:rPr>
                <w:lang w:eastAsia="en-GB"/>
              </w:rPr>
            </w:pPr>
            <w:r w:rsidRPr="00A52AEE">
              <w:rPr>
                <w:lang w:eastAsia="en-GB"/>
              </w:rPr>
              <w:t>Information and Communication Technology</w:t>
            </w:r>
          </w:p>
        </w:tc>
        <w:tc>
          <w:tcPr>
            <w:tcW w:w="992" w:type="dxa"/>
            <w:tcBorders>
              <w:top w:val="nil"/>
              <w:left w:val="nil"/>
              <w:bottom w:val="single" w:sz="4" w:space="0" w:color="auto"/>
              <w:right w:val="single" w:sz="4" w:space="0" w:color="auto"/>
            </w:tcBorders>
            <w:shd w:val="clear" w:color="auto" w:fill="auto"/>
            <w:noWrap/>
            <w:vAlign w:val="bottom"/>
            <w:hideMark/>
          </w:tcPr>
          <w:p w14:paraId="286B4AFF" w14:textId="77777777" w:rsidR="001923B6" w:rsidRPr="00A52AEE" w:rsidRDefault="001923B6" w:rsidP="009A2373">
            <w:pPr>
              <w:jc w:val="right"/>
              <w:rPr>
                <w:lang w:eastAsia="en-GB"/>
              </w:rPr>
            </w:pPr>
            <w:r w:rsidRPr="00A52AEE">
              <w:rPr>
                <w:lang w:eastAsia="en-GB"/>
              </w:rPr>
              <w:t>52%</w:t>
            </w:r>
          </w:p>
        </w:tc>
        <w:tc>
          <w:tcPr>
            <w:tcW w:w="993" w:type="dxa"/>
            <w:tcBorders>
              <w:top w:val="nil"/>
              <w:left w:val="nil"/>
              <w:bottom w:val="single" w:sz="4" w:space="0" w:color="auto"/>
              <w:right w:val="single" w:sz="4" w:space="0" w:color="auto"/>
            </w:tcBorders>
            <w:shd w:val="clear" w:color="auto" w:fill="auto"/>
            <w:noWrap/>
            <w:vAlign w:val="bottom"/>
            <w:hideMark/>
          </w:tcPr>
          <w:p w14:paraId="3728EDD5" w14:textId="77777777" w:rsidR="001923B6" w:rsidRPr="00A52AEE" w:rsidRDefault="001923B6" w:rsidP="009A2373">
            <w:pPr>
              <w:jc w:val="right"/>
              <w:rPr>
                <w:lang w:eastAsia="en-GB"/>
              </w:rPr>
            </w:pPr>
            <w:r w:rsidRPr="00A52AEE">
              <w:rPr>
                <w:lang w:eastAsia="en-GB"/>
              </w:rPr>
              <w:t>50%</w:t>
            </w:r>
          </w:p>
        </w:tc>
        <w:tc>
          <w:tcPr>
            <w:tcW w:w="861" w:type="dxa"/>
            <w:tcBorders>
              <w:top w:val="nil"/>
              <w:left w:val="nil"/>
              <w:bottom w:val="single" w:sz="4" w:space="0" w:color="auto"/>
              <w:right w:val="single" w:sz="4" w:space="0" w:color="auto"/>
            </w:tcBorders>
            <w:shd w:val="clear" w:color="auto" w:fill="auto"/>
            <w:noWrap/>
            <w:vAlign w:val="bottom"/>
            <w:hideMark/>
          </w:tcPr>
          <w:p w14:paraId="3838CC03" w14:textId="77777777" w:rsidR="001923B6" w:rsidRPr="00A52AEE" w:rsidRDefault="001923B6" w:rsidP="009A2373">
            <w:pPr>
              <w:jc w:val="right"/>
              <w:rPr>
                <w:lang w:eastAsia="en-GB"/>
              </w:rPr>
            </w:pPr>
            <w:r w:rsidRPr="00A52AEE">
              <w:rPr>
                <w:lang w:eastAsia="en-GB"/>
              </w:rPr>
              <w:t>53%</w:t>
            </w:r>
          </w:p>
        </w:tc>
        <w:tc>
          <w:tcPr>
            <w:tcW w:w="981" w:type="dxa"/>
            <w:tcBorders>
              <w:top w:val="nil"/>
              <w:left w:val="nil"/>
              <w:bottom w:val="single" w:sz="4" w:space="0" w:color="auto"/>
              <w:right w:val="single" w:sz="4" w:space="0" w:color="auto"/>
            </w:tcBorders>
            <w:shd w:val="clear" w:color="auto" w:fill="auto"/>
            <w:noWrap/>
            <w:vAlign w:val="bottom"/>
            <w:hideMark/>
          </w:tcPr>
          <w:p w14:paraId="75F75B70" w14:textId="77777777" w:rsidR="001923B6" w:rsidRPr="00A52AEE" w:rsidRDefault="001923B6" w:rsidP="009A2373">
            <w:pPr>
              <w:jc w:val="right"/>
              <w:rPr>
                <w:lang w:eastAsia="en-GB"/>
              </w:rPr>
            </w:pPr>
            <w:r w:rsidRPr="00A52AEE">
              <w:rPr>
                <w:lang w:eastAsia="en-GB"/>
              </w:rPr>
              <w:t>49%</w:t>
            </w:r>
          </w:p>
        </w:tc>
        <w:tc>
          <w:tcPr>
            <w:tcW w:w="882" w:type="dxa"/>
            <w:tcBorders>
              <w:top w:val="nil"/>
              <w:left w:val="nil"/>
              <w:bottom w:val="single" w:sz="4" w:space="0" w:color="auto"/>
              <w:right w:val="single" w:sz="4" w:space="0" w:color="auto"/>
            </w:tcBorders>
            <w:shd w:val="clear" w:color="auto" w:fill="auto"/>
            <w:noWrap/>
            <w:vAlign w:val="bottom"/>
            <w:hideMark/>
          </w:tcPr>
          <w:p w14:paraId="2D7BDB6A" w14:textId="77777777" w:rsidR="001923B6" w:rsidRPr="00A52AEE" w:rsidRDefault="001923B6" w:rsidP="009A2373">
            <w:pPr>
              <w:jc w:val="right"/>
              <w:rPr>
                <w:lang w:eastAsia="en-GB"/>
              </w:rPr>
            </w:pPr>
            <w:r w:rsidRPr="00A52AEE">
              <w:rPr>
                <w:lang w:eastAsia="en-GB"/>
              </w:rPr>
              <w:t>40%</w:t>
            </w:r>
          </w:p>
        </w:tc>
      </w:tr>
      <w:tr w:rsidR="001923B6" w:rsidRPr="00A52AEE" w14:paraId="40877529"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083937E" w14:textId="77777777" w:rsidR="001923B6" w:rsidRPr="00A52AEE" w:rsidRDefault="001923B6" w:rsidP="001923B6">
            <w:pPr>
              <w:rPr>
                <w:lang w:eastAsia="en-GB"/>
              </w:rPr>
            </w:pPr>
            <w:r w:rsidRPr="00A52AEE">
              <w:rPr>
                <w:lang w:eastAsia="en-GB"/>
              </w:rPr>
              <w:t>Retail and Commercial Enterprise</w:t>
            </w:r>
          </w:p>
        </w:tc>
        <w:tc>
          <w:tcPr>
            <w:tcW w:w="992" w:type="dxa"/>
            <w:tcBorders>
              <w:top w:val="nil"/>
              <w:left w:val="nil"/>
              <w:bottom w:val="single" w:sz="4" w:space="0" w:color="auto"/>
              <w:right w:val="single" w:sz="4" w:space="0" w:color="auto"/>
            </w:tcBorders>
            <w:shd w:val="clear" w:color="auto" w:fill="auto"/>
            <w:noWrap/>
            <w:vAlign w:val="bottom"/>
            <w:hideMark/>
          </w:tcPr>
          <w:p w14:paraId="12BE205E" w14:textId="77777777" w:rsidR="001923B6" w:rsidRPr="00A52AEE" w:rsidRDefault="001923B6" w:rsidP="009A2373">
            <w:pPr>
              <w:jc w:val="right"/>
              <w:rPr>
                <w:lang w:eastAsia="en-GB"/>
              </w:rPr>
            </w:pPr>
            <w:r w:rsidRPr="00A52AEE">
              <w:rPr>
                <w:lang w:eastAsia="en-GB"/>
              </w:rPr>
              <w:t>6%</w:t>
            </w:r>
          </w:p>
        </w:tc>
        <w:tc>
          <w:tcPr>
            <w:tcW w:w="993" w:type="dxa"/>
            <w:tcBorders>
              <w:top w:val="nil"/>
              <w:left w:val="nil"/>
              <w:bottom w:val="single" w:sz="4" w:space="0" w:color="auto"/>
              <w:right w:val="single" w:sz="4" w:space="0" w:color="auto"/>
            </w:tcBorders>
            <w:shd w:val="clear" w:color="auto" w:fill="auto"/>
            <w:noWrap/>
            <w:vAlign w:val="bottom"/>
            <w:hideMark/>
          </w:tcPr>
          <w:p w14:paraId="22EC7697" w14:textId="77777777" w:rsidR="001923B6" w:rsidRPr="00A52AEE" w:rsidRDefault="001923B6" w:rsidP="009A2373">
            <w:pPr>
              <w:jc w:val="right"/>
              <w:rPr>
                <w:lang w:eastAsia="en-GB"/>
              </w:rPr>
            </w:pPr>
            <w:r w:rsidRPr="00A52AEE">
              <w:rPr>
                <w:lang w:eastAsia="en-GB"/>
              </w:rPr>
              <w:t>7%</w:t>
            </w:r>
          </w:p>
        </w:tc>
        <w:tc>
          <w:tcPr>
            <w:tcW w:w="861" w:type="dxa"/>
            <w:tcBorders>
              <w:top w:val="nil"/>
              <w:left w:val="nil"/>
              <w:bottom w:val="single" w:sz="4" w:space="0" w:color="auto"/>
              <w:right w:val="single" w:sz="4" w:space="0" w:color="auto"/>
            </w:tcBorders>
            <w:shd w:val="clear" w:color="auto" w:fill="auto"/>
            <w:noWrap/>
            <w:vAlign w:val="bottom"/>
            <w:hideMark/>
          </w:tcPr>
          <w:p w14:paraId="648E3A6C" w14:textId="77777777" w:rsidR="001923B6" w:rsidRPr="00A52AEE" w:rsidRDefault="001923B6" w:rsidP="009A2373">
            <w:pPr>
              <w:jc w:val="right"/>
              <w:rPr>
                <w:lang w:eastAsia="en-GB"/>
              </w:rPr>
            </w:pPr>
            <w:r w:rsidRPr="00A52AEE">
              <w:rPr>
                <w:lang w:eastAsia="en-GB"/>
              </w:rPr>
              <w:t>4%</w:t>
            </w:r>
          </w:p>
        </w:tc>
        <w:tc>
          <w:tcPr>
            <w:tcW w:w="981" w:type="dxa"/>
            <w:tcBorders>
              <w:top w:val="nil"/>
              <w:left w:val="nil"/>
              <w:bottom w:val="single" w:sz="4" w:space="0" w:color="auto"/>
              <w:right w:val="single" w:sz="4" w:space="0" w:color="auto"/>
            </w:tcBorders>
            <w:shd w:val="clear" w:color="auto" w:fill="auto"/>
            <w:noWrap/>
            <w:vAlign w:val="bottom"/>
            <w:hideMark/>
          </w:tcPr>
          <w:p w14:paraId="3F642A95" w14:textId="77777777" w:rsidR="001923B6" w:rsidRPr="00A52AEE" w:rsidRDefault="001923B6" w:rsidP="009A2373">
            <w:pPr>
              <w:jc w:val="right"/>
              <w:rPr>
                <w:lang w:eastAsia="en-GB"/>
              </w:rPr>
            </w:pPr>
            <w:r w:rsidRPr="00A52AEE">
              <w:rPr>
                <w:lang w:eastAsia="en-GB"/>
              </w:rPr>
              <w:t>5%</w:t>
            </w:r>
          </w:p>
        </w:tc>
        <w:tc>
          <w:tcPr>
            <w:tcW w:w="882" w:type="dxa"/>
            <w:tcBorders>
              <w:top w:val="nil"/>
              <w:left w:val="nil"/>
              <w:bottom w:val="single" w:sz="4" w:space="0" w:color="auto"/>
              <w:right w:val="single" w:sz="4" w:space="0" w:color="auto"/>
            </w:tcBorders>
            <w:shd w:val="clear" w:color="auto" w:fill="auto"/>
            <w:noWrap/>
            <w:vAlign w:val="bottom"/>
            <w:hideMark/>
          </w:tcPr>
          <w:p w14:paraId="00C27ECF" w14:textId="77777777" w:rsidR="001923B6" w:rsidRPr="00A52AEE" w:rsidRDefault="001923B6" w:rsidP="009A2373">
            <w:pPr>
              <w:jc w:val="right"/>
              <w:rPr>
                <w:lang w:eastAsia="en-GB"/>
              </w:rPr>
            </w:pPr>
            <w:r w:rsidRPr="00A52AEE">
              <w:rPr>
                <w:lang w:eastAsia="en-GB"/>
              </w:rPr>
              <w:t>8%</w:t>
            </w:r>
          </w:p>
        </w:tc>
      </w:tr>
      <w:tr w:rsidR="001923B6" w:rsidRPr="00A52AEE" w14:paraId="08FC280D"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A674F2" w14:textId="77777777" w:rsidR="001923B6" w:rsidRPr="00A52AEE" w:rsidRDefault="001923B6" w:rsidP="001923B6">
            <w:pPr>
              <w:rPr>
                <w:lang w:eastAsia="en-GB"/>
              </w:rPr>
            </w:pPr>
            <w:r w:rsidRPr="00A52AEE">
              <w:rPr>
                <w:lang w:eastAsia="en-GB"/>
              </w:rPr>
              <w:t>Leisure, Travel and Tourism</w:t>
            </w:r>
          </w:p>
        </w:tc>
        <w:tc>
          <w:tcPr>
            <w:tcW w:w="992" w:type="dxa"/>
            <w:tcBorders>
              <w:top w:val="nil"/>
              <w:left w:val="nil"/>
              <w:bottom w:val="single" w:sz="4" w:space="0" w:color="auto"/>
              <w:right w:val="single" w:sz="4" w:space="0" w:color="auto"/>
            </w:tcBorders>
            <w:shd w:val="clear" w:color="auto" w:fill="auto"/>
            <w:noWrap/>
            <w:vAlign w:val="bottom"/>
            <w:hideMark/>
          </w:tcPr>
          <w:p w14:paraId="37E13F0E" w14:textId="77777777" w:rsidR="001923B6" w:rsidRPr="00A52AEE" w:rsidRDefault="001923B6" w:rsidP="009A2373">
            <w:pPr>
              <w:jc w:val="right"/>
              <w:rPr>
                <w:lang w:eastAsia="en-GB"/>
              </w:rPr>
            </w:pPr>
            <w:r w:rsidRPr="00A52AEE">
              <w:rPr>
                <w:lang w:eastAsia="en-GB"/>
              </w:rPr>
              <w:t>38%</w:t>
            </w:r>
          </w:p>
        </w:tc>
        <w:tc>
          <w:tcPr>
            <w:tcW w:w="993" w:type="dxa"/>
            <w:tcBorders>
              <w:top w:val="nil"/>
              <w:left w:val="nil"/>
              <w:bottom w:val="single" w:sz="4" w:space="0" w:color="auto"/>
              <w:right w:val="single" w:sz="4" w:space="0" w:color="auto"/>
            </w:tcBorders>
            <w:shd w:val="clear" w:color="auto" w:fill="auto"/>
            <w:noWrap/>
            <w:vAlign w:val="bottom"/>
            <w:hideMark/>
          </w:tcPr>
          <w:p w14:paraId="573CDF71" w14:textId="77777777" w:rsidR="001923B6" w:rsidRPr="00A52AEE" w:rsidRDefault="001923B6" w:rsidP="009A2373">
            <w:pPr>
              <w:jc w:val="right"/>
              <w:rPr>
                <w:lang w:eastAsia="en-GB"/>
              </w:rPr>
            </w:pPr>
            <w:r w:rsidRPr="00A52AEE">
              <w:rPr>
                <w:lang w:eastAsia="en-GB"/>
              </w:rPr>
              <w:t>36%</w:t>
            </w:r>
          </w:p>
        </w:tc>
        <w:tc>
          <w:tcPr>
            <w:tcW w:w="861" w:type="dxa"/>
            <w:tcBorders>
              <w:top w:val="nil"/>
              <w:left w:val="nil"/>
              <w:bottom w:val="single" w:sz="4" w:space="0" w:color="auto"/>
              <w:right w:val="single" w:sz="4" w:space="0" w:color="auto"/>
            </w:tcBorders>
            <w:shd w:val="clear" w:color="auto" w:fill="auto"/>
            <w:noWrap/>
            <w:vAlign w:val="bottom"/>
            <w:hideMark/>
          </w:tcPr>
          <w:p w14:paraId="5554C658" w14:textId="77777777" w:rsidR="001923B6" w:rsidRPr="00A52AEE" w:rsidRDefault="001923B6" w:rsidP="009A2373">
            <w:pPr>
              <w:jc w:val="right"/>
              <w:rPr>
                <w:lang w:eastAsia="en-GB"/>
              </w:rPr>
            </w:pPr>
            <w:r w:rsidRPr="00A52AEE">
              <w:rPr>
                <w:lang w:eastAsia="en-GB"/>
              </w:rPr>
              <w:t>38%</w:t>
            </w:r>
          </w:p>
        </w:tc>
        <w:tc>
          <w:tcPr>
            <w:tcW w:w="981" w:type="dxa"/>
            <w:tcBorders>
              <w:top w:val="nil"/>
              <w:left w:val="nil"/>
              <w:bottom w:val="single" w:sz="4" w:space="0" w:color="auto"/>
              <w:right w:val="single" w:sz="4" w:space="0" w:color="auto"/>
            </w:tcBorders>
            <w:shd w:val="clear" w:color="auto" w:fill="auto"/>
            <w:noWrap/>
            <w:vAlign w:val="bottom"/>
            <w:hideMark/>
          </w:tcPr>
          <w:p w14:paraId="304A0512" w14:textId="77777777" w:rsidR="001923B6" w:rsidRPr="00A52AEE" w:rsidRDefault="001923B6" w:rsidP="009A2373">
            <w:pPr>
              <w:jc w:val="right"/>
              <w:rPr>
                <w:lang w:eastAsia="en-GB"/>
              </w:rPr>
            </w:pPr>
            <w:r w:rsidRPr="00A52AEE">
              <w:rPr>
                <w:lang w:eastAsia="en-GB"/>
              </w:rPr>
              <w:t>38%</w:t>
            </w:r>
          </w:p>
        </w:tc>
        <w:tc>
          <w:tcPr>
            <w:tcW w:w="882" w:type="dxa"/>
            <w:tcBorders>
              <w:top w:val="nil"/>
              <w:left w:val="nil"/>
              <w:bottom w:val="single" w:sz="4" w:space="0" w:color="auto"/>
              <w:right w:val="single" w:sz="4" w:space="0" w:color="auto"/>
            </w:tcBorders>
            <w:shd w:val="clear" w:color="auto" w:fill="auto"/>
            <w:noWrap/>
            <w:vAlign w:val="bottom"/>
            <w:hideMark/>
          </w:tcPr>
          <w:p w14:paraId="22B15AFC" w14:textId="77777777" w:rsidR="001923B6" w:rsidRPr="00A52AEE" w:rsidRDefault="001923B6" w:rsidP="009A2373">
            <w:pPr>
              <w:jc w:val="right"/>
              <w:rPr>
                <w:lang w:eastAsia="en-GB"/>
              </w:rPr>
            </w:pPr>
            <w:r w:rsidRPr="00A52AEE">
              <w:rPr>
                <w:lang w:eastAsia="en-GB"/>
              </w:rPr>
              <w:t>26%</w:t>
            </w:r>
          </w:p>
        </w:tc>
      </w:tr>
      <w:tr w:rsidR="001923B6" w:rsidRPr="00A52AEE" w14:paraId="6D0970AD"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C993E88" w14:textId="77777777" w:rsidR="001923B6" w:rsidRPr="00A52AEE" w:rsidRDefault="001923B6" w:rsidP="001923B6">
            <w:pPr>
              <w:rPr>
                <w:lang w:eastAsia="en-GB"/>
              </w:rPr>
            </w:pPr>
            <w:r w:rsidRPr="00A52AEE">
              <w:rPr>
                <w:lang w:eastAsia="en-GB"/>
              </w:rPr>
              <w:t>Arts, Media and Publishing</w:t>
            </w:r>
          </w:p>
        </w:tc>
        <w:tc>
          <w:tcPr>
            <w:tcW w:w="992" w:type="dxa"/>
            <w:tcBorders>
              <w:top w:val="nil"/>
              <w:left w:val="nil"/>
              <w:bottom w:val="single" w:sz="4" w:space="0" w:color="auto"/>
              <w:right w:val="single" w:sz="4" w:space="0" w:color="auto"/>
            </w:tcBorders>
            <w:shd w:val="clear" w:color="auto" w:fill="auto"/>
            <w:noWrap/>
            <w:vAlign w:val="bottom"/>
            <w:hideMark/>
          </w:tcPr>
          <w:p w14:paraId="2E00D002" w14:textId="77777777" w:rsidR="001923B6" w:rsidRPr="00A52AEE" w:rsidRDefault="001923B6" w:rsidP="009A2373">
            <w:pPr>
              <w:jc w:val="right"/>
              <w:rPr>
                <w:lang w:eastAsia="en-GB"/>
              </w:rPr>
            </w:pPr>
            <w:r w:rsidRPr="00A52AEE">
              <w:rPr>
                <w:lang w:eastAsia="en-GB"/>
              </w:rPr>
              <w:t>47%</w:t>
            </w:r>
          </w:p>
        </w:tc>
        <w:tc>
          <w:tcPr>
            <w:tcW w:w="993" w:type="dxa"/>
            <w:tcBorders>
              <w:top w:val="nil"/>
              <w:left w:val="nil"/>
              <w:bottom w:val="single" w:sz="4" w:space="0" w:color="auto"/>
              <w:right w:val="single" w:sz="4" w:space="0" w:color="auto"/>
            </w:tcBorders>
            <w:shd w:val="clear" w:color="auto" w:fill="auto"/>
            <w:noWrap/>
            <w:vAlign w:val="bottom"/>
            <w:hideMark/>
          </w:tcPr>
          <w:p w14:paraId="7038A614" w14:textId="77777777" w:rsidR="001923B6" w:rsidRPr="00A52AEE" w:rsidRDefault="001923B6" w:rsidP="009A2373">
            <w:pPr>
              <w:jc w:val="right"/>
              <w:rPr>
                <w:lang w:eastAsia="en-GB"/>
              </w:rPr>
            </w:pPr>
            <w:r w:rsidRPr="00A52AEE">
              <w:rPr>
                <w:lang w:eastAsia="en-GB"/>
              </w:rPr>
              <w:t>51%</w:t>
            </w:r>
          </w:p>
        </w:tc>
        <w:tc>
          <w:tcPr>
            <w:tcW w:w="861" w:type="dxa"/>
            <w:tcBorders>
              <w:top w:val="nil"/>
              <w:left w:val="nil"/>
              <w:bottom w:val="single" w:sz="4" w:space="0" w:color="auto"/>
              <w:right w:val="single" w:sz="4" w:space="0" w:color="auto"/>
            </w:tcBorders>
            <w:shd w:val="clear" w:color="auto" w:fill="auto"/>
            <w:noWrap/>
            <w:vAlign w:val="bottom"/>
            <w:hideMark/>
          </w:tcPr>
          <w:p w14:paraId="484846CD" w14:textId="77777777" w:rsidR="001923B6" w:rsidRPr="00A52AEE" w:rsidRDefault="001923B6" w:rsidP="009A2373">
            <w:pPr>
              <w:jc w:val="right"/>
              <w:rPr>
                <w:lang w:eastAsia="en-GB"/>
              </w:rPr>
            </w:pPr>
            <w:r w:rsidRPr="00A52AEE">
              <w:rPr>
                <w:lang w:eastAsia="en-GB"/>
              </w:rPr>
              <w:t>50%</w:t>
            </w:r>
          </w:p>
        </w:tc>
        <w:tc>
          <w:tcPr>
            <w:tcW w:w="981" w:type="dxa"/>
            <w:tcBorders>
              <w:top w:val="nil"/>
              <w:left w:val="nil"/>
              <w:bottom w:val="single" w:sz="4" w:space="0" w:color="auto"/>
              <w:right w:val="single" w:sz="4" w:space="0" w:color="auto"/>
            </w:tcBorders>
            <w:shd w:val="clear" w:color="auto" w:fill="auto"/>
            <w:noWrap/>
            <w:vAlign w:val="bottom"/>
            <w:hideMark/>
          </w:tcPr>
          <w:p w14:paraId="17D0F1EE" w14:textId="77777777" w:rsidR="001923B6" w:rsidRPr="00A52AEE" w:rsidRDefault="001923B6" w:rsidP="009A2373">
            <w:pPr>
              <w:jc w:val="right"/>
              <w:rPr>
                <w:lang w:eastAsia="en-GB"/>
              </w:rPr>
            </w:pPr>
            <w:r w:rsidRPr="00A52AEE">
              <w:rPr>
                <w:lang w:eastAsia="en-GB"/>
              </w:rPr>
              <w:t>50%</w:t>
            </w:r>
          </w:p>
        </w:tc>
        <w:tc>
          <w:tcPr>
            <w:tcW w:w="882" w:type="dxa"/>
            <w:tcBorders>
              <w:top w:val="nil"/>
              <w:left w:val="nil"/>
              <w:bottom w:val="single" w:sz="4" w:space="0" w:color="auto"/>
              <w:right w:val="single" w:sz="4" w:space="0" w:color="auto"/>
            </w:tcBorders>
            <w:shd w:val="clear" w:color="auto" w:fill="auto"/>
            <w:noWrap/>
            <w:vAlign w:val="bottom"/>
            <w:hideMark/>
          </w:tcPr>
          <w:p w14:paraId="45DDE791" w14:textId="77777777" w:rsidR="001923B6" w:rsidRPr="00A52AEE" w:rsidRDefault="001923B6" w:rsidP="009A2373">
            <w:pPr>
              <w:jc w:val="right"/>
              <w:rPr>
                <w:lang w:eastAsia="en-GB"/>
              </w:rPr>
            </w:pPr>
            <w:r w:rsidRPr="00A52AEE">
              <w:rPr>
                <w:lang w:eastAsia="en-GB"/>
              </w:rPr>
              <w:t>39%</w:t>
            </w:r>
          </w:p>
        </w:tc>
      </w:tr>
      <w:tr w:rsidR="001923B6" w:rsidRPr="00A52AEE" w14:paraId="11F1A08A"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E34963C" w14:textId="77777777" w:rsidR="001923B6" w:rsidRPr="00A52AEE" w:rsidRDefault="001923B6" w:rsidP="001923B6">
            <w:pPr>
              <w:rPr>
                <w:lang w:eastAsia="en-GB"/>
              </w:rPr>
            </w:pPr>
            <w:r w:rsidRPr="00A52AEE">
              <w:rPr>
                <w:lang w:eastAsia="en-GB"/>
              </w:rPr>
              <w:t>History, Philosophy and Theology</w:t>
            </w:r>
          </w:p>
        </w:tc>
        <w:tc>
          <w:tcPr>
            <w:tcW w:w="992" w:type="dxa"/>
            <w:tcBorders>
              <w:top w:val="nil"/>
              <w:left w:val="nil"/>
              <w:bottom w:val="single" w:sz="4" w:space="0" w:color="auto"/>
              <w:right w:val="single" w:sz="4" w:space="0" w:color="auto"/>
            </w:tcBorders>
            <w:shd w:val="clear" w:color="auto" w:fill="auto"/>
            <w:noWrap/>
            <w:vAlign w:val="bottom"/>
            <w:hideMark/>
          </w:tcPr>
          <w:p w14:paraId="62743929" w14:textId="77777777" w:rsidR="001923B6" w:rsidRPr="00A52AEE" w:rsidRDefault="001923B6" w:rsidP="009A2373">
            <w:pPr>
              <w:jc w:val="right"/>
              <w:rPr>
                <w:lang w:eastAsia="en-GB"/>
              </w:rPr>
            </w:pPr>
            <w:r w:rsidRPr="00A52AEE">
              <w:rPr>
                <w:lang w:eastAsia="en-GB"/>
              </w:rPr>
              <w:t>70%</w:t>
            </w:r>
          </w:p>
        </w:tc>
        <w:tc>
          <w:tcPr>
            <w:tcW w:w="993" w:type="dxa"/>
            <w:tcBorders>
              <w:top w:val="nil"/>
              <w:left w:val="nil"/>
              <w:bottom w:val="single" w:sz="4" w:space="0" w:color="auto"/>
              <w:right w:val="single" w:sz="4" w:space="0" w:color="auto"/>
            </w:tcBorders>
            <w:shd w:val="clear" w:color="auto" w:fill="auto"/>
            <w:noWrap/>
            <w:vAlign w:val="bottom"/>
            <w:hideMark/>
          </w:tcPr>
          <w:p w14:paraId="1FC1D108" w14:textId="77777777" w:rsidR="001923B6" w:rsidRPr="00A52AEE" w:rsidRDefault="001923B6" w:rsidP="009A2373">
            <w:pPr>
              <w:jc w:val="right"/>
              <w:rPr>
                <w:lang w:eastAsia="en-GB"/>
              </w:rPr>
            </w:pPr>
            <w:r w:rsidRPr="00A52AEE">
              <w:rPr>
                <w:lang w:eastAsia="en-GB"/>
              </w:rPr>
              <w:t>70%</w:t>
            </w:r>
          </w:p>
        </w:tc>
        <w:tc>
          <w:tcPr>
            <w:tcW w:w="861" w:type="dxa"/>
            <w:tcBorders>
              <w:top w:val="nil"/>
              <w:left w:val="nil"/>
              <w:bottom w:val="single" w:sz="4" w:space="0" w:color="auto"/>
              <w:right w:val="single" w:sz="4" w:space="0" w:color="auto"/>
            </w:tcBorders>
            <w:shd w:val="clear" w:color="auto" w:fill="auto"/>
            <w:noWrap/>
            <w:vAlign w:val="bottom"/>
            <w:hideMark/>
          </w:tcPr>
          <w:p w14:paraId="697CF266" w14:textId="77777777" w:rsidR="001923B6" w:rsidRPr="00A52AEE" w:rsidRDefault="001923B6" w:rsidP="009A2373">
            <w:pPr>
              <w:jc w:val="right"/>
              <w:rPr>
                <w:lang w:eastAsia="en-GB"/>
              </w:rPr>
            </w:pPr>
            <w:r w:rsidRPr="00A52AEE">
              <w:rPr>
                <w:lang w:eastAsia="en-GB"/>
              </w:rPr>
              <w:t>74%</w:t>
            </w:r>
          </w:p>
        </w:tc>
        <w:tc>
          <w:tcPr>
            <w:tcW w:w="981" w:type="dxa"/>
            <w:tcBorders>
              <w:top w:val="nil"/>
              <w:left w:val="nil"/>
              <w:bottom w:val="single" w:sz="4" w:space="0" w:color="auto"/>
              <w:right w:val="single" w:sz="4" w:space="0" w:color="auto"/>
            </w:tcBorders>
            <w:shd w:val="clear" w:color="auto" w:fill="auto"/>
            <w:noWrap/>
            <w:vAlign w:val="bottom"/>
            <w:hideMark/>
          </w:tcPr>
          <w:p w14:paraId="796C32BB" w14:textId="77777777" w:rsidR="001923B6" w:rsidRPr="00A52AEE" w:rsidRDefault="001923B6" w:rsidP="009A2373">
            <w:pPr>
              <w:jc w:val="right"/>
              <w:rPr>
                <w:lang w:eastAsia="en-GB"/>
              </w:rPr>
            </w:pPr>
            <w:r w:rsidRPr="00A52AEE">
              <w:rPr>
                <w:lang w:eastAsia="en-GB"/>
              </w:rPr>
              <w:t>77%</w:t>
            </w:r>
          </w:p>
        </w:tc>
        <w:tc>
          <w:tcPr>
            <w:tcW w:w="882" w:type="dxa"/>
            <w:tcBorders>
              <w:top w:val="nil"/>
              <w:left w:val="nil"/>
              <w:bottom w:val="single" w:sz="4" w:space="0" w:color="auto"/>
              <w:right w:val="single" w:sz="4" w:space="0" w:color="auto"/>
            </w:tcBorders>
            <w:shd w:val="clear" w:color="auto" w:fill="auto"/>
            <w:noWrap/>
            <w:vAlign w:val="bottom"/>
            <w:hideMark/>
          </w:tcPr>
          <w:p w14:paraId="46E31D8E" w14:textId="77777777" w:rsidR="001923B6" w:rsidRPr="00A52AEE" w:rsidRDefault="001923B6" w:rsidP="009A2373">
            <w:pPr>
              <w:jc w:val="right"/>
              <w:rPr>
                <w:lang w:eastAsia="en-GB"/>
              </w:rPr>
            </w:pPr>
            <w:r w:rsidRPr="00A52AEE">
              <w:rPr>
                <w:lang w:eastAsia="en-GB"/>
              </w:rPr>
              <w:t>73%</w:t>
            </w:r>
          </w:p>
        </w:tc>
      </w:tr>
      <w:tr w:rsidR="001923B6" w:rsidRPr="00A52AEE" w14:paraId="646678DD"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A87A56" w14:textId="77777777" w:rsidR="001923B6" w:rsidRPr="00A52AEE" w:rsidRDefault="001923B6" w:rsidP="001923B6">
            <w:pPr>
              <w:rPr>
                <w:lang w:eastAsia="en-GB"/>
              </w:rPr>
            </w:pPr>
            <w:r w:rsidRPr="00A52AEE">
              <w:rPr>
                <w:lang w:eastAsia="en-GB"/>
              </w:rPr>
              <w:t>Social Sciences</w:t>
            </w:r>
          </w:p>
        </w:tc>
        <w:tc>
          <w:tcPr>
            <w:tcW w:w="992" w:type="dxa"/>
            <w:tcBorders>
              <w:top w:val="nil"/>
              <w:left w:val="nil"/>
              <w:bottom w:val="single" w:sz="4" w:space="0" w:color="auto"/>
              <w:right w:val="single" w:sz="4" w:space="0" w:color="auto"/>
            </w:tcBorders>
            <w:shd w:val="clear" w:color="auto" w:fill="auto"/>
            <w:noWrap/>
            <w:vAlign w:val="bottom"/>
            <w:hideMark/>
          </w:tcPr>
          <w:p w14:paraId="436A3BE3" w14:textId="77777777" w:rsidR="001923B6" w:rsidRPr="00A52AEE" w:rsidRDefault="001923B6" w:rsidP="009A2373">
            <w:pPr>
              <w:jc w:val="right"/>
              <w:rPr>
                <w:lang w:eastAsia="en-GB"/>
              </w:rPr>
            </w:pPr>
            <w:r w:rsidRPr="00A52AEE">
              <w:rPr>
                <w:lang w:eastAsia="en-GB"/>
              </w:rPr>
              <w:t>78%</w:t>
            </w:r>
          </w:p>
        </w:tc>
        <w:tc>
          <w:tcPr>
            <w:tcW w:w="993" w:type="dxa"/>
            <w:tcBorders>
              <w:top w:val="nil"/>
              <w:left w:val="nil"/>
              <w:bottom w:val="single" w:sz="4" w:space="0" w:color="auto"/>
              <w:right w:val="single" w:sz="4" w:space="0" w:color="auto"/>
            </w:tcBorders>
            <w:shd w:val="clear" w:color="auto" w:fill="auto"/>
            <w:noWrap/>
            <w:vAlign w:val="bottom"/>
            <w:hideMark/>
          </w:tcPr>
          <w:p w14:paraId="5D885D0A" w14:textId="77777777" w:rsidR="001923B6" w:rsidRPr="00A52AEE" w:rsidRDefault="001923B6" w:rsidP="009A2373">
            <w:pPr>
              <w:jc w:val="right"/>
              <w:rPr>
                <w:lang w:eastAsia="en-GB"/>
              </w:rPr>
            </w:pPr>
            <w:r w:rsidRPr="00A52AEE">
              <w:rPr>
                <w:lang w:eastAsia="en-GB"/>
              </w:rPr>
              <w:t>78%</w:t>
            </w:r>
          </w:p>
        </w:tc>
        <w:tc>
          <w:tcPr>
            <w:tcW w:w="861" w:type="dxa"/>
            <w:tcBorders>
              <w:top w:val="nil"/>
              <w:left w:val="nil"/>
              <w:bottom w:val="single" w:sz="4" w:space="0" w:color="auto"/>
              <w:right w:val="single" w:sz="4" w:space="0" w:color="auto"/>
            </w:tcBorders>
            <w:shd w:val="clear" w:color="auto" w:fill="auto"/>
            <w:noWrap/>
            <w:vAlign w:val="bottom"/>
            <w:hideMark/>
          </w:tcPr>
          <w:p w14:paraId="53661FD9" w14:textId="77777777" w:rsidR="001923B6" w:rsidRPr="00A52AEE" w:rsidRDefault="001923B6" w:rsidP="009A2373">
            <w:pPr>
              <w:jc w:val="right"/>
              <w:rPr>
                <w:lang w:eastAsia="en-GB"/>
              </w:rPr>
            </w:pPr>
            <w:r w:rsidRPr="00A52AEE">
              <w:rPr>
                <w:lang w:eastAsia="en-GB"/>
              </w:rPr>
              <w:t>71%</w:t>
            </w:r>
          </w:p>
        </w:tc>
        <w:tc>
          <w:tcPr>
            <w:tcW w:w="981" w:type="dxa"/>
            <w:tcBorders>
              <w:top w:val="nil"/>
              <w:left w:val="nil"/>
              <w:bottom w:val="single" w:sz="4" w:space="0" w:color="auto"/>
              <w:right w:val="single" w:sz="4" w:space="0" w:color="auto"/>
            </w:tcBorders>
            <w:shd w:val="clear" w:color="auto" w:fill="auto"/>
            <w:noWrap/>
            <w:vAlign w:val="bottom"/>
            <w:hideMark/>
          </w:tcPr>
          <w:p w14:paraId="0FE0B229" w14:textId="77777777" w:rsidR="001923B6" w:rsidRPr="00A52AEE" w:rsidRDefault="001923B6" w:rsidP="009A2373">
            <w:pPr>
              <w:jc w:val="right"/>
              <w:rPr>
                <w:lang w:eastAsia="en-GB"/>
              </w:rPr>
            </w:pPr>
            <w:r w:rsidRPr="00A52AEE">
              <w:rPr>
                <w:lang w:eastAsia="en-GB"/>
              </w:rPr>
              <w:t>75%</w:t>
            </w:r>
          </w:p>
        </w:tc>
        <w:tc>
          <w:tcPr>
            <w:tcW w:w="882" w:type="dxa"/>
            <w:tcBorders>
              <w:top w:val="nil"/>
              <w:left w:val="nil"/>
              <w:bottom w:val="single" w:sz="4" w:space="0" w:color="auto"/>
              <w:right w:val="single" w:sz="4" w:space="0" w:color="auto"/>
            </w:tcBorders>
            <w:shd w:val="clear" w:color="auto" w:fill="auto"/>
            <w:noWrap/>
            <w:vAlign w:val="bottom"/>
            <w:hideMark/>
          </w:tcPr>
          <w:p w14:paraId="3A1F78B5" w14:textId="77777777" w:rsidR="001923B6" w:rsidRPr="00A52AEE" w:rsidRDefault="001923B6" w:rsidP="009A2373">
            <w:pPr>
              <w:jc w:val="right"/>
              <w:rPr>
                <w:lang w:eastAsia="en-GB"/>
              </w:rPr>
            </w:pPr>
            <w:r w:rsidRPr="00A52AEE">
              <w:rPr>
                <w:lang w:eastAsia="en-GB"/>
              </w:rPr>
              <w:t>72%</w:t>
            </w:r>
          </w:p>
        </w:tc>
      </w:tr>
      <w:tr w:rsidR="001923B6" w:rsidRPr="00A52AEE" w14:paraId="1F131E41"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A37B091" w14:textId="77777777" w:rsidR="001923B6" w:rsidRPr="00A52AEE" w:rsidRDefault="001923B6" w:rsidP="001923B6">
            <w:pPr>
              <w:rPr>
                <w:lang w:eastAsia="en-GB"/>
              </w:rPr>
            </w:pPr>
            <w:r w:rsidRPr="00A52AEE">
              <w:rPr>
                <w:lang w:eastAsia="en-GB"/>
              </w:rPr>
              <w:t>Languages, Literature and Culture</w:t>
            </w:r>
          </w:p>
        </w:tc>
        <w:tc>
          <w:tcPr>
            <w:tcW w:w="992" w:type="dxa"/>
            <w:tcBorders>
              <w:top w:val="nil"/>
              <w:left w:val="nil"/>
              <w:bottom w:val="single" w:sz="4" w:space="0" w:color="auto"/>
              <w:right w:val="single" w:sz="4" w:space="0" w:color="auto"/>
            </w:tcBorders>
            <w:shd w:val="clear" w:color="auto" w:fill="auto"/>
            <w:noWrap/>
            <w:vAlign w:val="bottom"/>
            <w:hideMark/>
          </w:tcPr>
          <w:p w14:paraId="557D954C" w14:textId="77777777" w:rsidR="001923B6" w:rsidRPr="00A52AEE" w:rsidRDefault="001923B6" w:rsidP="009A2373">
            <w:pPr>
              <w:jc w:val="right"/>
              <w:rPr>
                <w:lang w:eastAsia="en-GB"/>
              </w:rPr>
            </w:pPr>
            <w:r w:rsidRPr="00A52AEE">
              <w:rPr>
                <w:lang w:eastAsia="en-GB"/>
              </w:rPr>
              <w:t>55%</w:t>
            </w:r>
          </w:p>
        </w:tc>
        <w:tc>
          <w:tcPr>
            <w:tcW w:w="993" w:type="dxa"/>
            <w:tcBorders>
              <w:top w:val="nil"/>
              <w:left w:val="nil"/>
              <w:bottom w:val="single" w:sz="4" w:space="0" w:color="auto"/>
              <w:right w:val="single" w:sz="4" w:space="0" w:color="auto"/>
            </w:tcBorders>
            <w:shd w:val="clear" w:color="auto" w:fill="auto"/>
            <w:noWrap/>
            <w:vAlign w:val="bottom"/>
            <w:hideMark/>
          </w:tcPr>
          <w:p w14:paraId="4DD570A8" w14:textId="77777777" w:rsidR="001923B6" w:rsidRPr="00A52AEE" w:rsidRDefault="001923B6" w:rsidP="009A2373">
            <w:pPr>
              <w:jc w:val="right"/>
              <w:rPr>
                <w:lang w:eastAsia="en-GB"/>
              </w:rPr>
            </w:pPr>
            <w:r w:rsidRPr="00A52AEE">
              <w:rPr>
                <w:lang w:eastAsia="en-GB"/>
              </w:rPr>
              <w:t>57%</w:t>
            </w:r>
          </w:p>
        </w:tc>
        <w:tc>
          <w:tcPr>
            <w:tcW w:w="861" w:type="dxa"/>
            <w:tcBorders>
              <w:top w:val="nil"/>
              <w:left w:val="nil"/>
              <w:bottom w:val="single" w:sz="4" w:space="0" w:color="auto"/>
              <w:right w:val="single" w:sz="4" w:space="0" w:color="auto"/>
            </w:tcBorders>
            <w:shd w:val="clear" w:color="auto" w:fill="auto"/>
            <w:noWrap/>
            <w:vAlign w:val="bottom"/>
            <w:hideMark/>
          </w:tcPr>
          <w:p w14:paraId="104FB407" w14:textId="77777777" w:rsidR="001923B6" w:rsidRPr="00A52AEE" w:rsidRDefault="001923B6" w:rsidP="009A2373">
            <w:pPr>
              <w:jc w:val="right"/>
              <w:rPr>
                <w:lang w:eastAsia="en-GB"/>
              </w:rPr>
            </w:pPr>
            <w:r w:rsidRPr="00A52AEE">
              <w:rPr>
                <w:lang w:eastAsia="en-GB"/>
              </w:rPr>
              <w:t>57%</w:t>
            </w:r>
          </w:p>
        </w:tc>
        <w:tc>
          <w:tcPr>
            <w:tcW w:w="981" w:type="dxa"/>
            <w:tcBorders>
              <w:top w:val="nil"/>
              <w:left w:val="nil"/>
              <w:bottom w:val="single" w:sz="4" w:space="0" w:color="auto"/>
              <w:right w:val="single" w:sz="4" w:space="0" w:color="auto"/>
            </w:tcBorders>
            <w:shd w:val="clear" w:color="auto" w:fill="auto"/>
            <w:noWrap/>
            <w:vAlign w:val="bottom"/>
            <w:hideMark/>
          </w:tcPr>
          <w:p w14:paraId="5CBA1F99" w14:textId="77777777" w:rsidR="001923B6" w:rsidRPr="00A52AEE" w:rsidRDefault="001923B6" w:rsidP="009A2373">
            <w:pPr>
              <w:jc w:val="right"/>
              <w:rPr>
                <w:lang w:eastAsia="en-GB"/>
              </w:rPr>
            </w:pPr>
            <w:r w:rsidRPr="00A52AEE">
              <w:rPr>
                <w:lang w:eastAsia="en-GB"/>
              </w:rPr>
              <w:t>60%</w:t>
            </w:r>
          </w:p>
        </w:tc>
        <w:tc>
          <w:tcPr>
            <w:tcW w:w="882" w:type="dxa"/>
            <w:tcBorders>
              <w:top w:val="nil"/>
              <w:left w:val="nil"/>
              <w:bottom w:val="single" w:sz="4" w:space="0" w:color="auto"/>
              <w:right w:val="single" w:sz="4" w:space="0" w:color="auto"/>
            </w:tcBorders>
            <w:shd w:val="clear" w:color="auto" w:fill="auto"/>
            <w:noWrap/>
            <w:vAlign w:val="bottom"/>
            <w:hideMark/>
          </w:tcPr>
          <w:p w14:paraId="6B5B0D1E" w14:textId="77777777" w:rsidR="001923B6" w:rsidRPr="00A52AEE" w:rsidRDefault="001923B6" w:rsidP="009A2373">
            <w:pPr>
              <w:jc w:val="right"/>
              <w:rPr>
                <w:lang w:eastAsia="en-GB"/>
              </w:rPr>
            </w:pPr>
            <w:r w:rsidRPr="00A52AEE">
              <w:rPr>
                <w:lang w:eastAsia="en-GB"/>
              </w:rPr>
              <w:t>63%</w:t>
            </w:r>
          </w:p>
        </w:tc>
      </w:tr>
      <w:tr w:rsidR="001923B6" w:rsidRPr="00A52AEE" w14:paraId="59DD4387"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7C5BE3" w14:textId="77777777" w:rsidR="001923B6" w:rsidRPr="00A52AEE" w:rsidRDefault="001923B6" w:rsidP="001923B6">
            <w:pPr>
              <w:rPr>
                <w:lang w:eastAsia="en-GB"/>
              </w:rPr>
            </w:pPr>
            <w:r w:rsidRPr="00A52AEE">
              <w:rPr>
                <w:lang w:eastAsia="en-GB"/>
              </w:rPr>
              <w:t>Education and Training</w:t>
            </w:r>
          </w:p>
        </w:tc>
        <w:tc>
          <w:tcPr>
            <w:tcW w:w="992" w:type="dxa"/>
            <w:tcBorders>
              <w:top w:val="nil"/>
              <w:left w:val="nil"/>
              <w:bottom w:val="single" w:sz="4" w:space="0" w:color="auto"/>
              <w:right w:val="single" w:sz="4" w:space="0" w:color="auto"/>
            </w:tcBorders>
            <w:shd w:val="clear" w:color="auto" w:fill="auto"/>
            <w:noWrap/>
            <w:vAlign w:val="bottom"/>
            <w:hideMark/>
          </w:tcPr>
          <w:p w14:paraId="2CDDD6C0" w14:textId="77777777" w:rsidR="001923B6" w:rsidRPr="00A52AEE" w:rsidRDefault="001923B6" w:rsidP="009A2373">
            <w:pPr>
              <w:jc w:val="right"/>
              <w:rPr>
                <w:lang w:eastAsia="en-GB"/>
              </w:rPr>
            </w:pPr>
            <w:r w:rsidRPr="00A52AEE">
              <w:rPr>
                <w:lang w:eastAsia="en-GB"/>
              </w:rPr>
              <w:t>25%</w:t>
            </w:r>
          </w:p>
        </w:tc>
        <w:tc>
          <w:tcPr>
            <w:tcW w:w="993" w:type="dxa"/>
            <w:tcBorders>
              <w:top w:val="nil"/>
              <w:left w:val="nil"/>
              <w:bottom w:val="single" w:sz="4" w:space="0" w:color="auto"/>
              <w:right w:val="single" w:sz="4" w:space="0" w:color="auto"/>
            </w:tcBorders>
            <w:shd w:val="clear" w:color="auto" w:fill="auto"/>
            <w:noWrap/>
            <w:vAlign w:val="bottom"/>
            <w:hideMark/>
          </w:tcPr>
          <w:p w14:paraId="558461EF" w14:textId="77777777" w:rsidR="001923B6" w:rsidRPr="00A52AEE" w:rsidRDefault="001923B6" w:rsidP="009A2373">
            <w:pPr>
              <w:jc w:val="right"/>
              <w:rPr>
                <w:lang w:eastAsia="en-GB"/>
              </w:rPr>
            </w:pPr>
            <w:r w:rsidRPr="00A52AEE">
              <w:rPr>
                <w:lang w:eastAsia="en-GB"/>
              </w:rPr>
              <w:t>24%</w:t>
            </w:r>
          </w:p>
        </w:tc>
        <w:tc>
          <w:tcPr>
            <w:tcW w:w="861" w:type="dxa"/>
            <w:tcBorders>
              <w:top w:val="nil"/>
              <w:left w:val="nil"/>
              <w:bottom w:val="single" w:sz="4" w:space="0" w:color="auto"/>
              <w:right w:val="single" w:sz="4" w:space="0" w:color="auto"/>
            </w:tcBorders>
            <w:shd w:val="clear" w:color="auto" w:fill="auto"/>
            <w:noWrap/>
            <w:vAlign w:val="bottom"/>
            <w:hideMark/>
          </w:tcPr>
          <w:p w14:paraId="52ADF407" w14:textId="77777777" w:rsidR="001923B6" w:rsidRPr="00A52AEE" w:rsidRDefault="001923B6" w:rsidP="009A2373">
            <w:pPr>
              <w:jc w:val="right"/>
              <w:rPr>
                <w:lang w:eastAsia="en-GB"/>
              </w:rPr>
            </w:pPr>
            <w:r w:rsidRPr="00A52AEE">
              <w:rPr>
                <w:lang w:eastAsia="en-GB"/>
              </w:rPr>
              <w:t>22%</w:t>
            </w:r>
          </w:p>
        </w:tc>
        <w:tc>
          <w:tcPr>
            <w:tcW w:w="981" w:type="dxa"/>
            <w:tcBorders>
              <w:top w:val="nil"/>
              <w:left w:val="nil"/>
              <w:bottom w:val="single" w:sz="4" w:space="0" w:color="auto"/>
              <w:right w:val="single" w:sz="4" w:space="0" w:color="auto"/>
            </w:tcBorders>
            <w:shd w:val="clear" w:color="auto" w:fill="auto"/>
            <w:noWrap/>
            <w:vAlign w:val="bottom"/>
            <w:hideMark/>
          </w:tcPr>
          <w:p w14:paraId="76778116" w14:textId="77777777" w:rsidR="001923B6" w:rsidRPr="00A52AEE" w:rsidRDefault="001923B6" w:rsidP="009A2373">
            <w:pPr>
              <w:jc w:val="right"/>
              <w:rPr>
                <w:lang w:eastAsia="en-GB"/>
              </w:rPr>
            </w:pPr>
            <w:r w:rsidRPr="00A52AEE">
              <w:rPr>
                <w:lang w:eastAsia="en-GB"/>
              </w:rPr>
              <w:t>32%</w:t>
            </w:r>
          </w:p>
        </w:tc>
        <w:tc>
          <w:tcPr>
            <w:tcW w:w="882" w:type="dxa"/>
            <w:tcBorders>
              <w:top w:val="nil"/>
              <w:left w:val="nil"/>
              <w:bottom w:val="single" w:sz="4" w:space="0" w:color="auto"/>
              <w:right w:val="single" w:sz="4" w:space="0" w:color="auto"/>
            </w:tcBorders>
            <w:shd w:val="clear" w:color="auto" w:fill="auto"/>
            <w:noWrap/>
            <w:vAlign w:val="bottom"/>
            <w:hideMark/>
          </w:tcPr>
          <w:p w14:paraId="61A0334F" w14:textId="77777777" w:rsidR="001923B6" w:rsidRPr="00A52AEE" w:rsidRDefault="001923B6" w:rsidP="009A2373">
            <w:pPr>
              <w:jc w:val="right"/>
              <w:rPr>
                <w:lang w:eastAsia="en-GB"/>
              </w:rPr>
            </w:pPr>
            <w:r w:rsidRPr="00A52AEE">
              <w:rPr>
                <w:lang w:eastAsia="en-GB"/>
              </w:rPr>
              <w:t>31%</w:t>
            </w:r>
          </w:p>
        </w:tc>
      </w:tr>
      <w:tr w:rsidR="001923B6" w:rsidRPr="00A52AEE" w14:paraId="4605656C" w14:textId="77777777" w:rsidTr="001923B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874661E" w14:textId="77777777" w:rsidR="001923B6" w:rsidRPr="00A52AEE" w:rsidRDefault="001923B6" w:rsidP="001923B6">
            <w:pPr>
              <w:rPr>
                <w:lang w:eastAsia="en-GB"/>
              </w:rPr>
            </w:pPr>
            <w:r w:rsidRPr="00A52AEE">
              <w:rPr>
                <w:lang w:eastAsia="en-GB"/>
              </w:rPr>
              <w:t>Business, Administration and Law</w:t>
            </w:r>
          </w:p>
        </w:tc>
        <w:tc>
          <w:tcPr>
            <w:tcW w:w="992" w:type="dxa"/>
            <w:tcBorders>
              <w:top w:val="nil"/>
              <w:left w:val="nil"/>
              <w:bottom w:val="single" w:sz="4" w:space="0" w:color="auto"/>
              <w:right w:val="single" w:sz="4" w:space="0" w:color="auto"/>
            </w:tcBorders>
            <w:shd w:val="clear" w:color="auto" w:fill="auto"/>
            <w:noWrap/>
            <w:vAlign w:val="bottom"/>
            <w:hideMark/>
          </w:tcPr>
          <w:p w14:paraId="447E38BB" w14:textId="77777777" w:rsidR="001923B6" w:rsidRPr="00A52AEE" w:rsidRDefault="001923B6" w:rsidP="009A2373">
            <w:pPr>
              <w:jc w:val="right"/>
              <w:rPr>
                <w:lang w:eastAsia="en-GB"/>
              </w:rPr>
            </w:pPr>
            <w:r w:rsidRPr="00A52AEE">
              <w:rPr>
                <w:lang w:eastAsia="en-GB"/>
              </w:rPr>
              <w:t>48%</w:t>
            </w:r>
          </w:p>
        </w:tc>
        <w:tc>
          <w:tcPr>
            <w:tcW w:w="993" w:type="dxa"/>
            <w:tcBorders>
              <w:top w:val="nil"/>
              <w:left w:val="nil"/>
              <w:bottom w:val="single" w:sz="4" w:space="0" w:color="auto"/>
              <w:right w:val="single" w:sz="4" w:space="0" w:color="auto"/>
            </w:tcBorders>
            <w:shd w:val="clear" w:color="auto" w:fill="auto"/>
            <w:noWrap/>
            <w:vAlign w:val="bottom"/>
            <w:hideMark/>
          </w:tcPr>
          <w:p w14:paraId="395341BD" w14:textId="77777777" w:rsidR="001923B6" w:rsidRPr="00A52AEE" w:rsidRDefault="001923B6" w:rsidP="009A2373">
            <w:pPr>
              <w:jc w:val="right"/>
              <w:rPr>
                <w:lang w:eastAsia="en-GB"/>
              </w:rPr>
            </w:pPr>
            <w:r w:rsidRPr="00A52AEE">
              <w:rPr>
                <w:lang w:eastAsia="en-GB"/>
              </w:rPr>
              <w:t>47%</w:t>
            </w:r>
          </w:p>
        </w:tc>
        <w:tc>
          <w:tcPr>
            <w:tcW w:w="861" w:type="dxa"/>
            <w:tcBorders>
              <w:top w:val="nil"/>
              <w:left w:val="nil"/>
              <w:bottom w:val="single" w:sz="4" w:space="0" w:color="auto"/>
              <w:right w:val="single" w:sz="4" w:space="0" w:color="auto"/>
            </w:tcBorders>
            <w:shd w:val="clear" w:color="auto" w:fill="auto"/>
            <w:noWrap/>
            <w:vAlign w:val="bottom"/>
            <w:hideMark/>
          </w:tcPr>
          <w:p w14:paraId="4A0DC767" w14:textId="77777777" w:rsidR="001923B6" w:rsidRPr="00A52AEE" w:rsidRDefault="001923B6" w:rsidP="009A2373">
            <w:pPr>
              <w:jc w:val="right"/>
              <w:rPr>
                <w:lang w:eastAsia="en-GB"/>
              </w:rPr>
            </w:pPr>
            <w:r w:rsidRPr="00A52AEE">
              <w:rPr>
                <w:lang w:eastAsia="en-GB"/>
              </w:rPr>
              <w:t>45%</w:t>
            </w:r>
          </w:p>
        </w:tc>
        <w:tc>
          <w:tcPr>
            <w:tcW w:w="981" w:type="dxa"/>
            <w:tcBorders>
              <w:top w:val="nil"/>
              <w:left w:val="nil"/>
              <w:bottom w:val="single" w:sz="4" w:space="0" w:color="auto"/>
              <w:right w:val="single" w:sz="4" w:space="0" w:color="auto"/>
            </w:tcBorders>
            <w:shd w:val="clear" w:color="auto" w:fill="auto"/>
            <w:noWrap/>
            <w:vAlign w:val="bottom"/>
            <w:hideMark/>
          </w:tcPr>
          <w:p w14:paraId="0DA788CC" w14:textId="77777777" w:rsidR="001923B6" w:rsidRPr="00A52AEE" w:rsidRDefault="001923B6" w:rsidP="009A2373">
            <w:pPr>
              <w:jc w:val="right"/>
              <w:rPr>
                <w:lang w:eastAsia="en-GB"/>
              </w:rPr>
            </w:pPr>
            <w:r w:rsidRPr="00A52AEE">
              <w:rPr>
                <w:lang w:eastAsia="en-GB"/>
              </w:rPr>
              <w:t>49%</w:t>
            </w:r>
          </w:p>
        </w:tc>
        <w:tc>
          <w:tcPr>
            <w:tcW w:w="882" w:type="dxa"/>
            <w:tcBorders>
              <w:top w:val="nil"/>
              <w:left w:val="nil"/>
              <w:bottom w:val="single" w:sz="4" w:space="0" w:color="auto"/>
              <w:right w:val="single" w:sz="4" w:space="0" w:color="auto"/>
            </w:tcBorders>
            <w:shd w:val="clear" w:color="auto" w:fill="auto"/>
            <w:noWrap/>
            <w:vAlign w:val="bottom"/>
            <w:hideMark/>
          </w:tcPr>
          <w:p w14:paraId="6F37AD6F" w14:textId="77777777" w:rsidR="001923B6" w:rsidRPr="00A52AEE" w:rsidRDefault="001923B6" w:rsidP="009A2373">
            <w:pPr>
              <w:jc w:val="right"/>
              <w:rPr>
                <w:lang w:eastAsia="en-GB"/>
              </w:rPr>
            </w:pPr>
            <w:r w:rsidRPr="00A52AEE">
              <w:rPr>
                <w:lang w:eastAsia="en-GB"/>
              </w:rPr>
              <w:t>46%</w:t>
            </w:r>
          </w:p>
        </w:tc>
      </w:tr>
    </w:tbl>
    <w:p w14:paraId="1CEB515D" w14:textId="77777777" w:rsidR="007C17F7" w:rsidRDefault="007C17F7" w:rsidP="007C17F7">
      <w:r>
        <w:t xml:space="preserve">* Percentages have been rounded </w:t>
      </w:r>
    </w:p>
    <w:p w14:paraId="7758D9E9" w14:textId="77777777" w:rsidR="007C464B" w:rsidRPr="00A52AEE" w:rsidRDefault="007C464B" w:rsidP="00A52AEE">
      <w:pPr>
        <w:rPr>
          <w:lang w:eastAsia="en-GB"/>
        </w:rPr>
      </w:pPr>
    </w:p>
    <w:p w14:paraId="7DDA8860" w14:textId="327DD262" w:rsidR="005F0A18" w:rsidRPr="00A52AEE" w:rsidRDefault="00593BBA" w:rsidP="008D527A">
      <w:pPr>
        <w:pStyle w:val="Heading2"/>
      </w:pPr>
      <w:bookmarkStart w:id="117" w:name="_Toc405201400"/>
      <w:bookmarkStart w:id="118" w:name="_Toc411437033"/>
      <w:bookmarkStart w:id="119" w:name="_Toc429151335"/>
      <w:r w:rsidRPr="00A52AEE">
        <w:t>5.11</w:t>
      </w:r>
      <w:r w:rsidRPr="00A52AEE">
        <w:tab/>
      </w:r>
      <w:r w:rsidR="001923B6">
        <w:tab/>
      </w:r>
      <w:r w:rsidR="005217F3" w:rsidRPr="00A52AEE">
        <w:t>H</w:t>
      </w:r>
      <w:r w:rsidR="005F0A18" w:rsidRPr="00A52AEE">
        <w:t xml:space="preserve">E qualification studied by </w:t>
      </w:r>
      <w:r w:rsidR="0021637B" w:rsidRPr="00A52AEE">
        <w:t>Level</w:t>
      </w:r>
      <w:r w:rsidR="005F0A18" w:rsidRPr="00A52AEE">
        <w:t xml:space="preserve"> 3 qualification type</w:t>
      </w:r>
      <w:bookmarkEnd w:id="117"/>
      <w:bookmarkEnd w:id="118"/>
      <w:bookmarkEnd w:id="119"/>
    </w:p>
    <w:p w14:paraId="0A644F7F" w14:textId="6CDAB6CA" w:rsidR="005F0A18" w:rsidRPr="00A52AEE" w:rsidRDefault="005F0A18" w:rsidP="00A52AEE">
      <w:r w:rsidRPr="00A52AEE">
        <w:t>Table 2</w:t>
      </w:r>
      <w:r w:rsidR="00B03413">
        <w:t>7</w:t>
      </w:r>
      <w:r w:rsidRPr="00A52AEE">
        <w:t xml:space="preserve"> examines what </w:t>
      </w:r>
      <w:r w:rsidR="001923B6">
        <w:t xml:space="preserve">HE qualifications </w:t>
      </w:r>
      <w:r w:rsidR="0076166E" w:rsidRPr="00A52AEE">
        <w:t>London</w:t>
      </w:r>
      <w:r w:rsidR="00857542" w:rsidRPr="00A52AEE">
        <w:t xml:space="preserve"> college </w:t>
      </w:r>
      <w:r w:rsidRPr="00A52AEE">
        <w:t>students progress to</w:t>
      </w:r>
      <w:r w:rsidR="00857542" w:rsidRPr="00A52AEE">
        <w:t xml:space="preserve">, </w:t>
      </w:r>
      <w:r w:rsidRPr="00A52AEE">
        <w:t xml:space="preserve">broken down by the different types of FE qualification they studied.  </w:t>
      </w:r>
    </w:p>
    <w:p w14:paraId="73782E7E" w14:textId="77777777" w:rsidR="00857542" w:rsidRPr="00A52AEE" w:rsidRDefault="00857542" w:rsidP="00A52AEE"/>
    <w:p w14:paraId="66276CE3" w14:textId="79EB4B01" w:rsidR="005F0A18" w:rsidRPr="00A52AEE" w:rsidRDefault="005F0A18" w:rsidP="00A52AEE">
      <w:r w:rsidRPr="00A52AEE">
        <w:t xml:space="preserve">The majority of A </w:t>
      </w:r>
      <w:r w:rsidR="0021637B" w:rsidRPr="00A52AEE">
        <w:t>Level</w:t>
      </w:r>
      <w:r w:rsidRPr="00A52AEE">
        <w:t xml:space="preserve"> and Access to HE students who enter HE</w:t>
      </w:r>
      <w:r w:rsidR="001923B6">
        <w:t>,</w:t>
      </w:r>
      <w:r w:rsidRPr="00A52AEE">
        <w:t xml:space="preserve"> progress onto First degrees. The drop in Access to HE students studying OUG programmes is likely due to the shift of Nursing Diploma (categorised as OUG) to a Degree level.</w:t>
      </w:r>
    </w:p>
    <w:p w14:paraId="11893B20" w14:textId="77777777" w:rsidR="005F0A18" w:rsidRPr="00A52AEE" w:rsidRDefault="005F0A18" w:rsidP="00A52AEE"/>
    <w:p w14:paraId="33AB5F7F" w14:textId="52BA1258" w:rsidR="005F0A18" w:rsidRPr="00A52AEE" w:rsidRDefault="005F0A18" w:rsidP="00A52AEE">
      <w:r w:rsidRPr="00A52AEE">
        <w:t>87% of the BTEC cohort in 2010-11 who entered HE</w:t>
      </w:r>
      <w:r w:rsidR="001923B6">
        <w:t>,</w:t>
      </w:r>
      <w:r w:rsidRPr="00A52AEE">
        <w:t xml:space="preserve"> went onto a First degree</w:t>
      </w:r>
      <w:r w:rsidR="001923B6">
        <w:t>,</w:t>
      </w:r>
      <w:r w:rsidRPr="00A52AEE">
        <w:t xml:space="preserve"> but this dropped to 71% for the 2011-12 cohort entering HE in 2012-13. A higher proportion of HE entrants with a BTEC went onto Other Undergraduate programmes than in previous years: this may be due to the introduction of higher fees and a shift in provision to FE Colleges that are delivering more Other Undergraduate programmes than universities. It may also be explained by the large rise in numbers of BTEC </w:t>
      </w:r>
      <w:r w:rsidR="0021637B" w:rsidRPr="00A52AEE">
        <w:t>Level</w:t>
      </w:r>
      <w:r w:rsidRPr="00A52AEE">
        <w:t xml:space="preserve"> 3 students in specific pathways where OUG programmes are seen as a route into higher education. </w:t>
      </w:r>
    </w:p>
    <w:p w14:paraId="2576A3AE" w14:textId="77777777" w:rsidR="005F0A18" w:rsidRPr="00A52AEE" w:rsidRDefault="005F0A18" w:rsidP="00A52AEE"/>
    <w:p w14:paraId="0525CE59" w14:textId="05A77E41" w:rsidR="005F0A18" w:rsidRPr="001923B6" w:rsidRDefault="005F0A18" w:rsidP="00A52AEE">
      <w:pPr>
        <w:rPr>
          <w:b/>
        </w:rPr>
      </w:pPr>
      <w:r w:rsidRPr="001923B6">
        <w:rPr>
          <w:b/>
        </w:rPr>
        <w:t xml:space="preserve">Table </w:t>
      </w:r>
      <w:r w:rsidR="00ED5A66" w:rsidRPr="001923B6">
        <w:rPr>
          <w:b/>
        </w:rPr>
        <w:t>2</w:t>
      </w:r>
      <w:r w:rsidR="004D2866">
        <w:rPr>
          <w:b/>
        </w:rPr>
        <w:t>7</w:t>
      </w:r>
      <w:r w:rsidRPr="001923B6">
        <w:rPr>
          <w:b/>
        </w:rPr>
        <w:t xml:space="preserve">: HE qualification level by FE college </w:t>
      </w:r>
      <w:r w:rsidR="0021637B" w:rsidRPr="001923B6">
        <w:rPr>
          <w:b/>
        </w:rPr>
        <w:t>Level</w:t>
      </w:r>
      <w:r w:rsidRPr="001923B6">
        <w:rPr>
          <w:b/>
        </w:rPr>
        <w:t xml:space="preserve"> 3 qualification type</w:t>
      </w:r>
    </w:p>
    <w:p w14:paraId="2CA23AE4" w14:textId="77777777" w:rsidR="005F0A18" w:rsidRPr="00A52AEE" w:rsidRDefault="005F0A18" w:rsidP="00A52AEE">
      <w:pPr>
        <w:rPr>
          <w:lang w:eastAsia="en-GB"/>
        </w:rPr>
      </w:pPr>
    </w:p>
    <w:tbl>
      <w:tblPr>
        <w:tblW w:w="5000" w:type="pct"/>
        <w:tblLayout w:type="fixed"/>
        <w:tblLook w:val="04A0" w:firstRow="1" w:lastRow="0" w:firstColumn="1" w:lastColumn="0" w:noHBand="0" w:noVBand="1"/>
      </w:tblPr>
      <w:tblGrid>
        <w:gridCol w:w="1492"/>
        <w:gridCol w:w="2355"/>
        <w:gridCol w:w="1108"/>
        <w:gridCol w:w="1106"/>
        <w:gridCol w:w="1246"/>
        <w:gridCol w:w="1108"/>
        <w:gridCol w:w="1156"/>
      </w:tblGrid>
      <w:tr w:rsidR="00D2390D" w:rsidRPr="001923B6" w14:paraId="368546B0" w14:textId="77777777" w:rsidTr="00D2390D">
        <w:trPr>
          <w:trHeight w:val="330"/>
          <w:tblHeader/>
        </w:trPr>
        <w:tc>
          <w:tcPr>
            <w:tcW w:w="779"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299D697E" w14:textId="77777777" w:rsidR="005F0A18" w:rsidRPr="001923B6" w:rsidRDefault="005F0A18" w:rsidP="001923B6">
            <w:pPr>
              <w:rPr>
                <w:b/>
                <w:color w:val="FFFFFF" w:themeColor="background1"/>
                <w:lang w:eastAsia="en-GB"/>
              </w:rPr>
            </w:pPr>
            <w:r w:rsidRPr="001923B6">
              <w:rPr>
                <w:b/>
                <w:color w:val="FFFFFF" w:themeColor="background1"/>
                <w:lang w:eastAsia="en-GB"/>
              </w:rPr>
              <w:t>FE course Type</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16E4DB72"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HE qualification level</w:t>
            </w:r>
          </w:p>
        </w:tc>
        <w:tc>
          <w:tcPr>
            <w:tcW w:w="2991" w:type="pct"/>
            <w:gridSpan w:val="5"/>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4C361A1" w14:textId="1E50F34B" w:rsidR="005F0A18" w:rsidRPr="001923B6" w:rsidRDefault="005F0A18" w:rsidP="001923B6">
            <w:pPr>
              <w:jc w:val="center"/>
              <w:rPr>
                <w:b/>
                <w:color w:val="FFFFFF" w:themeColor="background1"/>
                <w:lang w:eastAsia="en-GB"/>
              </w:rPr>
            </w:pPr>
            <w:r w:rsidRPr="001923B6">
              <w:rPr>
                <w:b/>
                <w:color w:val="FFFFFF" w:themeColor="background1"/>
                <w:lang w:eastAsia="en-GB"/>
              </w:rPr>
              <w:t xml:space="preserve">FE </w:t>
            </w:r>
            <w:r w:rsidR="0021637B" w:rsidRPr="001923B6">
              <w:rPr>
                <w:b/>
                <w:color w:val="FFFFFF" w:themeColor="background1"/>
                <w:lang w:eastAsia="en-GB"/>
              </w:rPr>
              <w:t>Level</w:t>
            </w:r>
            <w:r w:rsidRPr="001923B6">
              <w:rPr>
                <w:b/>
                <w:color w:val="FFFFFF" w:themeColor="background1"/>
                <w:lang w:eastAsia="en-GB"/>
              </w:rPr>
              <w:t xml:space="preserve"> 3 cohort - % breakdown of HE level</w:t>
            </w:r>
          </w:p>
        </w:tc>
      </w:tr>
      <w:tr w:rsidR="00D2390D" w:rsidRPr="001923B6" w14:paraId="775FDED8" w14:textId="77777777" w:rsidTr="00D2390D">
        <w:trPr>
          <w:trHeight w:val="330"/>
          <w:tblHeader/>
        </w:trPr>
        <w:tc>
          <w:tcPr>
            <w:tcW w:w="779"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1F5A8AD" w14:textId="77777777" w:rsidR="005F0A18" w:rsidRPr="001923B6" w:rsidRDefault="005F0A18" w:rsidP="001923B6">
            <w:pPr>
              <w:jc w:val="center"/>
              <w:rPr>
                <w:b/>
                <w:color w:val="FFFFFF" w:themeColor="background1"/>
                <w:lang w:eastAsia="en-GB"/>
              </w:rPr>
            </w:pPr>
          </w:p>
        </w:tc>
        <w:tc>
          <w:tcPr>
            <w:tcW w:w="1230" w:type="pct"/>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854CD6A" w14:textId="77777777" w:rsidR="005F0A18" w:rsidRPr="001923B6" w:rsidRDefault="005F0A18" w:rsidP="001923B6">
            <w:pPr>
              <w:jc w:val="center"/>
              <w:rPr>
                <w:b/>
                <w:color w:val="FFFFFF" w:themeColor="background1"/>
                <w:lang w:eastAsia="en-GB"/>
              </w:rPr>
            </w:pPr>
          </w:p>
        </w:tc>
        <w:tc>
          <w:tcPr>
            <w:tcW w:w="579" w:type="pct"/>
            <w:tcBorders>
              <w:top w:val="nil"/>
              <w:left w:val="nil"/>
              <w:bottom w:val="single" w:sz="4" w:space="0" w:color="auto"/>
              <w:right w:val="single" w:sz="4" w:space="0" w:color="auto"/>
            </w:tcBorders>
            <w:shd w:val="clear" w:color="auto" w:fill="1F4E79" w:themeFill="accent1" w:themeFillShade="80"/>
            <w:noWrap/>
            <w:vAlign w:val="center"/>
            <w:hideMark/>
          </w:tcPr>
          <w:p w14:paraId="285929CF"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2007-08</w:t>
            </w:r>
          </w:p>
        </w:tc>
        <w:tc>
          <w:tcPr>
            <w:tcW w:w="578" w:type="pct"/>
            <w:tcBorders>
              <w:top w:val="nil"/>
              <w:left w:val="nil"/>
              <w:bottom w:val="single" w:sz="4" w:space="0" w:color="auto"/>
              <w:right w:val="single" w:sz="4" w:space="0" w:color="auto"/>
            </w:tcBorders>
            <w:shd w:val="clear" w:color="auto" w:fill="1F4E79" w:themeFill="accent1" w:themeFillShade="80"/>
            <w:noWrap/>
            <w:vAlign w:val="center"/>
            <w:hideMark/>
          </w:tcPr>
          <w:p w14:paraId="7FA5BCEB"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2008-09</w:t>
            </w:r>
          </w:p>
        </w:tc>
        <w:tc>
          <w:tcPr>
            <w:tcW w:w="651" w:type="pct"/>
            <w:tcBorders>
              <w:top w:val="nil"/>
              <w:left w:val="nil"/>
              <w:bottom w:val="single" w:sz="4" w:space="0" w:color="auto"/>
              <w:right w:val="single" w:sz="4" w:space="0" w:color="auto"/>
            </w:tcBorders>
            <w:shd w:val="clear" w:color="auto" w:fill="1F4E79" w:themeFill="accent1" w:themeFillShade="80"/>
            <w:noWrap/>
            <w:vAlign w:val="center"/>
            <w:hideMark/>
          </w:tcPr>
          <w:p w14:paraId="144D7198"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2009-10</w:t>
            </w:r>
          </w:p>
        </w:tc>
        <w:tc>
          <w:tcPr>
            <w:tcW w:w="579" w:type="pct"/>
            <w:tcBorders>
              <w:top w:val="nil"/>
              <w:left w:val="nil"/>
              <w:bottom w:val="single" w:sz="4" w:space="0" w:color="auto"/>
              <w:right w:val="single" w:sz="4" w:space="0" w:color="auto"/>
            </w:tcBorders>
            <w:shd w:val="clear" w:color="auto" w:fill="1F4E79" w:themeFill="accent1" w:themeFillShade="80"/>
            <w:noWrap/>
            <w:vAlign w:val="center"/>
            <w:hideMark/>
          </w:tcPr>
          <w:p w14:paraId="7A0B8F2F"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2010-11</w:t>
            </w:r>
          </w:p>
        </w:tc>
        <w:tc>
          <w:tcPr>
            <w:tcW w:w="604" w:type="pct"/>
            <w:tcBorders>
              <w:top w:val="nil"/>
              <w:left w:val="nil"/>
              <w:bottom w:val="single" w:sz="4" w:space="0" w:color="auto"/>
              <w:right w:val="single" w:sz="4" w:space="0" w:color="auto"/>
            </w:tcBorders>
            <w:shd w:val="clear" w:color="auto" w:fill="1F4E79" w:themeFill="accent1" w:themeFillShade="80"/>
            <w:noWrap/>
            <w:vAlign w:val="center"/>
            <w:hideMark/>
          </w:tcPr>
          <w:p w14:paraId="2880FC68" w14:textId="77777777" w:rsidR="005F0A18" w:rsidRPr="001923B6" w:rsidRDefault="005F0A18" w:rsidP="001923B6">
            <w:pPr>
              <w:jc w:val="center"/>
              <w:rPr>
                <w:b/>
                <w:color w:val="FFFFFF" w:themeColor="background1"/>
                <w:lang w:eastAsia="en-GB"/>
              </w:rPr>
            </w:pPr>
            <w:r w:rsidRPr="001923B6">
              <w:rPr>
                <w:b/>
                <w:color w:val="FFFFFF" w:themeColor="background1"/>
                <w:lang w:eastAsia="en-GB"/>
              </w:rPr>
              <w:t>2011-12</w:t>
            </w:r>
          </w:p>
        </w:tc>
      </w:tr>
      <w:tr w:rsidR="005F0A18" w:rsidRPr="00A52AEE" w14:paraId="23CDF95D" w14:textId="77777777" w:rsidTr="00D2390D">
        <w:trPr>
          <w:trHeight w:val="315"/>
        </w:trPr>
        <w:tc>
          <w:tcPr>
            <w:tcW w:w="7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F50619" w14:textId="77777777" w:rsidR="005F0A18" w:rsidRPr="005E08C9" w:rsidRDefault="005F0A18" w:rsidP="00A52AEE">
            <w:pPr>
              <w:rPr>
                <w:b/>
                <w:lang w:eastAsia="en-GB"/>
              </w:rPr>
            </w:pPr>
            <w:r w:rsidRPr="005E08C9">
              <w:rPr>
                <w:b/>
                <w:lang w:eastAsia="en-GB"/>
              </w:rPr>
              <w:t>Access</w:t>
            </w:r>
          </w:p>
        </w:tc>
        <w:tc>
          <w:tcPr>
            <w:tcW w:w="1230" w:type="pct"/>
            <w:tcBorders>
              <w:top w:val="nil"/>
              <w:left w:val="nil"/>
              <w:bottom w:val="single" w:sz="4" w:space="0" w:color="auto"/>
              <w:right w:val="single" w:sz="4" w:space="0" w:color="auto"/>
            </w:tcBorders>
            <w:shd w:val="clear" w:color="auto" w:fill="auto"/>
            <w:noWrap/>
            <w:vAlign w:val="bottom"/>
            <w:hideMark/>
          </w:tcPr>
          <w:p w14:paraId="59F7A9D9" w14:textId="77777777" w:rsidR="005F0A18" w:rsidRPr="00A52AEE" w:rsidRDefault="005F0A18" w:rsidP="00A52AEE">
            <w:pPr>
              <w:rPr>
                <w:lang w:eastAsia="en-GB"/>
              </w:rPr>
            </w:pPr>
            <w:r w:rsidRPr="00A52AEE">
              <w:rPr>
                <w:lang w:eastAsia="en-GB"/>
              </w:rPr>
              <w:t>First degree</w:t>
            </w:r>
          </w:p>
        </w:tc>
        <w:tc>
          <w:tcPr>
            <w:tcW w:w="579" w:type="pct"/>
            <w:tcBorders>
              <w:top w:val="nil"/>
              <w:left w:val="nil"/>
              <w:bottom w:val="single" w:sz="4" w:space="0" w:color="auto"/>
              <w:right w:val="single" w:sz="4" w:space="0" w:color="auto"/>
            </w:tcBorders>
            <w:shd w:val="clear" w:color="auto" w:fill="auto"/>
            <w:noWrap/>
            <w:vAlign w:val="bottom"/>
            <w:hideMark/>
          </w:tcPr>
          <w:p w14:paraId="0D3BCF97" w14:textId="77777777" w:rsidR="005F0A18" w:rsidRPr="00A52AEE" w:rsidRDefault="005F0A18" w:rsidP="001923B6">
            <w:pPr>
              <w:jc w:val="right"/>
              <w:rPr>
                <w:lang w:eastAsia="en-GB"/>
              </w:rPr>
            </w:pPr>
            <w:r w:rsidRPr="00A52AEE">
              <w:rPr>
                <w:lang w:eastAsia="en-GB"/>
              </w:rPr>
              <w:t>84%</w:t>
            </w:r>
          </w:p>
        </w:tc>
        <w:tc>
          <w:tcPr>
            <w:tcW w:w="578" w:type="pct"/>
            <w:tcBorders>
              <w:top w:val="nil"/>
              <w:left w:val="nil"/>
              <w:bottom w:val="single" w:sz="4" w:space="0" w:color="auto"/>
              <w:right w:val="single" w:sz="4" w:space="0" w:color="auto"/>
            </w:tcBorders>
            <w:shd w:val="clear" w:color="auto" w:fill="auto"/>
            <w:noWrap/>
            <w:vAlign w:val="bottom"/>
            <w:hideMark/>
          </w:tcPr>
          <w:p w14:paraId="4A977A98" w14:textId="77777777" w:rsidR="005F0A18" w:rsidRPr="00A52AEE" w:rsidRDefault="005F0A18" w:rsidP="001923B6">
            <w:pPr>
              <w:jc w:val="right"/>
              <w:rPr>
                <w:lang w:eastAsia="en-GB"/>
              </w:rPr>
            </w:pPr>
            <w:r w:rsidRPr="00A52AEE">
              <w:rPr>
                <w:lang w:eastAsia="en-GB"/>
              </w:rPr>
              <w:t>85%</w:t>
            </w:r>
          </w:p>
        </w:tc>
        <w:tc>
          <w:tcPr>
            <w:tcW w:w="651" w:type="pct"/>
            <w:tcBorders>
              <w:top w:val="nil"/>
              <w:left w:val="nil"/>
              <w:bottom w:val="single" w:sz="4" w:space="0" w:color="auto"/>
              <w:right w:val="single" w:sz="4" w:space="0" w:color="auto"/>
            </w:tcBorders>
            <w:shd w:val="clear" w:color="auto" w:fill="auto"/>
            <w:noWrap/>
            <w:vAlign w:val="bottom"/>
            <w:hideMark/>
          </w:tcPr>
          <w:p w14:paraId="3046EF8A" w14:textId="77777777" w:rsidR="005F0A18" w:rsidRPr="00A52AEE" w:rsidRDefault="005F0A18" w:rsidP="001923B6">
            <w:pPr>
              <w:jc w:val="right"/>
              <w:rPr>
                <w:lang w:eastAsia="en-GB"/>
              </w:rPr>
            </w:pPr>
            <w:r w:rsidRPr="00A52AEE">
              <w:rPr>
                <w:lang w:eastAsia="en-GB"/>
              </w:rPr>
              <w:t>86%</w:t>
            </w:r>
          </w:p>
        </w:tc>
        <w:tc>
          <w:tcPr>
            <w:tcW w:w="579" w:type="pct"/>
            <w:tcBorders>
              <w:top w:val="nil"/>
              <w:left w:val="nil"/>
              <w:bottom w:val="single" w:sz="4" w:space="0" w:color="auto"/>
              <w:right w:val="single" w:sz="4" w:space="0" w:color="auto"/>
            </w:tcBorders>
            <w:shd w:val="clear" w:color="auto" w:fill="auto"/>
            <w:noWrap/>
            <w:vAlign w:val="bottom"/>
            <w:hideMark/>
          </w:tcPr>
          <w:p w14:paraId="2C603E33" w14:textId="77777777" w:rsidR="005F0A18" w:rsidRPr="00A52AEE" w:rsidRDefault="005F0A18" w:rsidP="001923B6">
            <w:pPr>
              <w:jc w:val="right"/>
              <w:rPr>
                <w:lang w:eastAsia="en-GB"/>
              </w:rPr>
            </w:pPr>
            <w:r w:rsidRPr="00A52AEE">
              <w:rPr>
                <w:lang w:eastAsia="en-GB"/>
              </w:rPr>
              <w:t>95%</w:t>
            </w:r>
          </w:p>
        </w:tc>
        <w:tc>
          <w:tcPr>
            <w:tcW w:w="604" w:type="pct"/>
            <w:tcBorders>
              <w:top w:val="nil"/>
              <w:left w:val="nil"/>
              <w:bottom w:val="single" w:sz="4" w:space="0" w:color="auto"/>
              <w:right w:val="single" w:sz="4" w:space="0" w:color="auto"/>
            </w:tcBorders>
            <w:shd w:val="clear" w:color="auto" w:fill="auto"/>
            <w:noWrap/>
            <w:vAlign w:val="bottom"/>
            <w:hideMark/>
          </w:tcPr>
          <w:p w14:paraId="033F05CB" w14:textId="77777777" w:rsidR="005F0A18" w:rsidRPr="00A52AEE" w:rsidRDefault="005F0A18" w:rsidP="001923B6">
            <w:pPr>
              <w:jc w:val="right"/>
              <w:rPr>
                <w:lang w:eastAsia="en-GB"/>
              </w:rPr>
            </w:pPr>
            <w:r w:rsidRPr="00A52AEE">
              <w:rPr>
                <w:lang w:eastAsia="en-GB"/>
              </w:rPr>
              <w:t>95%</w:t>
            </w:r>
          </w:p>
        </w:tc>
      </w:tr>
      <w:tr w:rsidR="005F0A18" w:rsidRPr="00A52AEE" w14:paraId="563DA2C4"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2FE43C9B"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61F5CC4A" w14:textId="77777777" w:rsidR="005F0A18" w:rsidRPr="00A52AEE" w:rsidRDefault="005F0A18" w:rsidP="00A52AEE">
            <w:pPr>
              <w:rPr>
                <w:lang w:eastAsia="en-GB"/>
              </w:rPr>
            </w:pPr>
            <w:r w:rsidRPr="00A52AEE">
              <w:rPr>
                <w:lang w:eastAsia="en-GB"/>
              </w:rPr>
              <w:t>Foundation degree</w:t>
            </w:r>
          </w:p>
        </w:tc>
        <w:tc>
          <w:tcPr>
            <w:tcW w:w="579" w:type="pct"/>
            <w:tcBorders>
              <w:top w:val="nil"/>
              <w:left w:val="nil"/>
              <w:bottom w:val="single" w:sz="4" w:space="0" w:color="auto"/>
              <w:right w:val="single" w:sz="4" w:space="0" w:color="auto"/>
            </w:tcBorders>
            <w:shd w:val="clear" w:color="auto" w:fill="auto"/>
            <w:noWrap/>
            <w:vAlign w:val="bottom"/>
            <w:hideMark/>
          </w:tcPr>
          <w:p w14:paraId="2DAB25C0" w14:textId="77777777" w:rsidR="005F0A18" w:rsidRPr="00A52AEE" w:rsidRDefault="005F0A18" w:rsidP="001923B6">
            <w:pPr>
              <w:jc w:val="right"/>
              <w:rPr>
                <w:lang w:eastAsia="en-GB"/>
              </w:rPr>
            </w:pPr>
            <w:r w:rsidRPr="00A52AEE">
              <w:rPr>
                <w:lang w:eastAsia="en-GB"/>
              </w:rPr>
              <w:t>2%</w:t>
            </w:r>
          </w:p>
        </w:tc>
        <w:tc>
          <w:tcPr>
            <w:tcW w:w="578" w:type="pct"/>
            <w:tcBorders>
              <w:top w:val="nil"/>
              <w:left w:val="nil"/>
              <w:bottom w:val="single" w:sz="4" w:space="0" w:color="auto"/>
              <w:right w:val="single" w:sz="4" w:space="0" w:color="auto"/>
            </w:tcBorders>
            <w:shd w:val="clear" w:color="auto" w:fill="auto"/>
            <w:noWrap/>
            <w:vAlign w:val="bottom"/>
            <w:hideMark/>
          </w:tcPr>
          <w:p w14:paraId="19D3FBB0" w14:textId="77777777" w:rsidR="005F0A18" w:rsidRPr="00A52AEE" w:rsidRDefault="005F0A18" w:rsidP="001923B6">
            <w:pPr>
              <w:jc w:val="right"/>
              <w:rPr>
                <w:lang w:eastAsia="en-GB"/>
              </w:rPr>
            </w:pPr>
            <w:r w:rsidRPr="00A52AEE">
              <w:rPr>
                <w:lang w:eastAsia="en-GB"/>
              </w:rPr>
              <w:t>2%</w:t>
            </w:r>
          </w:p>
        </w:tc>
        <w:tc>
          <w:tcPr>
            <w:tcW w:w="651" w:type="pct"/>
            <w:tcBorders>
              <w:top w:val="nil"/>
              <w:left w:val="nil"/>
              <w:bottom w:val="single" w:sz="4" w:space="0" w:color="auto"/>
              <w:right w:val="single" w:sz="4" w:space="0" w:color="auto"/>
            </w:tcBorders>
            <w:shd w:val="clear" w:color="auto" w:fill="auto"/>
            <w:noWrap/>
            <w:vAlign w:val="bottom"/>
            <w:hideMark/>
          </w:tcPr>
          <w:p w14:paraId="746B469B" w14:textId="77777777" w:rsidR="005F0A18" w:rsidRPr="00A52AEE" w:rsidRDefault="005F0A18" w:rsidP="001923B6">
            <w:pPr>
              <w:jc w:val="right"/>
              <w:rPr>
                <w:lang w:eastAsia="en-GB"/>
              </w:rPr>
            </w:pPr>
            <w:r w:rsidRPr="00A52AEE">
              <w:rPr>
                <w:lang w:eastAsia="en-GB"/>
              </w:rPr>
              <w:t>1%</w:t>
            </w:r>
          </w:p>
        </w:tc>
        <w:tc>
          <w:tcPr>
            <w:tcW w:w="579" w:type="pct"/>
            <w:tcBorders>
              <w:top w:val="nil"/>
              <w:left w:val="nil"/>
              <w:bottom w:val="single" w:sz="4" w:space="0" w:color="auto"/>
              <w:right w:val="single" w:sz="4" w:space="0" w:color="auto"/>
            </w:tcBorders>
            <w:shd w:val="clear" w:color="auto" w:fill="auto"/>
            <w:noWrap/>
            <w:vAlign w:val="bottom"/>
            <w:hideMark/>
          </w:tcPr>
          <w:p w14:paraId="5280A6F0" w14:textId="77777777" w:rsidR="005F0A18" w:rsidRPr="00A52AEE" w:rsidRDefault="005F0A18" w:rsidP="001923B6">
            <w:pPr>
              <w:jc w:val="right"/>
              <w:rPr>
                <w:lang w:eastAsia="en-GB"/>
              </w:rPr>
            </w:pPr>
            <w:r w:rsidRPr="00A52AEE">
              <w:rPr>
                <w:lang w:eastAsia="en-GB"/>
              </w:rPr>
              <w:t>2%</w:t>
            </w:r>
          </w:p>
        </w:tc>
        <w:tc>
          <w:tcPr>
            <w:tcW w:w="604" w:type="pct"/>
            <w:tcBorders>
              <w:top w:val="nil"/>
              <w:left w:val="nil"/>
              <w:bottom w:val="single" w:sz="4" w:space="0" w:color="auto"/>
              <w:right w:val="single" w:sz="4" w:space="0" w:color="auto"/>
            </w:tcBorders>
            <w:shd w:val="clear" w:color="auto" w:fill="auto"/>
            <w:noWrap/>
            <w:vAlign w:val="bottom"/>
            <w:hideMark/>
          </w:tcPr>
          <w:p w14:paraId="2C911E21" w14:textId="77777777" w:rsidR="005F0A18" w:rsidRPr="00A52AEE" w:rsidRDefault="005F0A18" w:rsidP="001923B6">
            <w:pPr>
              <w:jc w:val="right"/>
              <w:rPr>
                <w:lang w:eastAsia="en-GB"/>
              </w:rPr>
            </w:pPr>
            <w:r w:rsidRPr="00A52AEE">
              <w:rPr>
                <w:lang w:eastAsia="en-GB"/>
              </w:rPr>
              <w:t>2%</w:t>
            </w:r>
          </w:p>
        </w:tc>
      </w:tr>
      <w:tr w:rsidR="005F0A18" w:rsidRPr="00A52AEE" w14:paraId="16A60D64"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159A1DAF"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54718C4E" w14:textId="77777777" w:rsidR="005F0A18" w:rsidRPr="00A52AEE" w:rsidRDefault="005F0A18" w:rsidP="00A52AEE">
            <w:pPr>
              <w:rPr>
                <w:lang w:eastAsia="en-GB"/>
              </w:rPr>
            </w:pPr>
            <w:r w:rsidRPr="00A52AEE">
              <w:rPr>
                <w:lang w:eastAsia="en-GB"/>
              </w:rPr>
              <w:t>HNC/HND</w:t>
            </w:r>
          </w:p>
        </w:tc>
        <w:tc>
          <w:tcPr>
            <w:tcW w:w="579" w:type="pct"/>
            <w:tcBorders>
              <w:top w:val="nil"/>
              <w:left w:val="nil"/>
              <w:bottom w:val="single" w:sz="4" w:space="0" w:color="auto"/>
              <w:right w:val="single" w:sz="4" w:space="0" w:color="auto"/>
            </w:tcBorders>
            <w:shd w:val="clear" w:color="auto" w:fill="auto"/>
            <w:noWrap/>
            <w:vAlign w:val="bottom"/>
            <w:hideMark/>
          </w:tcPr>
          <w:p w14:paraId="23205BFD" w14:textId="77777777" w:rsidR="005F0A18" w:rsidRPr="00A52AEE" w:rsidRDefault="005F0A18" w:rsidP="001923B6">
            <w:pPr>
              <w:jc w:val="right"/>
              <w:rPr>
                <w:lang w:eastAsia="en-GB"/>
              </w:rPr>
            </w:pPr>
            <w:r w:rsidRPr="00A52AEE">
              <w:rPr>
                <w:lang w:eastAsia="en-GB"/>
              </w:rPr>
              <w:t>1%</w:t>
            </w:r>
          </w:p>
        </w:tc>
        <w:tc>
          <w:tcPr>
            <w:tcW w:w="578" w:type="pct"/>
            <w:tcBorders>
              <w:top w:val="nil"/>
              <w:left w:val="nil"/>
              <w:bottom w:val="single" w:sz="4" w:space="0" w:color="auto"/>
              <w:right w:val="single" w:sz="4" w:space="0" w:color="auto"/>
            </w:tcBorders>
            <w:shd w:val="clear" w:color="auto" w:fill="auto"/>
            <w:noWrap/>
            <w:vAlign w:val="bottom"/>
            <w:hideMark/>
          </w:tcPr>
          <w:p w14:paraId="2B75AF9C"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5CDEBE13"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682EC6E7"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65916A40" w14:textId="77777777" w:rsidR="005F0A18" w:rsidRPr="00A52AEE" w:rsidRDefault="005F0A18" w:rsidP="001923B6">
            <w:pPr>
              <w:jc w:val="right"/>
              <w:rPr>
                <w:lang w:eastAsia="en-GB"/>
              </w:rPr>
            </w:pPr>
            <w:r w:rsidRPr="00A52AEE">
              <w:rPr>
                <w:lang w:eastAsia="en-GB"/>
              </w:rPr>
              <w:t>1%</w:t>
            </w:r>
          </w:p>
        </w:tc>
      </w:tr>
      <w:tr w:rsidR="005F0A18" w:rsidRPr="00A52AEE" w14:paraId="64E220ED"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7B5C7DA1"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264C948F" w14:textId="77777777" w:rsidR="005F0A18" w:rsidRPr="00A52AEE" w:rsidRDefault="005F0A18" w:rsidP="00A52AEE">
            <w:pPr>
              <w:rPr>
                <w:lang w:eastAsia="en-GB"/>
              </w:rPr>
            </w:pPr>
            <w:r w:rsidRPr="00A52AEE">
              <w:rPr>
                <w:lang w:eastAsia="en-GB"/>
              </w:rPr>
              <w:t>Other undergraduate</w:t>
            </w:r>
          </w:p>
        </w:tc>
        <w:tc>
          <w:tcPr>
            <w:tcW w:w="579" w:type="pct"/>
            <w:tcBorders>
              <w:top w:val="nil"/>
              <w:left w:val="nil"/>
              <w:bottom w:val="single" w:sz="4" w:space="0" w:color="auto"/>
              <w:right w:val="single" w:sz="4" w:space="0" w:color="auto"/>
            </w:tcBorders>
            <w:shd w:val="clear" w:color="auto" w:fill="auto"/>
            <w:noWrap/>
            <w:vAlign w:val="bottom"/>
            <w:hideMark/>
          </w:tcPr>
          <w:p w14:paraId="62EBEA38" w14:textId="77777777" w:rsidR="005F0A18" w:rsidRPr="00A52AEE" w:rsidRDefault="005F0A18" w:rsidP="001923B6">
            <w:pPr>
              <w:jc w:val="right"/>
              <w:rPr>
                <w:lang w:eastAsia="en-GB"/>
              </w:rPr>
            </w:pPr>
            <w:r w:rsidRPr="00A52AEE">
              <w:rPr>
                <w:lang w:eastAsia="en-GB"/>
              </w:rPr>
              <w:t>13%</w:t>
            </w:r>
          </w:p>
        </w:tc>
        <w:tc>
          <w:tcPr>
            <w:tcW w:w="578" w:type="pct"/>
            <w:tcBorders>
              <w:top w:val="nil"/>
              <w:left w:val="nil"/>
              <w:bottom w:val="single" w:sz="4" w:space="0" w:color="auto"/>
              <w:right w:val="single" w:sz="4" w:space="0" w:color="auto"/>
            </w:tcBorders>
            <w:shd w:val="clear" w:color="auto" w:fill="auto"/>
            <w:noWrap/>
            <w:vAlign w:val="bottom"/>
            <w:hideMark/>
          </w:tcPr>
          <w:p w14:paraId="0F854FFF" w14:textId="77777777" w:rsidR="005F0A18" w:rsidRPr="00A52AEE" w:rsidRDefault="005F0A18" w:rsidP="001923B6">
            <w:pPr>
              <w:jc w:val="right"/>
              <w:rPr>
                <w:lang w:eastAsia="en-GB"/>
              </w:rPr>
            </w:pPr>
            <w:r w:rsidRPr="00A52AEE">
              <w:rPr>
                <w:lang w:eastAsia="en-GB"/>
              </w:rPr>
              <w:t>13%</w:t>
            </w:r>
          </w:p>
        </w:tc>
        <w:tc>
          <w:tcPr>
            <w:tcW w:w="651" w:type="pct"/>
            <w:tcBorders>
              <w:top w:val="nil"/>
              <w:left w:val="nil"/>
              <w:bottom w:val="single" w:sz="4" w:space="0" w:color="auto"/>
              <w:right w:val="single" w:sz="4" w:space="0" w:color="auto"/>
            </w:tcBorders>
            <w:shd w:val="clear" w:color="auto" w:fill="auto"/>
            <w:noWrap/>
            <w:vAlign w:val="bottom"/>
            <w:hideMark/>
          </w:tcPr>
          <w:p w14:paraId="085AA176" w14:textId="77777777" w:rsidR="005F0A18" w:rsidRPr="00A52AEE" w:rsidRDefault="005F0A18" w:rsidP="001923B6">
            <w:pPr>
              <w:jc w:val="right"/>
              <w:rPr>
                <w:lang w:eastAsia="en-GB"/>
              </w:rPr>
            </w:pPr>
            <w:r w:rsidRPr="00A52AEE">
              <w:rPr>
                <w:lang w:eastAsia="en-GB"/>
              </w:rPr>
              <w:t>12%</w:t>
            </w:r>
          </w:p>
        </w:tc>
        <w:tc>
          <w:tcPr>
            <w:tcW w:w="579" w:type="pct"/>
            <w:tcBorders>
              <w:top w:val="nil"/>
              <w:left w:val="nil"/>
              <w:bottom w:val="single" w:sz="4" w:space="0" w:color="auto"/>
              <w:right w:val="single" w:sz="4" w:space="0" w:color="auto"/>
            </w:tcBorders>
            <w:shd w:val="clear" w:color="auto" w:fill="auto"/>
            <w:noWrap/>
            <w:vAlign w:val="bottom"/>
            <w:hideMark/>
          </w:tcPr>
          <w:p w14:paraId="17F0EBB5" w14:textId="77777777" w:rsidR="005F0A18" w:rsidRPr="00A52AEE" w:rsidRDefault="005F0A18" w:rsidP="001923B6">
            <w:pPr>
              <w:jc w:val="right"/>
              <w:rPr>
                <w:lang w:eastAsia="en-GB"/>
              </w:rPr>
            </w:pPr>
            <w:r w:rsidRPr="00A52AEE">
              <w:rPr>
                <w:lang w:eastAsia="en-GB"/>
              </w:rPr>
              <w:t>3%</w:t>
            </w:r>
          </w:p>
        </w:tc>
        <w:tc>
          <w:tcPr>
            <w:tcW w:w="604" w:type="pct"/>
            <w:tcBorders>
              <w:top w:val="nil"/>
              <w:left w:val="nil"/>
              <w:bottom w:val="single" w:sz="4" w:space="0" w:color="auto"/>
              <w:right w:val="single" w:sz="4" w:space="0" w:color="auto"/>
            </w:tcBorders>
            <w:shd w:val="clear" w:color="auto" w:fill="auto"/>
            <w:noWrap/>
            <w:vAlign w:val="bottom"/>
            <w:hideMark/>
          </w:tcPr>
          <w:p w14:paraId="108F4F4E" w14:textId="77777777" w:rsidR="005F0A18" w:rsidRPr="00A52AEE" w:rsidRDefault="005F0A18" w:rsidP="001923B6">
            <w:pPr>
              <w:jc w:val="right"/>
              <w:rPr>
                <w:lang w:eastAsia="en-GB"/>
              </w:rPr>
            </w:pPr>
            <w:r w:rsidRPr="00A52AEE">
              <w:rPr>
                <w:lang w:eastAsia="en-GB"/>
              </w:rPr>
              <w:t>2%</w:t>
            </w:r>
          </w:p>
        </w:tc>
      </w:tr>
      <w:tr w:rsidR="005F0A18" w:rsidRPr="00A52AEE" w14:paraId="1AC7CBF2"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521609C6"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3281DD6D" w14:textId="77777777" w:rsidR="005F0A18" w:rsidRPr="00A52AEE" w:rsidRDefault="005F0A18" w:rsidP="00A52AEE">
            <w:pPr>
              <w:rPr>
                <w:lang w:eastAsia="en-GB"/>
              </w:rPr>
            </w:pPr>
            <w:r w:rsidRPr="00A52AEE">
              <w:rPr>
                <w:lang w:eastAsia="en-GB"/>
              </w:rPr>
              <w:t>Postgraduate</w:t>
            </w:r>
          </w:p>
        </w:tc>
        <w:tc>
          <w:tcPr>
            <w:tcW w:w="579" w:type="pct"/>
            <w:tcBorders>
              <w:top w:val="nil"/>
              <w:left w:val="nil"/>
              <w:bottom w:val="single" w:sz="4" w:space="0" w:color="auto"/>
              <w:right w:val="single" w:sz="4" w:space="0" w:color="auto"/>
            </w:tcBorders>
            <w:shd w:val="clear" w:color="auto" w:fill="auto"/>
            <w:noWrap/>
            <w:vAlign w:val="bottom"/>
            <w:hideMark/>
          </w:tcPr>
          <w:p w14:paraId="3B187909" w14:textId="77777777" w:rsidR="005F0A18" w:rsidRPr="00A52AEE" w:rsidRDefault="005F0A18" w:rsidP="001923B6">
            <w:pPr>
              <w:jc w:val="right"/>
              <w:rPr>
                <w:lang w:eastAsia="en-GB"/>
              </w:rPr>
            </w:pPr>
            <w:r w:rsidRPr="00A52AEE">
              <w:rPr>
                <w:lang w:eastAsia="en-GB"/>
              </w:rPr>
              <w:t>1%</w:t>
            </w:r>
          </w:p>
        </w:tc>
        <w:tc>
          <w:tcPr>
            <w:tcW w:w="578" w:type="pct"/>
            <w:tcBorders>
              <w:top w:val="nil"/>
              <w:left w:val="nil"/>
              <w:bottom w:val="single" w:sz="4" w:space="0" w:color="auto"/>
              <w:right w:val="single" w:sz="4" w:space="0" w:color="auto"/>
            </w:tcBorders>
            <w:shd w:val="clear" w:color="auto" w:fill="auto"/>
            <w:noWrap/>
            <w:vAlign w:val="bottom"/>
            <w:hideMark/>
          </w:tcPr>
          <w:p w14:paraId="34E83153"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4AB91BF0"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3A719769"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32CA6D17" w14:textId="77777777" w:rsidR="005F0A18" w:rsidRPr="00A52AEE" w:rsidRDefault="005F0A18" w:rsidP="001923B6">
            <w:pPr>
              <w:jc w:val="right"/>
              <w:rPr>
                <w:lang w:eastAsia="en-GB"/>
              </w:rPr>
            </w:pPr>
            <w:r w:rsidRPr="00A52AEE">
              <w:rPr>
                <w:lang w:eastAsia="en-GB"/>
              </w:rPr>
              <w:t>0%</w:t>
            </w:r>
          </w:p>
        </w:tc>
      </w:tr>
      <w:tr w:rsidR="005F0A18" w:rsidRPr="00A52AEE" w14:paraId="1FD43769" w14:textId="77777777" w:rsidTr="00D2390D">
        <w:trPr>
          <w:trHeight w:val="315"/>
        </w:trPr>
        <w:tc>
          <w:tcPr>
            <w:tcW w:w="7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E7CC6A" w14:textId="77777777" w:rsidR="005F0A18" w:rsidRPr="005E08C9" w:rsidRDefault="005F0A18" w:rsidP="00A52AEE">
            <w:pPr>
              <w:rPr>
                <w:b/>
                <w:lang w:eastAsia="en-GB"/>
              </w:rPr>
            </w:pPr>
            <w:r w:rsidRPr="005E08C9">
              <w:rPr>
                <w:b/>
                <w:lang w:eastAsia="en-GB"/>
              </w:rPr>
              <w:t>BTEC</w:t>
            </w:r>
          </w:p>
        </w:tc>
        <w:tc>
          <w:tcPr>
            <w:tcW w:w="1230" w:type="pct"/>
            <w:tcBorders>
              <w:top w:val="nil"/>
              <w:left w:val="nil"/>
              <w:bottom w:val="single" w:sz="4" w:space="0" w:color="auto"/>
              <w:right w:val="single" w:sz="4" w:space="0" w:color="auto"/>
            </w:tcBorders>
            <w:shd w:val="clear" w:color="auto" w:fill="auto"/>
            <w:noWrap/>
            <w:vAlign w:val="bottom"/>
            <w:hideMark/>
          </w:tcPr>
          <w:p w14:paraId="409A05FA" w14:textId="77777777" w:rsidR="005F0A18" w:rsidRPr="00A52AEE" w:rsidRDefault="005F0A18" w:rsidP="00A52AEE">
            <w:pPr>
              <w:rPr>
                <w:lang w:eastAsia="en-GB"/>
              </w:rPr>
            </w:pPr>
            <w:r w:rsidRPr="00A52AEE">
              <w:rPr>
                <w:lang w:eastAsia="en-GB"/>
              </w:rPr>
              <w:t>First degree</w:t>
            </w:r>
          </w:p>
        </w:tc>
        <w:tc>
          <w:tcPr>
            <w:tcW w:w="579" w:type="pct"/>
            <w:tcBorders>
              <w:top w:val="nil"/>
              <w:left w:val="nil"/>
              <w:bottom w:val="single" w:sz="4" w:space="0" w:color="auto"/>
              <w:right w:val="single" w:sz="4" w:space="0" w:color="auto"/>
            </w:tcBorders>
            <w:shd w:val="clear" w:color="auto" w:fill="auto"/>
            <w:noWrap/>
            <w:vAlign w:val="bottom"/>
            <w:hideMark/>
          </w:tcPr>
          <w:p w14:paraId="6FE4313E" w14:textId="77777777" w:rsidR="005F0A18" w:rsidRPr="00A52AEE" w:rsidRDefault="005F0A18" w:rsidP="001923B6">
            <w:pPr>
              <w:jc w:val="right"/>
              <w:rPr>
                <w:lang w:eastAsia="en-GB"/>
              </w:rPr>
            </w:pPr>
            <w:r w:rsidRPr="00A52AEE">
              <w:rPr>
                <w:lang w:eastAsia="en-GB"/>
              </w:rPr>
              <w:t>87%</w:t>
            </w:r>
          </w:p>
        </w:tc>
        <w:tc>
          <w:tcPr>
            <w:tcW w:w="578" w:type="pct"/>
            <w:tcBorders>
              <w:top w:val="nil"/>
              <w:left w:val="nil"/>
              <w:bottom w:val="single" w:sz="4" w:space="0" w:color="auto"/>
              <w:right w:val="single" w:sz="4" w:space="0" w:color="auto"/>
            </w:tcBorders>
            <w:shd w:val="clear" w:color="auto" w:fill="auto"/>
            <w:noWrap/>
            <w:vAlign w:val="bottom"/>
            <w:hideMark/>
          </w:tcPr>
          <w:p w14:paraId="2042072B" w14:textId="77777777" w:rsidR="005F0A18" w:rsidRPr="00A52AEE" w:rsidRDefault="005F0A18" w:rsidP="001923B6">
            <w:pPr>
              <w:jc w:val="right"/>
              <w:rPr>
                <w:lang w:eastAsia="en-GB"/>
              </w:rPr>
            </w:pPr>
            <w:r w:rsidRPr="00A52AEE">
              <w:rPr>
                <w:lang w:eastAsia="en-GB"/>
              </w:rPr>
              <w:t>87%</w:t>
            </w:r>
          </w:p>
        </w:tc>
        <w:tc>
          <w:tcPr>
            <w:tcW w:w="651" w:type="pct"/>
            <w:tcBorders>
              <w:top w:val="nil"/>
              <w:left w:val="nil"/>
              <w:bottom w:val="single" w:sz="4" w:space="0" w:color="auto"/>
              <w:right w:val="single" w:sz="4" w:space="0" w:color="auto"/>
            </w:tcBorders>
            <w:shd w:val="clear" w:color="auto" w:fill="auto"/>
            <w:noWrap/>
            <w:vAlign w:val="bottom"/>
            <w:hideMark/>
          </w:tcPr>
          <w:p w14:paraId="2019C8FA" w14:textId="77777777" w:rsidR="005F0A18" w:rsidRPr="00A52AEE" w:rsidRDefault="005F0A18" w:rsidP="001923B6">
            <w:pPr>
              <w:jc w:val="right"/>
              <w:rPr>
                <w:lang w:eastAsia="en-GB"/>
              </w:rPr>
            </w:pPr>
            <w:r w:rsidRPr="00A52AEE">
              <w:rPr>
                <w:lang w:eastAsia="en-GB"/>
              </w:rPr>
              <w:t>87%</w:t>
            </w:r>
          </w:p>
        </w:tc>
        <w:tc>
          <w:tcPr>
            <w:tcW w:w="579" w:type="pct"/>
            <w:tcBorders>
              <w:top w:val="nil"/>
              <w:left w:val="nil"/>
              <w:bottom w:val="single" w:sz="4" w:space="0" w:color="auto"/>
              <w:right w:val="single" w:sz="4" w:space="0" w:color="auto"/>
            </w:tcBorders>
            <w:shd w:val="clear" w:color="auto" w:fill="auto"/>
            <w:noWrap/>
            <w:vAlign w:val="bottom"/>
            <w:hideMark/>
          </w:tcPr>
          <w:p w14:paraId="183FD5D2" w14:textId="77777777" w:rsidR="005F0A18" w:rsidRPr="00A52AEE" w:rsidRDefault="005F0A18" w:rsidP="001923B6">
            <w:pPr>
              <w:jc w:val="right"/>
              <w:rPr>
                <w:lang w:eastAsia="en-GB"/>
              </w:rPr>
            </w:pPr>
            <w:r w:rsidRPr="00A52AEE">
              <w:rPr>
                <w:lang w:eastAsia="en-GB"/>
              </w:rPr>
              <w:t>85%</w:t>
            </w:r>
          </w:p>
        </w:tc>
        <w:tc>
          <w:tcPr>
            <w:tcW w:w="604" w:type="pct"/>
            <w:tcBorders>
              <w:top w:val="nil"/>
              <w:left w:val="nil"/>
              <w:bottom w:val="single" w:sz="4" w:space="0" w:color="auto"/>
              <w:right w:val="single" w:sz="4" w:space="0" w:color="auto"/>
            </w:tcBorders>
            <w:shd w:val="clear" w:color="auto" w:fill="auto"/>
            <w:noWrap/>
            <w:vAlign w:val="bottom"/>
            <w:hideMark/>
          </w:tcPr>
          <w:p w14:paraId="63FA9933" w14:textId="77777777" w:rsidR="005F0A18" w:rsidRPr="00A52AEE" w:rsidRDefault="005F0A18" w:rsidP="001923B6">
            <w:pPr>
              <w:jc w:val="right"/>
              <w:rPr>
                <w:lang w:eastAsia="en-GB"/>
              </w:rPr>
            </w:pPr>
            <w:r w:rsidRPr="00A52AEE">
              <w:rPr>
                <w:lang w:eastAsia="en-GB"/>
              </w:rPr>
              <w:t>81%</w:t>
            </w:r>
          </w:p>
        </w:tc>
      </w:tr>
      <w:tr w:rsidR="005F0A18" w:rsidRPr="00A52AEE" w14:paraId="46FC074C"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2B5E709E"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61131D16" w14:textId="77777777" w:rsidR="005F0A18" w:rsidRPr="00A52AEE" w:rsidRDefault="005F0A18" w:rsidP="00A52AEE">
            <w:pPr>
              <w:rPr>
                <w:lang w:eastAsia="en-GB"/>
              </w:rPr>
            </w:pPr>
            <w:r w:rsidRPr="00A52AEE">
              <w:rPr>
                <w:lang w:eastAsia="en-GB"/>
              </w:rPr>
              <w:t>Foundation degree</w:t>
            </w:r>
          </w:p>
        </w:tc>
        <w:tc>
          <w:tcPr>
            <w:tcW w:w="579" w:type="pct"/>
            <w:tcBorders>
              <w:top w:val="nil"/>
              <w:left w:val="nil"/>
              <w:bottom w:val="single" w:sz="4" w:space="0" w:color="auto"/>
              <w:right w:val="single" w:sz="4" w:space="0" w:color="auto"/>
            </w:tcBorders>
            <w:shd w:val="clear" w:color="auto" w:fill="auto"/>
            <w:noWrap/>
            <w:vAlign w:val="bottom"/>
            <w:hideMark/>
          </w:tcPr>
          <w:p w14:paraId="354FBDF8" w14:textId="77777777" w:rsidR="005F0A18" w:rsidRPr="00A52AEE" w:rsidRDefault="005F0A18" w:rsidP="001923B6">
            <w:pPr>
              <w:jc w:val="right"/>
              <w:rPr>
                <w:lang w:eastAsia="en-GB"/>
              </w:rPr>
            </w:pPr>
            <w:r w:rsidRPr="00A52AEE">
              <w:rPr>
                <w:lang w:eastAsia="en-GB"/>
              </w:rPr>
              <w:t>6%</w:t>
            </w:r>
          </w:p>
        </w:tc>
        <w:tc>
          <w:tcPr>
            <w:tcW w:w="578" w:type="pct"/>
            <w:tcBorders>
              <w:top w:val="nil"/>
              <w:left w:val="nil"/>
              <w:bottom w:val="single" w:sz="4" w:space="0" w:color="auto"/>
              <w:right w:val="single" w:sz="4" w:space="0" w:color="auto"/>
            </w:tcBorders>
            <w:shd w:val="clear" w:color="auto" w:fill="auto"/>
            <w:noWrap/>
            <w:vAlign w:val="bottom"/>
            <w:hideMark/>
          </w:tcPr>
          <w:p w14:paraId="4F3798ED" w14:textId="77777777" w:rsidR="005F0A18" w:rsidRPr="00A52AEE" w:rsidRDefault="005F0A18" w:rsidP="001923B6">
            <w:pPr>
              <w:jc w:val="right"/>
              <w:rPr>
                <w:lang w:eastAsia="en-GB"/>
              </w:rPr>
            </w:pPr>
            <w:r w:rsidRPr="00A52AEE">
              <w:rPr>
                <w:lang w:eastAsia="en-GB"/>
              </w:rPr>
              <w:t>7%</w:t>
            </w:r>
          </w:p>
        </w:tc>
        <w:tc>
          <w:tcPr>
            <w:tcW w:w="651" w:type="pct"/>
            <w:tcBorders>
              <w:top w:val="nil"/>
              <w:left w:val="nil"/>
              <w:bottom w:val="single" w:sz="4" w:space="0" w:color="auto"/>
              <w:right w:val="single" w:sz="4" w:space="0" w:color="auto"/>
            </w:tcBorders>
            <w:shd w:val="clear" w:color="auto" w:fill="auto"/>
            <w:noWrap/>
            <w:vAlign w:val="bottom"/>
            <w:hideMark/>
          </w:tcPr>
          <w:p w14:paraId="22F2A107" w14:textId="77777777" w:rsidR="005F0A18" w:rsidRPr="00A52AEE" w:rsidRDefault="005F0A18" w:rsidP="001923B6">
            <w:pPr>
              <w:jc w:val="right"/>
              <w:rPr>
                <w:lang w:eastAsia="en-GB"/>
              </w:rPr>
            </w:pPr>
            <w:r w:rsidRPr="00A52AEE">
              <w:rPr>
                <w:lang w:eastAsia="en-GB"/>
              </w:rPr>
              <w:t>7%</w:t>
            </w:r>
          </w:p>
        </w:tc>
        <w:tc>
          <w:tcPr>
            <w:tcW w:w="579" w:type="pct"/>
            <w:tcBorders>
              <w:top w:val="nil"/>
              <w:left w:val="nil"/>
              <w:bottom w:val="single" w:sz="4" w:space="0" w:color="auto"/>
              <w:right w:val="single" w:sz="4" w:space="0" w:color="auto"/>
            </w:tcBorders>
            <w:shd w:val="clear" w:color="auto" w:fill="auto"/>
            <w:noWrap/>
            <w:vAlign w:val="bottom"/>
            <w:hideMark/>
          </w:tcPr>
          <w:p w14:paraId="511856B8" w14:textId="77777777" w:rsidR="005F0A18" w:rsidRPr="00A52AEE" w:rsidRDefault="005F0A18" w:rsidP="001923B6">
            <w:pPr>
              <w:jc w:val="right"/>
              <w:rPr>
                <w:lang w:eastAsia="en-GB"/>
              </w:rPr>
            </w:pPr>
            <w:r w:rsidRPr="00A52AEE">
              <w:rPr>
                <w:lang w:eastAsia="en-GB"/>
              </w:rPr>
              <w:t>6%</w:t>
            </w:r>
          </w:p>
        </w:tc>
        <w:tc>
          <w:tcPr>
            <w:tcW w:w="604" w:type="pct"/>
            <w:tcBorders>
              <w:top w:val="nil"/>
              <w:left w:val="nil"/>
              <w:bottom w:val="single" w:sz="4" w:space="0" w:color="auto"/>
              <w:right w:val="single" w:sz="4" w:space="0" w:color="auto"/>
            </w:tcBorders>
            <w:shd w:val="clear" w:color="auto" w:fill="auto"/>
            <w:noWrap/>
            <w:vAlign w:val="bottom"/>
            <w:hideMark/>
          </w:tcPr>
          <w:p w14:paraId="2DC3AE22" w14:textId="77777777" w:rsidR="005F0A18" w:rsidRPr="00A52AEE" w:rsidRDefault="005F0A18" w:rsidP="001923B6">
            <w:pPr>
              <w:jc w:val="right"/>
              <w:rPr>
                <w:lang w:eastAsia="en-GB"/>
              </w:rPr>
            </w:pPr>
            <w:r w:rsidRPr="00A52AEE">
              <w:rPr>
                <w:lang w:eastAsia="en-GB"/>
              </w:rPr>
              <w:t>4%</w:t>
            </w:r>
          </w:p>
        </w:tc>
      </w:tr>
      <w:tr w:rsidR="005F0A18" w:rsidRPr="00A52AEE" w14:paraId="754451FE"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4DB0CA3F"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124BB259" w14:textId="77777777" w:rsidR="005F0A18" w:rsidRPr="00A52AEE" w:rsidRDefault="005F0A18" w:rsidP="00A52AEE">
            <w:pPr>
              <w:rPr>
                <w:lang w:eastAsia="en-GB"/>
              </w:rPr>
            </w:pPr>
            <w:r w:rsidRPr="00A52AEE">
              <w:rPr>
                <w:lang w:eastAsia="en-GB"/>
              </w:rPr>
              <w:t>HNC/HND</w:t>
            </w:r>
          </w:p>
        </w:tc>
        <w:tc>
          <w:tcPr>
            <w:tcW w:w="579" w:type="pct"/>
            <w:tcBorders>
              <w:top w:val="nil"/>
              <w:left w:val="nil"/>
              <w:bottom w:val="single" w:sz="4" w:space="0" w:color="auto"/>
              <w:right w:val="single" w:sz="4" w:space="0" w:color="auto"/>
            </w:tcBorders>
            <w:shd w:val="clear" w:color="auto" w:fill="auto"/>
            <w:noWrap/>
            <w:vAlign w:val="bottom"/>
            <w:hideMark/>
          </w:tcPr>
          <w:p w14:paraId="7D05C38A" w14:textId="77777777" w:rsidR="005F0A18" w:rsidRPr="00A52AEE" w:rsidRDefault="005F0A18" w:rsidP="001923B6">
            <w:pPr>
              <w:jc w:val="right"/>
              <w:rPr>
                <w:lang w:eastAsia="en-GB"/>
              </w:rPr>
            </w:pPr>
            <w:r w:rsidRPr="00A52AEE">
              <w:rPr>
                <w:lang w:eastAsia="en-GB"/>
              </w:rPr>
              <w:t>3%</w:t>
            </w:r>
          </w:p>
        </w:tc>
        <w:tc>
          <w:tcPr>
            <w:tcW w:w="578" w:type="pct"/>
            <w:tcBorders>
              <w:top w:val="nil"/>
              <w:left w:val="nil"/>
              <w:bottom w:val="single" w:sz="4" w:space="0" w:color="auto"/>
              <w:right w:val="single" w:sz="4" w:space="0" w:color="auto"/>
            </w:tcBorders>
            <w:shd w:val="clear" w:color="auto" w:fill="auto"/>
            <w:noWrap/>
            <w:vAlign w:val="bottom"/>
            <w:hideMark/>
          </w:tcPr>
          <w:p w14:paraId="612B82B6" w14:textId="77777777" w:rsidR="005F0A18" w:rsidRPr="00A52AEE" w:rsidRDefault="005F0A18" w:rsidP="001923B6">
            <w:pPr>
              <w:jc w:val="right"/>
              <w:rPr>
                <w:lang w:eastAsia="en-GB"/>
              </w:rPr>
            </w:pPr>
            <w:r w:rsidRPr="00A52AEE">
              <w:rPr>
                <w:lang w:eastAsia="en-GB"/>
              </w:rPr>
              <w:t>2%</w:t>
            </w:r>
          </w:p>
        </w:tc>
        <w:tc>
          <w:tcPr>
            <w:tcW w:w="651" w:type="pct"/>
            <w:tcBorders>
              <w:top w:val="nil"/>
              <w:left w:val="nil"/>
              <w:bottom w:val="single" w:sz="4" w:space="0" w:color="auto"/>
              <w:right w:val="single" w:sz="4" w:space="0" w:color="auto"/>
            </w:tcBorders>
            <w:shd w:val="clear" w:color="auto" w:fill="auto"/>
            <w:noWrap/>
            <w:vAlign w:val="bottom"/>
            <w:hideMark/>
          </w:tcPr>
          <w:p w14:paraId="5D426A70" w14:textId="77777777" w:rsidR="005F0A18" w:rsidRPr="00A52AEE" w:rsidRDefault="005F0A18" w:rsidP="001923B6">
            <w:pPr>
              <w:jc w:val="right"/>
              <w:rPr>
                <w:lang w:eastAsia="en-GB"/>
              </w:rPr>
            </w:pPr>
            <w:r w:rsidRPr="00A52AEE">
              <w:rPr>
                <w:lang w:eastAsia="en-GB"/>
              </w:rPr>
              <w:t>2%</w:t>
            </w:r>
          </w:p>
        </w:tc>
        <w:tc>
          <w:tcPr>
            <w:tcW w:w="579" w:type="pct"/>
            <w:tcBorders>
              <w:top w:val="nil"/>
              <w:left w:val="nil"/>
              <w:bottom w:val="single" w:sz="4" w:space="0" w:color="auto"/>
              <w:right w:val="single" w:sz="4" w:space="0" w:color="auto"/>
            </w:tcBorders>
            <w:shd w:val="clear" w:color="auto" w:fill="auto"/>
            <w:noWrap/>
            <w:vAlign w:val="bottom"/>
            <w:hideMark/>
          </w:tcPr>
          <w:p w14:paraId="57FA4139" w14:textId="77777777" w:rsidR="005F0A18" w:rsidRPr="00A52AEE" w:rsidRDefault="005F0A18" w:rsidP="001923B6">
            <w:pPr>
              <w:jc w:val="right"/>
              <w:rPr>
                <w:lang w:eastAsia="en-GB"/>
              </w:rPr>
            </w:pPr>
            <w:r w:rsidRPr="00A52AEE">
              <w:rPr>
                <w:lang w:eastAsia="en-GB"/>
              </w:rPr>
              <w:t>2%</w:t>
            </w:r>
          </w:p>
        </w:tc>
        <w:tc>
          <w:tcPr>
            <w:tcW w:w="604" w:type="pct"/>
            <w:tcBorders>
              <w:top w:val="nil"/>
              <w:left w:val="nil"/>
              <w:bottom w:val="single" w:sz="4" w:space="0" w:color="auto"/>
              <w:right w:val="single" w:sz="4" w:space="0" w:color="auto"/>
            </w:tcBorders>
            <w:shd w:val="clear" w:color="auto" w:fill="auto"/>
            <w:noWrap/>
            <w:vAlign w:val="bottom"/>
            <w:hideMark/>
          </w:tcPr>
          <w:p w14:paraId="36A50F2F" w14:textId="77777777" w:rsidR="005F0A18" w:rsidRPr="00A52AEE" w:rsidRDefault="005F0A18" w:rsidP="001923B6">
            <w:pPr>
              <w:jc w:val="right"/>
              <w:rPr>
                <w:lang w:eastAsia="en-GB"/>
              </w:rPr>
            </w:pPr>
            <w:r w:rsidRPr="00A52AEE">
              <w:rPr>
                <w:lang w:eastAsia="en-GB"/>
              </w:rPr>
              <w:t>4%</w:t>
            </w:r>
          </w:p>
        </w:tc>
      </w:tr>
      <w:tr w:rsidR="005F0A18" w:rsidRPr="00A52AEE" w14:paraId="458B1365"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590A67E5"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7F40A84F" w14:textId="77777777" w:rsidR="005F0A18" w:rsidRPr="00A52AEE" w:rsidRDefault="005F0A18" w:rsidP="00A52AEE">
            <w:pPr>
              <w:rPr>
                <w:lang w:eastAsia="en-GB"/>
              </w:rPr>
            </w:pPr>
            <w:r w:rsidRPr="00A52AEE">
              <w:rPr>
                <w:lang w:eastAsia="en-GB"/>
              </w:rPr>
              <w:t>NVQ</w:t>
            </w:r>
          </w:p>
        </w:tc>
        <w:tc>
          <w:tcPr>
            <w:tcW w:w="579" w:type="pct"/>
            <w:tcBorders>
              <w:top w:val="nil"/>
              <w:left w:val="nil"/>
              <w:bottom w:val="single" w:sz="4" w:space="0" w:color="auto"/>
              <w:right w:val="single" w:sz="4" w:space="0" w:color="auto"/>
            </w:tcBorders>
            <w:shd w:val="clear" w:color="auto" w:fill="auto"/>
            <w:noWrap/>
            <w:vAlign w:val="bottom"/>
            <w:hideMark/>
          </w:tcPr>
          <w:p w14:paraId="6E85E305"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21632EA1"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75009B0B"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3348FCEB"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121B8A08" w14:textId="77777777" w:rsidR="005F0A18" w:rsidRPr="00A52AEE" w:rsidRDefault="005F0A18" w:rsidP="001923B6">
            <w:pPr>
              <w:jc w:val="right"/>
              <w:rPr>
                <w:lang w:eastAsia="en-GB"/>
              </w:rPr>
            </w:pPr>
            <w:r w:rsidRPr="00A52AEE">
              <w:rPr>
                <w:lang w:eastAsia="en-GB"/>
              </w:rPr>
              <w:t>0%</w:t>
            </w:r>
          </w:p>
        </w:tc>
      </w:tr>
      <w:tr w:rsidR="005F0A18" w:rsidRPr="00A52AEE" w14:paraId="3EF7B9D7"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0373F644"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12BB49C0" w14:textId="77777777" w:rsidR="005F0A18" w:rsidRPr="00A52AEE" w:rsidRDefault="005F0A18" w:rsidP="00A52AEE">
            <w:pPr>
              <w:rPr>
                <w:lang w:eastAsia="en-GB"/>
              </w:rPr>
            </w:pPr>
            <w:r w:rsidRPr="00A52AEE">
              <w:rPr>
                <w:lang w:eastAsia="en-GB"/>
              </w:rPr>
              <w:t>Other undergraduate</w:t>
            </w:r>
          </w:p>
        </w:tc>
        <w:tc>
          <w:tcPr>
            <w:tcW w:w="579" w:type="pct"/>
            <w:tcBorders>
              <w:top w:val="nil"/>
              <w:left w:val="nil"/>
              <w:bottom w:val="single" w:sz="4" w:space="0" w:color="auto"/>
              <w:right w:val="single" w:sz="4" w:space="0" w:color="auto"/>
            </w:tcBorders>
            <w:shd w:val="clear" w:color="auto" w:fill="auto"/>
            <w:noWrap/>
            <w:vAlign w:val="bottom"/>
            <w:hideMark/>
          </w:tcPr>
          <w:p w14:paraId="36090352" w14:textId="77777777" w:rsidR="005F0A18" w:rsidRPr="00A52AEE" w:rsidRDefault="005F0A18" w:rsidP="001923B6">
            <w:pPr>
              <w:jc w:val="right"/>
              <w:rPr>
                <w:lang w:eastAsia="en-GB"/>
              </w:rPr>
            </w:pPr>
            <w:r w:rsidRPr="00A52AEE">
              <w:rPr>
                <w:lang w:eastAsia="en-GB"/>
              </w:rPr>
              <w:t>4%</w:t>
            </w:r>
          </w:p>
        </w:tc>
        <w:tc>
          <w:tcPr>
            <w:tcW w:w="578" w:type="pct"/>
            <w:tcBorders>
              <w:top w:val="nil"/>
              <w:left w:val="nil"/>
              <w:bottom w:val="single" w:sz="4" w:space="0" w:color="auto"/>
              <w:right w:val="single" w:sz="4" w:space="0" w:color="auto"/>
            </w:tcBorders>
            <w:shd w:val="clear" w:color="auto" w:fill="auto"/>
            <w:noWrap/>
            <w:vAlign w:val="bottom"/>
            <w:hideMark/>
          </w:tcPr>
          <w:p w14:paraId="12D13FF3" w14:textId="77777777" w:rsidR="005F0A18" w:rsidRPr="00A52AEE" w:rsidRDefault="005F0A18" w:rsidP="001923B6">
            <w:pPr>
              <w:jc w:val="right"/>
              <w:rPr>
                <w:lang w:eastAsia="en-GB"/>
              </w:rPr>
            </w:pPr>
            <w:r w:rsidRPr="00A52AEE">
              <w:rPr>
                <w:lang w:eastAsia="en-GB"/>
              </w:rPr>
              <w:t>4%</w:t>
            </w:r>
          </w:p>
        </w:tc>
        <w:tc>
          <w:tcPr>
            <w:tcW w:w="651" w:type="pct"/>
            <w:tcBorders>
              <w:top w:val="nil"/>
              <w:left w:val="nil"/>
              <w:bottom w:val="single" w:sz="4" w:space="0" w:color="auto"/>
              <w:right w:val="single" w:sz="4" w:space="0" w:color="auto"/>
            </w:tcBorders>
            <w:shd w:val="clear" w:color="auto" w:fill="auto"/>
            <w:noWrap/>
            <w:vAlign w:val="bottom"/>
            <w:hideMark/>
          </w:tcPr>
          <w:p w14:paraId="008F1AFB" w14:textId="77777777" w:rsidR="005F0A18" w:rsidRPr="00A52AEE" w:rsidRDefault="005F0A18" w:rsidP="001923B6">
            <w:pPr>
              <w:jc w:val="right"/>
              <w:rPr>
                <w:lang w:eastAsia="en-GB"/>
              </w:rPr>
            </w:pPr>
            <w:r w:rsidRPr="00A52AEE">
              <w:rPr>
                <w:lang w:eastAsia="en-GB"/>
              </w:rPr>
              <w:t>4%</w:t>
            </w:r>
          </w:p>
        </w:tc>
        <w:tc>
          <w:tcPr>
            <w:tcW w:w="579" w:type="pct"/>
            <w:tcBorders>
              <w:top w:val="nil"/>
              <w:left w:val="nil"/>
              <w:bottom w:val="single" w:sz="4" w:space="0" w:color="auto"/>
              <w:right w:val="single" w:sz="4" w:space="0" w:color="auto"/>
            </w:tcBorders>
            <w:shd w:val="clear" w:color="auto" w:fill="auto"/>
            <w:noWrap/>
            <w:vAlign w:val="bottom"/>
            <w:hideMark/>
          </w:tcPr>
          <w:p w14:paraId="0D0AD086" w14:textId="77777777" w:rsidR="005F0A18" w:rsidRPr="00A52AEE" w:rsidRDefault="005F0A18" w:rsidP="001923B6">
            <w:pPr>
              <w:jc w:val="right"/>
              <w:rPr>
                <w:lang w:eastAsia="en-GB"/>
              </w:rPr>
            </w:pPr>
            <w:r w:rsidRPr="00A52AEE">
              <w:rPr>
                <w:lang w:eastAsia="en-GB"/>
              </w:rPr>
              <w:t>7%</w:t>
            </w:r>
          </w:p>
        </w:tc>
        <w:tc>
          <w:tcPr>
            <w:tcW w:w="604" w:type="pct"/>
            <w:tcBorders>
              <w:top w:val="nil"/>
              <w:left w:val="nil"/>
              <w:bottom w:val="single" w:sz="4" w:space="0" w:color="auto"/>
              <w:right w:val="single" w:sz="4" w:space="0" w:color="auto"/>
            </w:tcBorders>
            <w:shd w:val="clear" w:color="auto" w:fill="auto"/>
            <w:noWrap/>
            <w:vAlign w:val="bottom"/>
            <w:hideMark/>
          </w:tcPr>
          <w:p w14:paraId="72EE6724" w14:textId="77777777" w:rsidR="005F0A18" w:rsidRPr="00A52AEE" w:rsidRDefault="005F0A18" w:rsidP="001923B6">
            <w:pPr>
              <w:jc w:val="right"/>
              <w:rPr>
                <w:lang w:eastAsia="en-GB"/>
              </w:rPr>
            </w:pPr>
            <w:r w:rsidRPr="00A52AEE">
              <w:rPr>
                <w:lang w:eastAsia="en-GB"/>
              </w:rPr>
              <w:t>10%</w:t>
            </w:r>
          </w:p>
        </w:tc>
      </w:tr>
      <w:tr w:rsidR="005F0A18" w:rsidRPr="00A52AEE" w14:paraId="25827FB8"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40A14299"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0584CB17" w14:textId="77777777" w:rsidR="005F0A18" w:rsidRPr="00A52AEE" w:rsidRDefault="005F0A18" w:rsidP="00A52AEE">
            <w:pPr>
              <w:rPr>
                <w:lang w:eastAsia="en-GB"/>
              </w:rPr>
            </w:pPr>
            <w:r w:rsidRPr="00A52AEE">
              <w:rPr>
                <w:lang w:eastAsia="en-GB"/>
              </w:rPr>
              <w:t>Postgraduate</w:t>
            </w:r>
          </w:p>
        </w:tc>
        <w:tc>
          <w:tcPr>
            <w:tcW w:w="579" w:type="pct"/>
            <w:tcBorders>
              <w:top w:val="nil"/>
              <w:left w:val="nil"/>
              <w:bottom w:val="single" w:sz="4" w:space="0" w:color="auto"/>
              <w:right w:val="single" w:sz="4" w:space="0" w:color="auto"/>
            </w:tcBorders>
            <w:shd w:val="clear" w:color="auto" w:fill="auto"/>
            <w:noWrap/>
            <w:vAlign w:val="bottom"/>
            <w:hideMark/>
          </w:tcPr>
          <w:p w14:paraId="526FED39"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2AEC8291"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4E59CCDE"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66153278"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563E0CEB" w14:textId="77777777" w:rsidR="005F0A18" w:rsidRPr="00A52AEE" w:rsidRDefault="005F0A18" w:rsidP="001923B6">
            <w:pPr>
              <w:jc w:val="right"/>
              <w:rPr>
                <w:lang w:eastAsia="en-GB"/>
              </w:rPr>
            </w:pPr>
            <w:r w:rsidRPr="00A52AEE">
              <w:rPr>
                <w:lang w:eastAsia="en-GB"/>
              </w:rPr>
              <w:t>0%</w:t>
            </w:r>
          </w:p>
        </w:tc>
      </w:tr>
      <w:tr w:rsidR="005F0A18" w:rsidRPr="00A52AEE" w14:paraId="0922E9B4" w14:textId="77777777" w:rsidTr="00D2390D">
        <w:trPr>
          <w:trHeight w:val="315"/>
        </w:trPr>
        <w:tc>
          <w:tcPr>
            <w:tcW w:w="7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6A8259" w14:textId="7B62A480" w:rsidR="005F0A18" w:rsidRPr="005E08C9" w:rsidRDefault="005F0A18" w:rsidP="00A52AEE">
            <w:pPr>
              <w:rPr>
                <w:b/>
                <w:lang w:eastAsia="en-GB"/>
              </w:rPr>
            </w:pPr>
            <w:r w:rsidRPr="005E08C9">
              <w:rPr>
                <w:b/>
                <w:lang w:eastAsia="en-GB"/>
              </w:rPr>
              <w:t>GCE A Level/IB</w:t>
            </w:r>
          </w:p>
        </w:tc>
        <w:tc>
          <w:tcPr>
            <w:tcW w:w="1230" w:type="pct"/>
            <w:tcBorders>
              <w:top w:val="nil"/>
              <w:left w:val="nil"/>
              <w:bottom w:val="single" w:sz="4" w:space="0" w:color="auto"/>
              <w:right w:val="single" w:sz="4" w:space="0" w:color="auto"/>
            </w:tcBorders>
            <w:shd w:val="clear" w:color="auto" w:fill="auto"/>
            <w:noWrap/>
            <w:vAlign w:val="bottom"/>
            <w:hideMark/>
          </w:tcPr>
          <w:p w14:paraId="03175545" w14:textId="77777777" w:rsidR="005F0A18" w:rsidRPr="00A52AEE" w:rsidRDefault="005F0A18" w:rsidP="00A52AEE">
            <w:pPr>
              <w:rPr>
                <w:lang w:eastAsia="en-GB"/>
              </w:rPr>
            </w:pPr>
            <w:r w:rsidRPr="00A52AEE">
              <w:rPr>
                <w:lang w:eastAsia="en-GB"/>
              </w:rPr>
              <w:t>First degree</w:t>
            </w:r>
          </w:p>
        </w:tc>
        <w:tc>
          <w:tcPr>
            <w:tcW w:w="579" w:type="pct"/>
            <w:tcBorders>
              <w:top w:val="nil"/>
              <w:left w:val="nil"/>
              <w:bottom w:val="single" w:sz="4" w:space="0" w:color="auto"/>
              <w:right w:val="single" w:sz="4" w:space="0" w:color="auto"/>
            </w:tcBorders>
            <w:shd w:val="clear" w:color="auto" w:fill="auto"/>
            <w:noWrap/>
            <w:vAlign w:val="bottom"/>
            <w:hideMark/>
          </w:tcPr>
          <w:p w14:paraId="312EEFBD" w14:textId="77777777" w:rsidR="005F0A18" w:rsidRPr="00A52AEE" w:rsidRDefault="005F0A18" w:rsidP="001923B6">
            <w:pPr>
              <w:jc w:val="right"/>
              <w:rPr>
                <w:lang w:eastAsia="en-GB"/>
              </w:rPr>
            </w:pPr>
            <w:r w:rsidRPr="00A52AEE">
              <w:rPr>
                <w:lang w:eastAsia="en-GB"/>
              </w:rPr>
              <w:t>97%</w:t>
            </w:r>
          </w:p>
        </w:tc>
        <w:tc>
          <w:tcPr>
            <w:tcW w:w="578" w:type="pct"/>
            <w:tcBorders>
              <w:top w:val="nil"/>
              <w:left w:val="nil"/>
              <w:bottom w:val="single" w:sz="4" w:space="0" w:color="auto"/>
              <w:right w:val="single" w:sz="4" w:space="0" w:color="auto"/>
            </w:tcBorders>
            <w:shd w:val="clear" w:color="auto" w:fill="auto"/>
            <w:noWrap/>
            <w:vAlign w:val="bottom"/>
            <w:hideMark/>
          </w:tcPr>
          <w:p w14:paraId="70AFFDED" w14:textId="77777777" w:rsidR="005F0A18" w:rsidRPr="00A52AEE" w:rsidRDefault="005F0A18" w:rsidP="001923B6">
            <w:pPr>
              <w:jc w:val="right"/>
              <w:rPr>
                <w:lang w:eastAsia="en-GB"/>
              </w:rPr>
            </w:pPr>
            <w:r w:rsidRPr="00A52AEE">
              <w:rPr>
                <w:lang w:eastAsia="en-GB"/>
              </w:rPr>
              <w:t>97%</w:t>
            </w:r>
          </w:p>
        </w:tc>
        <w:tc>
          <w:tcPr>
            <w:tcW w:w="651" w:type="pct"/>
            <w:tcBorders>
              <w:top w:val="nil"/>
              <w:left w:val="nil"/>
              <w:bottom w:val="single" w:sz="4" w:space="0" w:color="auto"/>
              <w:right w:val="single" w:sz="4" w:space="0" w:color="auto"/>
            </w:tcBorders>
            <w:shd w:val="clear" w:color="auto" w:fill="auto"/>
            <w:noWrap/>
            <w:vAlign w:val="bottom"/>
            <w:hideMark/>
          </w:tcPr>
          <w:p w14:paraId="2AAD5CE4" w14:textId="77777777" w:rsidR="005F0A18" w:rsidRPr="00A52AEE" w:rsidRDefault="005F0A18" w:rsidP="001923B6">
            <w:pPr>
              <w:jc w:val="right"/>
              <w:rPr>
                <w:lang w:eastAsia="en-GB"/>
              </w:rPr>
            </w:pPr>
            <w:r w:rsidRPr="00A52AEE">
              <w:rPr>
                <w:lang w:eastAsia="en-GB"/>
              </w:rPr>
              <w:t>96%</w:t>
            </w:r>
          </w:p>
        </w:tc>
        <w:tc>
          <w:tcPr>
            <w:tcW w:w="579" w:type="pct"/>
            <w:tcBorders>
              <w:top w:val="nil"/>
              <w:left w:val="nil"/>
              <w:bottom w:val="single" w:sz="4" w:space="0" w:color="auto"/>
              <w:right w:val="single" w:sz="4" w:space="0" w:color="auto"/>
            </w:tcBorders>
            <w:shd w:val="clear" w:color="auto" w:fill="auto"/>
            <w:noWrap/>
            <w:vAlign w:val="bottom"/>
            <w:hideMark/>
          </w:tcPr>
          <w:p w14:paraId="57D170F7" w14:textId="77777777" w:rsidR="005F0A18" w:rsidRPr="00A52AEE" w:rsidRDefault="005F0A18" w:rsidP="001923B6">
            <w:pPr>
              <w:jc w:val="right"/>
              <w:rPr>
                <w:lang w:eastAsia="en-GB"/>
              </w:rPr>
            </w:pPr>
            <w:r w:rsidRPr="00A52AEE">
              <w:rPr>
                <w:lang w:eastAsia="en-GB"/>
              </w:rPr>
              <w:t>96%</w:t>
            </w:r>
          </w:p>
        </w:tc>
        <w:tc>
          <w:tcPr>
            <w:tcW w:w="604" w:type="pct"/>
            <w:tcBorders>
              <w:top w:val="nil"/>
              <w:left w:val="nil"/>
              <w:bottom w:val="single" w:sz="4" w:space="0" w:color="auto"/>
              <w:right w:val="single" w:sz="4" w:space="0" w:color="auto"/>
            </w:tcBorders>
            <w:shd w:val="clear" w:color="auto" w:fill="auto"/>
            <w:noWrap/>
            <w:vAlign w:val="bottom"/>
            <w:hideMark/>
          </w:tcPr>
          <w:p w14:paraId="18E7A147" w14:textId="77777777" w:rsidR="005F0A18" w:rsidRPr="00A52AEE" w:rsidRDefault="005F0A18" w:rsidP="001923B6">
            <w:pPr>
              <w:jc w:val="right"/>
              <w:rPr>
                <w:lang w:eastAsia="en-GB"/>
              </w:rPr>
            </w:pPr>
            <w:r w:rsidRPr="00A52AEE">
              <w:rPr>
                <w:lang w:eastAsia="en-GB"/>
              </w:rPr>
              <w:t>96%</w:t>
            </w:r>
          </w:p>
        </w:tc>
      </w:tr>
      <w:tr w:rsidR="005F0A18" w:rsidRPr="00A52AEE" w14:paraId="6ED235FF"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1B6C47C1"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240974C8" w14:textId="77777777" w:rsidR="005F0A18" w:rsidRPr="00A52AEE" w:rsidRDefault="005F0A18" w:rsidP="00A52AEE">
            <w:pPr>
              <w:rPr>
                <w:lang w:eastAsia="en-GB"/>
              </w:rPr>
            </w:pPr>
            <w:r w:rsidRPr="00A52AEE">
              <w:rPr>
                <w:lang w:eastAsia="en-GB"/>
              </w:rPr>
              <w:t>Foundation degree</w:t>
            </w:r>
          </w:p>
        </w:tc>
        <w:tc>
          <w:tcPr>
            <w:tcW w:w="579" w:type="pct"/>
            <w:tcBorders>
              <w:top w:val="nil"/>
              <w:left w:val="nil"/>
              <w:bottom w:val="single" w:sz="4" w:space="0" w:color="auto"/>
              <w:right w:val="single" w:sz="4" w:space="0" w:color="auto"/>
            </w:tcBorders>
            <w:shd w:val="clear" w:color="auto" w:fill="auto"/>
            <w:noWrap/>
            <w:vAlign w:val="bottom"/>
            <w:hideMark/>
          </w:tcPr>
          <w:p w14:paraId="19D1E2F1" w14:textId="77777777" w:rsidR="005F0A18" w:rsidRPr="00A52AEE" w:rsidRDefault="005F0A18" w:rsidP="001923B6">
            <w:pPr>
              <w:jc w:val="right"/>
              <w:rPr>
                <w:lang w:eastAsia="en-GB"/>
              </w:rPr>
            </w:pPr>
            <w:r w:rsidRPr="00A52AEE">
              <w:rPr>
                <w:lang w:eastAsia="en-GB"/>
              </w:rPr>
              <w:t>1%</w:t>
            </w:r>
          </w:p>
        </w:tc>
        <w:tc>
          <w:tcPr>
            <w:tcW w:w="578" w:type="pct"/>
            <w:tcBorders>
              <w:top w:val="nil"/>
              <w:left w:val="nil"/>
              <w:bottom w:val="single" w:sz="4" w:space="0" w:color="auto"/>
              <w:right w:val="single" w:sz="4" w:space="0" w:color="auto"/>
            </w:tcBorders>
            <w:shd w:val="clear" w:color="auto" w:fill="auto"/>
            <w:noWrap/>
            <w:vAlign w:val="bottom"/>
            <w:hideMark/>
          </w:tcPr>
          <w:p w14:paraId="23FBF991" w14:textId="77777777" w:rsidR="005F0A18" w:rsidRPr="00A52AEE" w:rsidRDefault="005F0A18" w:rsidP="001923B6">
            <w:pPr>
              <w:jc w:val="right"/>
              <w:rPr>
                <w:lang w:eastAsia="en-GB"/>
              </w:rPr>
            </w:pPr>
            <w:r w:rsidRPr="00A52AEE">
              <w:rPr>
                <w:lang w:eastAsia="en-GB"/>
              </w:rPr>
              <w:t>1%</w:t>
            </w:r>
          </w:p>
        </w:tc>
        <w:tc>
          <w:tcPr>
            <w:tcW w:w="651" w:type="pct"/>
            <w:tcBorders>
              <w:top w:val="nil"/>
              <w:left w:val="nil"/>
              <w:bottom w:val="single" w:sz="4" w:space="0" w:color="auto"/>
              <w:right w:val="single" w:sz="4" w:space="0" w:color="auto"/>
            </w:tcBorders>
            <w:shd w:val="clear" w:color="auto" w:fill="auto"/>
            <w:noWrap/>
            <w:vAlign w:val="bottom"/>
            <w:hideMark/>
          </w:tcPr>
          <w:p w14:paraId="14A1E421" w14:textId="77777777" w:rsidR="005F0A18" w:rsidRPr="00A52AEE" w:rsidRDefault="005F0A18" w:rsidP="001923B6">
            <w:pPr>
              <w:jc w:val="right"/>
              <w:rPr>
                <w:lang w:eastAsia="en-GB"/>
              </w:rPr>
            </w:pPr>
            <w:r w:rsidRPr="00A52AEE">
              <w:rPr>
                <w:lang w:eastAsia="en-GB"/>
              </w:rPr>
              <w:t>2%</w:t>
            </w:r>
          </w:p>
        </w:tc>
        <w:tc>
          <w:tcPr>
            <w:tcW w:w="579" w:type="pct"/>
            <w:tcBorders>
              <w:top w:val="nil"/>
              <w:left w:val="nil"/>
              <w:bottom w:val="single" w:sz="4" w:space="0" w:color="auto"/>
              <w:right w:val="single" w:sz="4" w:space="0" w:color="auto"/>
            </w:tcBorders>
            <w:shd w:val="clear" w:color="auto" w:fill="auto"/>
            <w:noWrap/>
            <w:vAlign w:val="bottom"/>
            <w:hideMark/>
          </w:tcPr>
          <w:p w14:paraId="21B97F29" w14:textId="77777777" w:rsidR="005F0A18" w:rsidRPr="00A52AEE" w:rsidRDefault="005F0A18" w:rsidP="001923B6">
            <w:pPr>
              <w:jc w:val="right"/>
              <w:rPr>
                <w:lang w:eastAsia="en-GB"/>
              </w:rPr>
            </w:pPr>
            <w:r w:rsidRPr="00A52AEE">
              <w:rPr>
                <w:lang w:eastAsia="en-GB"/>
              </w:rPr>
              <w:t>2%</w:t>
            </w:r>
          </w:p>
        </w:tc>
        <w:tc>
          <w:tcPr>
            <w:tcW w:w="604" w:type="pct"/>
            <w:tcBorders>
              <w:top w:val="nil"/>
              <w:left w:val="nil"/>
              <w:bottom w:val="single" w:sz="4" w:space="0" w:color="auto"/>
              <w:right w:val="single" w:sz="4" w:space="0" w:color="auto"/>
            </w:tcBorders>
            <w:shd w:val="clear" w:color="auto" w:fill="auto"/>
            <w:noWrap/>
            <w:vAlign w:val="bottom"/>
            <w:hideMark/>
          </w:tcPr>
          <w:p w14:paraId="64501212" w14:textId="77777777" w:rsidR="005F0A18" w:rsidRPr="00A52AEE" w:rsidRDefault="005F0A18" w:rsidP="001923B6">
            <w:pPr>
              <w:jc w:val="right"/>
              <w:rPr>
                <w:lang w:eastAsia="en-GB"/>
              </w:rPr>
            </w:pPr>
            <w:r w:rsidRPr="00A52AEE">
              <w:rPr>
                <w:lang w:eastAsia="en-GB"/>
              </w:rPr>
              <w:t>2%</w:t>
            </w:r>
          </w:p>
        </w:tc>
      </w:tr>
      <w:tr w:rsidR="005F0A18" w:rsidRPr="00A52AEE" w14:paraId="12EB5DFD"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116E6256"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52BF49E5" w14:textId="77777777" w:rsidR="005F0A18" w:rsidRPr="00A52AEE" w:rsidRDefault="005F0A18" w:rsidP="00A52AEE">
            <w:pPr>
              <w:rPr>
                <w:lang w:eastAsia="en-GB"/>
              </w:rPr>
            </w:pPr>
            <w:r w:rsidRPr="00A52AEE">
              <w:rPr>
                <w:lang w:eastAsia="en-GB"/>
              </w:rPr>
              <w:t>HNC/HND</w:t>
            </w:r>
          </w:p>
        </w:tc>
        <w:tc>
          <w:tcPr>
            <w:tcW w:w="579" w:type="pct"/>
            <w:tcBorders>
              <w:top w:val="nil"/>
              <w:left w:val="nil"/>
              <w:bottom w:val="single" w:sz="4" w:space="0" w:color="auto"/>
              <w:right w:val="single" w:sz="4" w:space="0" w:color="auto"/>
            </w:tcBorders>
            <w:shd w:val="clear" w:color="auto" w:fill="auto"/>
            <w:noWrap/>
            <w:vAlign w:val="bottom"/>
            <w:hideMark/>
          </w:tcPr>
          <w:p w14:paraId="0F82A911"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229CA09C"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6DCA3352"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011FC8E7"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3B6AFFFD" w14:textId="77777777" w:rsidR="005F0A18" w:rsidRPr="00A52AEE" w:rsidRDefault="005F0A18" w:rsidP="001923B6">
            <w:pPr>
              <w:jc w:val="right"/>
              <w:rPr>
                <w:lang w:eastAsia="en-GB"/>
              </w:rPr>
            </w:pPr>
            <w:r w:rsidRPr="00A52AEE">
              <w:rPr>
                <w:lang w:eastAsia="en-GB"/>
              </w:rPr>
              <w:t>1%</w:t>
            </w:r>
          </w:p>
        </w:tc>
      </w:tr>
      <w:tr w:rsidR="005F0A18" w:rsidRPr="00A52AEE" w14:paraId="7B3AB0C6"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6A816004"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004D60A2" w14:textId="77777777" w:rsidR="005F0A18" w:rsidRPr="00A52AEE" w:rsidRDefault="005F0A18" w:rsidP="00A52AEE">
            <w:pPr>
              <w:rPr>
                <w:lang w:eastAsia="en-GB"/>
              </w:rPr>
            </w:pPr>
            <w:r w:rsidRPr="00A52AEE">
              <w:rPr>
                <w:lang w:eastAsia="en-GB"/>
              </w:rPr>
              <w:t>NVQ</w:t>
            </w:r>
          </w:p>
        </w:tc>
        <w:tc>
          <w:tcPr>
            <w:tcW w:w="579" w:type="pct"/>
            <w:tcBorders>
              <w:top w:val="nil"/>
              <w:left w:val="nil"/>
              <w:bottom w:val="single" w:sz="4" w:space="0" w:color="auto"/>
              <w:right w:val="single" w:sz="4" w:space="0" w:color="auto"/>
            </w:tcBorders>
            <w:shd w:val="clear" w:color="auto" w:fill="auto"/>
            <w:noWrap/>
            <w:vAlign w:val="bottom"/>
            <w:hideMark/>
          </w:tcPr>
          <w:p w14:paraId="3380DEE6"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71F3F24C"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36A3468B"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30D622EE"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2206D589" w14:textId="77777777" w:rsidR="005F0A18" w:rsidRPr="00A52AEE" w:rsidRDefault="005F0A18" w:rsidP="001923B6">
            <w:pPr>
              <w:jc w:val="right"/>
              <w:rPr>
                <w:lang w:eastAsia="en-GB"/>
              </w:rPr>
            </w:pPr>
            <w:r w:rsidRPr="00A52AEE">
              <w:rPr>
                <w:lang w:eastAsia="en-GB"/>
              </w:rPr>
              <w:t>0%</w:t>
            </w:r>
          </w:p>
        </w:tc>
      </w:tr>
      <w:tr w:rsidR="005F0A18" w:rsidRPr="00A52AEE" w14:paraId="681124CC"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159C8B20"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31921362" w14:textId="77777777" w:rsidR="005F0A18" w:rsidRPr="00A52AEE" w:rsidRDefault="005F0A18" w:rsidP="00A52AEE">
            <w:pPr>
              <w:rPr>
                <w:lang w:eastAsia="en-GB"/>
              </w:rPr>
            </w:pPr>
            <w:r w:rsidRPr="00A52AEE">
              <w:rPr>
                <w:lang w:eastAsia="en-GB"/>
              </w:rPr>
              <w:t>Other undergraduate</w:t>
            </w:r>
          </w:p>
        </w:tc>
        <w:tc>
          <w:tcPr>
            <w:tcW w:w="579" w:type="pct"/>
            <w:tcBorders>
              <w:top w:val="nil"/>
              <w:left w:val="nil"/>
              <w:bottom w:val="single" w:sz="4" w:space="0" w:color="auto"/>
              <w:right w:val="single" w:sz="4" w:space="0" w:color="auto"/>
            </w:tcBorders>
            <w:shd w:val="clear" w:color="auto" w:fill="auto"/>
            <w:noWrap/>
            <w:vAlign w:val="bottom"/>
            <w:hideMark/>
          </w:tcPr>
          <w:p w14:paraId="4BFE5863" w14:textId="77777777" w:rsidR="005F0A18" w:rsidRPr="00A52AEE" w:rsidRDefault="005F0A18" w:rsidP="001923B6">
            <w:pPr>
              <w:jc w:val="right"/>
              <w:rPr>
                <w:lang w:eastAsia="en-GB"/>
              </w:rPr>
            </w:pPr>
            <w:r w:rsidRPr="00A52AEE">
              <w:rPr>
                <w:lang w:eastAsia="en-GB"/>
              </w:rPr>
              <w:t>1%</w:t>
            </w:r>
          </w:p>
        </w:tc>
        <w:tc>
          <w:tcPr>
            <w:tcW w:w="578" w:type="pct"/>
            <w:tcBorders>
              <w:top w:val="nil"/>
              <w:left w:val="nil"/>
              <w:bottom w:val="single" w:sz="4" w:space="0" w:color="auto"/>
              <w:right w:val="single" w:sz="4" w:space="0" w:color="auto"/>
            </w:tcBorders>
            <w:shd w:val="clear" w:color="auto" w:fill="auto"/>
            <w:noWrap/>
            <w:vAlign w:val="bottom"/>
            <w:hideMark/>
          </w:tcPr>
          <w:p w14:paraId="7791BA3C" w14:textId="77777777" w:rsidR="005F0A18" w:rsidRPr="00A52AEE" w:rsidRDefault="005F0A18" w:rsidP="001923B6">
            <w:pPr>
              <w:jc w:val="right"/>
              <w:rPr>
                <w:lang w:eastAsia="en-GB"/>
              </w:rPr>
            </w:pPr>
            <w:r w:rsidRPr="00A52AEE">
              <w:rPr>
                <w:lang w:eastAsia="en-GB"/>
              </w:rPr>
              <w:t>1%</w:t>
            </w:r>
          </w:p>
        </w:tc>
        <w:tc>
          <w:tcPr>
            <w:tcW w:w="651" w:type="pct"/>
            <w:tcBorders>
              <w:top w:val="nil"/>
              <w:left w:val="nil"/>
              <w:bottom w:val="single" w:sz="4" w:space="0" w:color="auto"/>
              <w:right w:val="single" w:sz="4" w:space="0" w:color="auto"/>
            </w:tcBorders>
            <w:shd w:val="clear" w:color="auto" w:fill="auto"/>
            <w:noWrap/>
            <w:vAlign w:val="bottom"/>
            <w:hideMark/>
          </w:tcPr>
          <w:p w14:paraId="2CA27BB2" w14:textId="77777777" w:rsidR="005F0A18" w:rsidRPr="00A52AEE" w:rsidRDefault="005F0A18" w:rsidP="001923B6">
            <w:pPr>
              <w:jc w:val="right"/>
              <w:rPr>
                <w:lang w:eastAsia="en-GB"/>
              </w:rPr>
            </w:pPr>
            <w:r w:rsidRPr="00A52AEE">
              <w:rPr>
                <w:lang w:eastAsia="en-GB"/>
              </w:rPr>
              <w:t>1%</w:t>
            </w:r>
          </w:p>
        </w:tc>
        <w:tc>
          <w:tcPr>
            <w:tcW w:w="579" w:type="pct"/>
            <w:tcBorders>
              <w:top w:val="nil"/>
              <w:left w:val="nil"/>
              <w:bottom w:val="single" w:sz="4" w:space="0" w:color="auto"/>
              <w:right w:val="single" w:sz="4" w:space="0" w:color="auto"/>
            </w:tcBorders>
            <w:shd w:val="clear" w:color="auto" w:fill="auto"/>
            <w:noWrap/>
            <w:vAlign w:val="bottom"/>
            <w:hideMark/>
          </w:tcPr>
          <w:p w14:paraId="707024B7" w14:textId="77777777" w:rsidR="005F0A18" w:rsidRPr="00A52AEE" w:rsidRDefault="005F0A18" w:rsidP="001923B6">
            <w:pPr>
              <w:jc w:val="right"/>
              <w:rPr>
                <w:lang w:eastAsia="en-GB"/>
              </w:rPr>
            </w:pPr>
            <w:r w:rsidRPr="00A52AEE">
              <w:rPr>
                <w:lang w:eastAsia="en-GB"/>
              </w:rPr>
              <w:t>1%</w:t>
            </w:r>
          </w:p>
        </w:tc>
        <w:tc>
          <w:tcPr>
            <w:tcW w:w="604" w:type="pct"/>
            <w:tcBorders>
              <w:top w:val="nil"/>
              <w:left w:val="nil"/>
              <w:bottom w:val="single" w:sz="4" w:space="0" w:color="auto"/>
              <w:right w:val="single" w:sz="4" w:space="0" w:color="auto"/>
            </w:tcBorders>
            <w:shd w:val="clear" w:color="auto" w:fill="auto"/>
            <w:noWrap/>
            <w:vAlign w:val="bottom"/>
            <w:hideMark/>
          </w:tcPr>
          <w:p w14:paraId="193D8482" w14:textId="77777777" w:rsidR="005F0A18" w:rsidRPr="00A52AEE" w:rsidRDefault="005F0A18" w:rsidP="001923B6">
            <w:pPr>
              <w:jc w:val="right"/>
              <w:rPr>
                <w:lang w:eastAsia="en-GB"/>
              </w:rPr>
            </w:pPr>
            <w:r w:rsidRPr="00A52AEE">
              <w:rPr>
                <w:lang w:eastAsia="en-GB"/>
              </w:rPr>
              <w:t>2%</w:t>
            </w:r>
          </w:p>
        </w:tc>
      </w:tr>
      <w:tr w:rsidR="005F0A18" w:rsidRPr="00A52AEE" w14:paraId="25429C9E"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74BDA170" w14:textId="77777777" w:rsidR="005F0A18" w:rsidRPr="005E08C9" w:rsidRDefault="005F0A18" w:rsidP="00A52AEE">
            <w:pPr>
              <w:rPr>
                <w:b/>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29E74524" w14:textId="77777777" w:rsidR="005F0A18" w:rsidRPr="00A52AEE" w:rsidRDefault="005F0A18" w:rsidP="00A52AEE">
            <w:pPr>
              <w:rPr>
                <w:lang w:eastAsia="en-GB"/>
              </w:rPr>
            </w:pPr>
            <w:r w:rsidRPr="00A52AEE">
              <w:rPr>
                <w:lang w:eastAsia="en-GB"/>
              </w:rPr>
              <w:t>Postgraduate</w:t>
            </w:r>
          </w:p>
        </w:tc>
        <w:tc>
          <w:tcPr>
            <w:tcW w:w="579" w:type="pct"/>
            <w:tcBorders>
              <w:top w:val="nil"/>
              <w:left w:val="nil"/>
              <w:bottom w:val="single" w:sz="4" w:space="0" w:color="auto"/>
              <w:right w:val="single" w:sz="4" w:space="0" w:color="auto"/>
            </w:tcBorders>
            <w:shd w:val="clear" w:color="auto" w:fill="auto"/>
            <w:noWrap/>
            <w:vAlign w:val="bottom"/>
            <w:hideMark/>
          </w:tcPr>
          <w:p w14:paraId="28544EDF"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45627DDA" w14:textId="77777777" w:rsidR="005F0A18" w:rsidRPr="00A52AEE" w:rsidRDefault="005F0A18" w:rsidP="001923B6">
            <w:pPr>
              <w:jc w:val="right"/>
              <w:rPr>
                <w:lang w:eastAsia="en-GB"/>
              </w:rPr>
            </w:pPr>
            <w:r w:rsidRPr="00A52AEE">
              <w:rPr>
                <w:lang w:eastAsia="en-GB"/>
              </w:rPr>
              <w:t>0%</w:t>
            </w:r>
          </w:p>
        </w:tc>
        <w:tc>
          <w:tcPr>
            <w:tcW w:w="651" w:type="pct"/>
            <w:tcBorders>
              <w:top w:val="nil"/>
              <w:left w:val="nil"/>
              <w:bottom w:val="single" w:sz="4" w:space="0" w:color="auto"/>
              <w:right w:val="single" w:sz="4" w:space="0" w:color="auto"/>
            </w:tcBorders>
            <w:shd w:val="clear" w:color="auto" w:fill="auto"/>
            <w:noWrap/>
            <w:vAlign w:val="bottom"/>
            <w:hideMark/>
          </w:tcPr>
          <w:p w14:paraId="6E8300EA"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32C7005A"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1765538A" w14:textId="77777777" w:rsidR="005F0A18" w:rsidRPr="00A52AEE" w:rsidRDefault="005F0A18" w:rsidP="001923B6">
            <w:pPr>
              <w:jc w:val="right"/>
              <w:rPr>
                <w:lang w:eastAsia="en-GB"/>
              </w:rPr>
            </w:pPr>
            <w:r w:rsidRPr="00A52AEE">
              <w:rPr>
                <w:lang w:eastAsia="en-GB"/>
              </w:rPr>
              <w:t>0%</w:t>
            </w:r>
          </w:p>
        </w:tc>
      </w:tr>
      <w:tr w:rsidR="005F0A18" w:rsidRPr="00A52AEE" w14:paraId="4B45FA8E" w14:textId="77777777" w:rsidTr="00D2390D">
        <w:trPr>
          <w:trHeight w:val="315"/>
        </w:trPr>
        <w:tc>
          <w:tcPr>
            <w:tcW w:w="7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7F17D1" w14:textId="77777777" w:rsidR="005F0A18" w:rsidRPr="005E08C9" w:rsidRDefault="005F0A18" w:rsidP="00A52AEE">
            <w:pPr>
              <w:rPr>
                <w:b/>
                <w:lang w:eastAsia="en-GB"/>
              </w:rPr>
            </w:pPr>
            <w:r w:rsidRPr="005E08C9">
              <w:rPr>
                <w:b/>
                <w:lang w:eastAsia="en-GB"/>
              </w:rPr>
              <w:t>NVQ</w:t>
            </w:r>
          </w:p>
        </w:tc>
        <w:tc>
          <w:tcPr>
            <w:tcW w:w="1230" w:type="pct"/>
            <w:tcBorders>
              <w:top w:val="nil"/>
              <w:left w:val="nil"/>
              <w:bottom w:val="single" w:sz="4" w:space="0" w:color="auto"/>
              <w:right w:val="single" w:sz="4" w:space="0" w:color="auto"/>
            </w:tcBorders>
            <w:shd w:val="clear" w:color="auto" w:fill="auto"/>
            <w:noWrap/>
            <w:vAlign w:val="bottom"/>
            <w:hideMark/>
          </w:tcPr>
          <w:p w14:paraId="31C16C2B" w14:textId="77777777" w:rsidR="005F0A18" w:rsidRPr="00A52AEE" w:rsidRDefault="005F0A18" w:rsidP="00A52AEE">
            <w:pPr>
              <w:rPr>
                <w:lang w:eastAsia="en-GB"/>
              </w:rPr>
            </w:pPr>
            <w:r w:rsidRPr="00A52AEE">
              <w:rPr>
                <w:lang w:eastAsia="en-GB"/>
              </w:rPr>
              <w:t>First degree</w:t>
            </w:r>
          </w:p>
        </w:tc>
        <w:tc>
          <w:tcPr>
            <w:tcW w:w="579" w:type="pct"/>
            <w:tcBorders>
              <w:top w:val="nil"/>
              <w:left w:val="nil"/>
              <w:bottom w:val="single" w:sz="4" w:space="0" w:color="auto"/>
              <w:right w:val="single" w:sz="4" w:space="0" w:color="auto"/>
            </w:tcBorders>
            <w:shd w:val="clear" w:color="auto" w:fill="auto"/>
            <w:noWrap/>
            <w:vAlign w:val="bottom"/>
            <w:hideMark/>
          </w:tcPr>
          <w:p w14:paraId="645F6CC9" w14:textId="77777777" w:rsidR="005F0A18" w:rsidRPr="00A52AEE" w:rsidRDefault="005F0A18" w:rsidP="001923B6">
            <w:pPr>
              <w:jc w:val="right"/>
              <w:rPr>
                <w:lang w:eastAsia="en-GB"/>
              </w:rPr>
            </w:pPr>
            <w:r w:rsidRPr="00A52AEE">
              <w:rPr>
                <w:lang w:eastAsia="en-GB"/>
              </w:rPr>
              <w:t>19%</w:t>
            </w:r>
          </w:p>
        </w:tc>
        <w:tc>
          <w:tcPr>
            <w:tcW w:w="578" w:type="pct"/>
            <w:tcBorders>
              <w:top w:val="nil"/>
              <w:left w:val="nil"/>
              <w:bottom w:val="single" w:sz="4" w:space="0" w:color="auto"/>
              <w:right w:val="single" w:sz="4" w:space="0" w:color="auto"/>
            </w:tcBorders>
            <w:shd w:val="clear" w:color="auto" w:fill="auto"/>
            <w:noWrap/>
            <w:vAlign w:val="bottom"/>
            <w:hideMark/>
          </w:tcPr>
          <w:p w14:paraId="3BDD3994" w14:textId="77777777" w:rsidR="005F0A18" w:rsidRPr="00A52AEE" w:rsidRDefault="005F0A18" w:rsidP="001923B6">
            <w:pPr>
              <w:jc w:val="right"/>
              <w:rPr>
                <w:lang w:eastAsia="en-GB"/>
              </w:rPr>
            </w:pPr>
            <w:r w:rsidRPr="00A52AEE">
              <w:rPr>
                <w:lang w:eastAsia="en-GB"/>
              </w:rPr>
              <w:t>17%</w:t>
            </w:r>
          </w:p>
        </w:tc>
        <w:tc>
          <w:tcPr>
            <w:tcW w:w="651" w:type="pct"/>
            <w:tcBorders>
              <w:top w:val="nil"/>
              <w:left w:val="nil"/>
              <w:bottom w:val="single" w:sz="4" w:space="0" w:color="auto"/>
              <w:right w:val="single" w:sz="4" w:space="0" w:color="auto"/>
            </w:tcBorders>
            <w:shd w:val="clear" w:color="auto" w:fill="auto"/>
            <w:noWrap/>
            <w:vAlign w:val="bottom"/>
            <w:hideMark/>
          </w:tcPr>
          <w:p w14:paraId="30F6C573" w14:textId="77777777" w:rsidR="005F0A18" w:rsidRPr="00A52AEE" w:rsidRDefault="005F0A18" w:rsidP="001923B6">
            <w:pPr>
              <w:jc w:val="right"/>
              <w:rPr>
                <w:lang w:eastAsia="en-GB"/>
              </w:rPr>
            </w:pPr>
            <w:r w:rsidRPr="00A52AEE">
              <w:rPr>
                <w:lang w:eastAsia="en-GB"/>
              </w:rPr>
              <w:t>18%</w:t>
            </w:r>
          </w:p>
        </w:tc>
        <w:tc>
          <w:tcPr>
            <w:tcW w:w="579" w:type="pct"/>
            <w:tcBorders>
              <w:top w:val="nil"/>
              <w:left w:val="nil"/>
              <w:bottom w:val="single" w:sz="4" w:space="0" w:color="auto"/>
              <w:right w:val="single" w:sz="4" w:space="0" w:color="auto"/>
            </w:tcBorders>
            <w:shd w:val="clear" w:color="auto" w:fill="auto"/>
            <w:noWrap/>
            <w:vAlign w:val="bottom"/>
            <w:hideMark/>
          </w:tcPr>
          <w:p w14:paraId="060188B9" w14:textId="77777777" w:rsidR="005F0A18" w:rsidRPr="00A52AEE" w:rsidRDefault="005F0A18" w:rsidP="001923B6">
            <w:pPr>
              <w:jc w:val="right"/>
              <w:rPr>
                <w:lang w:eastAsia="en-GB"/>
              </w:rPr>
            </w:pPr>
            <w:r w:rsidRPr="00A52AEE">
              <w:rPr>
                <w:lang w:eastAsia="en-GB"/>
              </w:rPr>
              <w:t>24%</w:t>
            </w:r>
          </w:p>
        </w:tc>
        <w:tc>
          <w:tcPr>
            <w:tcW w:w="604" w:type="pct"/>
            <w:tcBorders>
              <w:top w:val="nil"/>
              <w:left w:val="nil"/>
              <w:bottom w:val="single" w:sz="4" w:space="0" w:color="auto"/>
              <w:right w:val="single" w:sz="4" w:space="0" w:color="auto"/>
            </w:tcBorders>
            <w:shd w:val="clear" w:color="auto" w:fill="auto"/>
            <w:noWrap/>
            <w:vAlign w:val="bottom"/>
            <w:hideMark/>
          </w:tcPr>
          <w:p w14:paraId="03E6E0AD" w14:textId="77777777" w:rsidR="005F0A18" w:rsidRPr="00A52AEE" w:rsidRDefault="005F0A18" w:rsidP="001923B6">
            <w:pPr>
              <w:jc w:val="right"/>
              <w:rPr>
                <w:lang w:eastAsia="en-GB"/>
              </w:rPr>
            </w:pPr>
            <w:r w:rsidRPr="00A52AEE">
              <w:rPr>
                <w:lang w:eastAsia="en-GB"/>
              </w:rPr>
              <w:t>16%</w:t>
            </w:r>
          </w:p>
        </w:tc>
      </w:tr>
      <w:tr w:rsidR="005F0A18" w:rsidRPr="00A52AEE" w14:paraId="2B40E231"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56A9EBC8"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4FC73B76" w14:textId="77777777" w:rsidR="005F0A18" w:rsidRPr="00A52AEE" w:rsidRDefault="005F0A18" w:rsidP="00A52AEE">
            <w:pPr>
              <w:rPr>
                <w:lang w:eastAsia="en-GB"/>
              </w:rPr>
            </w:pPr>
            <w:r w:rsidRPr="00A52AEE">
              <w:rPr>
                <w:lang w:eastAsia="en-GB"/>
              </w:rPr>
              <w:t>Foundation degree</w:t>
            </w:r>
          </w:p>
        </w:tc>
        <w:tc>
          <w:tcPr>
            <w:tcW w:w="579" w:type="pct"/>
            <w:tcBorders>
              <w:top w:val="nil"/>
              <w:left w:val="nil"/>
              <w:bottom w:val="single" w:sz="4" w:space="0" w:color="auto"/>
              <w:right w:val="single" w:sz="4" w:space="0" w:color="auto"/>
            </w:tcBorders>
            <w:shd w:val="clear" w:color="auto" w:fill="auto"/>
            <w:noWrap/>
            <w:vAlign w:val="bottom"/>
            <w:hideMark/>
          </w:tcPr>
          <w:p w14:paraId="2940F59C" w14:textId="77777777" w:rsidR="005F0A18" w:rsidRPr="00A52AEE" w:rsidRDefault="005F0A18" w:rsidP="001923B6">
            <w:pPr>
              <w:jc w:val="right"/>
              <w:rPr>
                <w:lang w:eastAsia="en-GB"/>
              </w:rPr>
            </w:pPr>
            <w:r w:rsidRPr="00A52AEE">
              <w:rPr>
                <w:lang w:eastAsia="en-GB"/>
              </w:rPr>
              <w:t>10%</w:t>
            </w:r>
          </w:p>
        </w:tc>
        <w:tc>
          <w:tcPr>
            <w:tcW w:w="578" w:type="pct"/>
            <w:tcBorders>
              <w:top w:val="nil"/>
              <w:left w:val="nil"/>
              <w:bottom w:val="single" w:sz="4" w:space="0" w:color="auto"/>
              <w:right w:val="single" w:sz="4" w:space="0" w:color="auto"/>
            </w:tcBorders>
            <w:shd w:val="clear" w:color="auto" w:fill="auto"/>
            <w:noWrap/>
            <w:vAlign w:val="bottom"/>
            <w:hideMark/>
          </w:tcPr>
          <w:p w14:paraId="3C1B300C" w14:textId="77777777" w:rsidR="005F0A18" w:rsidRPr="00A52AEE" w:rsidRDefault="005F0A18" w:rsidP="001923B6">
            <w:pPr>
              <w:jc w:val="right"/>
              <w:rPr>
                <w:lang w:eastAsia="en-GB"/>
              </w:rPr>
            </w:pPr>
            <w:r w:rsidRPr="00A52AEE">
              <w:rPr>
                <w:lang w:eastAsia="en-GB"/>
              </w:rPr>
              <w:t>10%</w:t>
            </w:r>
          </w:p>
        </w:tc>
        <w:tc>
          <w:tcPr>
            <w:tcW w:w="651" w:type="pct"/>
            <w:tcBorders>
              <w:top w:val="nil"/>
              <w:left w:val="nil"/>
              <w:bottom w:val="single" w:sz="4" w:space="0" w:color="auto"/>
              <w:right w:val="single" w:sz="4" w:space="0" w:color="auto"/>
            </w:tcBorders>
            <w:shd w:val="clear" w:color="auto" w:fill="auto"/>
            <w:noWrap/>
            <w:vAlign w:val="bottom"/>
            <w:hideMark/>
          </w:tcPr>
          <w:p w14:paraId="7A0F160C" w14:textId="77777777" w:rsidR="005F0A18" w:rsidRPr="00A52AEE" w:rsidRDefault="005F0A18" w:rsidP="001923B6">
            <w:pPr>
              <w:jc w:val="right"/>
              <w:rPr>
                <w:lang w:eastAsia="en-GB"/>
              </w:rPr>
            </w:pPr>
            <w:r w:rsidRPr="00A52AEE">
              <w:rPr>
                <w:lang w:eastAsia="en-GB"/>
              </w:rPr>
              <w:t>11%</w:t>
            </w:r>
          </w:p>
        </w:tc>
        <w:tc>
          <w:tcPr>
            <w:tcW w:w="579" w:type="pct"/>
            <w:tcBorders>
              <w:top w:val="nil"/>
              <w:left w:val="nil"/>
              <w:bottom w:val="single" w:sz="4" w:space="0" w:color="auto"/>
              <w:right w:val="single" w:sz="4" w:space="0" w:color="auto"/>
            </w:tcBorders>
            <w:shd w:val="clear" w:color="auto" w:fill="auto"/>
            <w:noWrap/>
            <w:vAlign w:val="bottom"/>
            <w:hideMark/>
          </w:tcPr>
          <w:p w14:paraId="2FCDB476" w14:textId="77777777" w:rsidR="005F0A18" w:rsidRPr="00A52AEE" w:rsidRDefault="005F0A18" w:rsidP="001923B6">
            <w:pPr>
              <w:jc w:val="right"/>
              <w:rPr>
                <w:lang w:eastAsia="en-GB"/>
              </w:rPr>
            </w:pPr>
            <w:r w:rsidRPr="00A52AEE">
              <w:rPr>
                <w:lang w:eastAsia="en-GB"/>
              </w:rPr>
              <w:t>24%</w:t>
            </w:r>
          </w:p>
        </w:tc>
        <w:tc>
          <w:tcPr>
            <w:tcW w:w="604" w:type="pct"/>
            <w:tcBorders>
              <w:top w:val="nil"/>
              <w:left w:val="nil"/>
              <w:bottom w:val="single" w:sz="4" w:space="0" w:color="auto"/>
              <w:right w:val="single" w:sz="4" w:space="0" w:color="auto"/>
            </w:tcBorders>
            <w:shd w:val="clear" w:color="auto" w:fill="auto"/>
            <w:noWrap/>
            <w:vAlign w:val="bottom"/>
            <w:hideMark/>
          </w:tcPr>
          <w:p w14:paraId="0190CE24" w14:textId="77777777" w:rsidR="005F0A18" w:rsidRPr="00A52AEE" w:rsidRDefault="005F0A18" w:rsidP="001923B6">
            <w:pPr>
              <w:jc w:val="right"/>
              <w:rPr>
                <w:lang w:eastAsia="en-GB"/>
              </w:rPr>
            </w:pPr>
            <w:r w:rsidRPr="00A52AEE">
              <w:rPr>
                <w:lang w:eastAsia="en-GB"/>
              </w:rPr>
              <w:t>15%</w:t>
            </w:r>
          </w:p>
        </w:tc>
      </w:tr>
      <w:tr w:rsidR="005F0A18" w:rsidRPr="00A52AEE" w14:paraId="49CAD840"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73324498"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6A7E7BE8" w14:textId="77777777" w:rsidR="005F0A18" w:rsidRPr="00A52AEE" w:rsidRDefault="005F0A18" w:rsidP="00A52AEE">
            <w:pPr>
              <w:rPr>
                <w:lang w:eastAsia="en-GB"/>
              </w:rPr>
            </w:pPr>
            <w:r w:rsidRPr="00A52AEE">
              <w:rPr>
                <w:lang w:eastAsia="en-GB"/>
              </w:rPr>
              <w:t>HNC/HND</w:t>
            </w:r>
          </w:p>
        </w:tc>
        <w:tc>
          <w:tcPr>
            <w:tcW w:w="579" w:type="pct"/>
            <w:tcBorders>
              <w:top w:val="nil"/>
              <w:left w:val="nil"/>
              <w:bottom w:val="single" w:sz="4" w:space="0" w:color="auto"/>
              <w:right w:val="single" w:sz="4" w:space="0" w:color="auto"/>
            </w:tcBorders>
            <w:shd w:val="clear" w:color="auto" w:fill="auto"/>
            <w:noWrap/>
            <w:vAlign w:val="bottom"/>
            <w:hideMark/>
          </w:tcPr>
          <w:p w14:paraId="11645F1B" w14:textId="77777777" w:rsidR="005F0A18" w:rsidRPr="00A52AEE" w:rsidRDefault="005F0A18" w:rsidP="001923B6">
            <w:pPr>
              <w:jc w:val="right"/>
              <w:rPr>
                <w:lang w:eastAsia="en-GB"/>
              </w:rPr>
            </w:pPr>
            <w:r w:rsidRPr="00A52AEE">
              <w:rPr>
                <w:lang w:eastAsia="en-GB"/>
              </w:rPr>
              <w:t>2%</w:t>
            </w:r>
          </w:p>
        </w:tc>
        <w:tc>
          <w:tcPr>
            <w:tcW w:w="578" w:type="pct"/>
            <w:tcBorders>
              <w:top w:val="nil"/>
              <w:left w:val="nil"/>
              <w:bottom w:val="single" w:sz="4" w:space="0" w:color="auto"/>
              <w:right w:val="single" w:sz="4" w:space="0" w:color="auto"/>
            </w:tcBorders>
            <w:shd w:val="clear" w:color="auto" w:fill="auto"/>
            <w:noWrap/>
            <w:vAlign w:val="bottom"/>
            <w:hideMark/>
          </w:tcPr>
          <w:p w14:paraId="52A150E5" w14:textId="77777777" w:rsidR="005F0A18" w:rsidRPr="00A52AEE" w:rsidRDefault="005F0A18" w:rsidP="001923B6">
            <w:pPr>
              <w:jc w:val="right"/>
              <w:rPr>
                <w:lang w:eastAsia="en-GB"/>
              </w:rPr>
            </w:pPr>
            <w:r w:rsidRPr="00A52AEE">
              <w:rPr>
                <w:lang w:eastAsia="en-GB"/>
              </w:rPr>
              <w:t>1%</w:t>
            </w:r>
          </w:p>
        </w:tc>
        <w:tc>
          <w:tcPr>
            <w:tcW w:w="651" w:type="pct"/>
            <w:tcBorders>
              <w:top w:val="nil"/>
              <w:left w:val="nil"/>
              <w:bottom w:val="single" w:sz="4" w:space="0" w:color="auto"/>
              <w:right w:val="single" w:sz="4" w:space="0" w:color="auto"/>
            </w:tcBorders>
            <w:shd w:val="clear" w:color="auto" w:fill="auto"/>
            <w:noWrap/>
            <w:vAlign w:val="bottom"/>
            <w:hideMark/>
          </w:tcPr>
          <w:p w14:paraId="11A942FA" w14:textId="77777777" w:rsidR="005F0A18" w:rsidRPr="00A52AEE" w:rsidRDefault="005F0A18" w:rsidP="001923B6">
            <w:pPr>
              <w:jc w:val="right"/>
              <w:rPr>
                <w:lang w:eastAsia="en-GB"/>
              </w:rPr>
            </w:pPr>
            <w:r w:rsidRPr="00A52AEE">
              <w:rPr>
                <w:lang w:eastAsia="en-GB"/>
              </w:rPr>
              <w:t>1%</w:t>
            </w:r>
          </w:p>
        </w:tc>
        <w:tc>
          <w:tcPr>
            <w:tcW w:w="579" w:type="pct"/>
            <w:tcBorders>
              <w:top w:val="nil"/>
              <w:left w:val="nil"/>
              <w:bottom w:val="single" w:sz="4" w:space="0" w:color="auto"/>
              <w:right w:val="single" w:sz="4" w:space="0" w:color="auto"/>
            </w:tcBorders>
            <w:shd w:val="clear" w:color="auto" w:fill="auto"/>
            <w:noWrap/>
            <w:vAlign w:val="bottom"/>
            <w:hideMark/>
          </w:tcPr>
          <w:p w14:paraId="257B25DF" w14:textId="77777777" w:rsidR="005F0A18" w:rsidRPr="00A52AEE" w:rsidRDefault="005F0A18" w:rsidP="001923B6">
            <w:pPr>
              <w:jc w:val="right"/>
              <w:rPr>
                <w:lang w:eastAsia="en-GB"/>
              </w:rPr>
            </w:pPr>
            <w:r w:rsidRPr="00A52AEE">
              <w:rPr>
                <w:lang w:eastAsia="en-GB"/>
              </w:rPr>
              <w:t>1%</w:t>
            </w:r>
          </w:p>
        </w:tc>
        <w:tc>
          <w:tcPr>
            <w:tcW w:w="604" w:type="pct"/>
            <w:tcBorders>
              <w:top w:val="nil"/>
              <w:left w:val="nil"/>
              <w:bottom w:val="single" w:sz="4" w:space="0" w:color="auto"/>
              <w:right w:val="single" w:sz="4" w:space="0" w:color="auto"/>
            </w:tcBorders>
            <w:shd w:val="clear" w:color="auto" w:fill="auto"/>
            <w:noWrap/>
            <w:vAlign w:val="bottom"/>
            <w:hideMark/>
          </w:tcPr>
          <w:p w14:paraId="0068A692" w14:textId="77777777" w:rsidR="005F0A18" w:rsidRPr="00A52AEE" w:rsidRDefault="005F0A18" w:rsidP="001923B6">
            <w:pPr>
              <w:jc w:val="right"/>
              <w:rPr>
                <w:lang w:eastAsia="en-GB"/>
              </w:rPr>
            </w:pPr>
            <w:r w:rsidRPr="00A52AEE">
              <w:rPr>
                <w:lang w:eastAsia="en-GB"/>
              </w:rPr>
              <w:t>8%</w:t>
            </w:r>
          </w:p>
        </w:tc>
      </w:tr>
      <w:tr w:rsidR="005F0A18" w:rsidRPr="00A52AEE" w14:paraId="077FBCCC"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05D6E559"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20293DE2" w14:textId="77777777" w:rsidR="005F0A18" w:rsidRPr="00A52AEE" w:rsidRDefault="005F0A18" w:rsidP="00A52AEE">
            <w:pPr>
              <w:rPr>
                <w:lang w:eastAsia="en-GB"/>
              </w:rPr>
            </w:pPr>
            <w:r w:rsidRPr="00A52AEE">
              <w:rPr>
                <w:lang w:eastAsia="en-GB"/>
              </w:rPr>
              <w:t>NVQ</w:t>
            </w:r>
          </w:p>
        </w:tc>
        <w:tc>
          <w:tcPr>
            <w:tcW w:w="579" w:type="pct"/>
            <w:tcBorders>
              <w:top w:val="nil"/>
              <w:left w:val="nil"/>
              <w:bottom w:val="single" w:sz="4" w:space="0" w:color="auto"/>
              <w:right w:val="single" w:sz="4" w:space="0" w:color="auto"/>
            </w:tcBorders>
            <w:shd w:val="clear" w:color="auto" w:fill="auto"/>
            <w:noWrap/>
            <w:vAlign w:val="bottom"/>
            <w:hideMark/>
          </w:tcPr>
          <w:p w14:paraId="6937C391" w14:textId="77777777" w:rsidR="005F0A18" w:rsidRPr="00A52AEE" w:rsidRDefault="005F0A18" w:rsidP="001923B6">
            <w:pPr>
              <w:jc w:val="right"/>
              <w:rPr>
                <w:lang w:eastAsia="en-GB"/>
              </w:rPr>
            </w:pPr>
            <w:r w:rsidRPr="00A52AEE">
              <w:rPr>
                <w:lang w:eastAsia="en-GB"/>
              </w:rPr>
              <w:t>43%</w:t>
            </w:r>
          </w:p>
        </w:tc>
        <w:tc>
          <w:tcPr>
            <w:tcW w:w="578" w:type="pct"/>
            <w:tcBorders>
              <w:top w:val="nil"/>
              <w:left w:val="nil"/>
              <w:bottom w:val="single" w:sz="4" w:space="0" w:color="auto"/>
              <w:right w:val="single" w:sz="4" w:space="0" w:color="auto"/>
            </w:tcBorders>
            <w:shd w:val="clear" w:color="auto" w:fill="auto"/>
            <w:noWrap/>
            <w:vAlign w:val="bottom"/>
            <w:hideMark/>
          </w:tcPr>
          <w:p w14:paraId="1B5681EC" w14:textId="77777777" w:rsidR="005F0A18" w:rsidRPr="00A52AEE" w:rsidRDefault="005F0A18" w:rsidP="001923B6">
            <w:pPr>
              <w:jc w:val="right"/>
              <w:rPr>
                <w:lang w:eastAsia="en-GB"/>
              </w:rPr>
            </w:pPr>
            <w:r w:rsidRPr="00A52AEE">
              <w:rPr>
                <w:lang w:eastAsia="en-GB"/>
              </w:rPr>
              <w:t>30%</w:t>
            </w:r>
          </w:p>
        </w:tc>
        <w:tc>
          <w:tcPr>
            <w:tcW w:w="651" w:type="pct"/>
            <w:tcBorders>
              <w:top w:val="nil"/>
              <w:left w:val="nil"/>
              <w:bottom w:val="single" w:sz="4" w:space="0" w:color="auto"/>
              <w:right w:val="single" w:sz="4" w:space="0" w:color="auto"/>
            </w:tcBorders>
            <w:shd w:val="clear" w:color="auto" w:fill="auto"/>
            <w:noWrap/>
            <w:vAlign w:val="bottom"/>
            <w:hideMark/>
          </w:tcPr>
          <w:p w14:paraId="60C2F1F4" w14:textId="77777777" w:rsidR="005F0A18" w:rsidRPr="00A52AEE" w:rsidRDefault="005F0A18" w:rsidP="001923B6">
            <w:pPr>
              <w:jc w:val="right"/>
              <w:rPr>
                <w:lang w:eastAsia="en-GB"/>
              </w:rPr>
            </w:pPr>
            <w:r w:rsidRPr="00A52AEE">
              <w:rPr>
                <w:lang w:eastAsia="en-GB"/>
              </w:rPr>
              <w:t>2%</w:t>
            </w:r>
          </w:p>
        </w:tc>
        <w:tc>
          <w:tcPr>
            <w:tcW w:w="579" w:type="pct"/>
            <w:tcBorders>
              <w:top w:val="nil"/>
              <w:left w:val="nil"/>
              <w:bottom w:val="single" w:sz="4" w:space="0" w:color="auto"/>
              <w:right w:val="single" w:sz="4" w:space="0" w:color="auto"/>
            </w:tcBorders>
            <w:shd w:val="clear" w:color="auto" w:fill="auto"/>
            <w:noWrap/>
            <w:vAlign w:val="bottom"/>
            <w:hideMark/>
          </w:tcPr>
          <w:p w14:paraId="31C918D3" w14:textId="77777777" w:rsidR="005F0A18" w:rsidRPr="00A52AEE" w:rsidRDefault="005F0A18" w:rsidP="001923B6">
            <w:pPr>
              <w:jc w:val="right"/>
              <w:rPr>
                <w:lang w:eastAsia="en-GB"/>
              </w:rPr>
            </w:pPr>
            <w:r w:rsidRPr="00A52AEE">
              <w:rPr>
                <w:lang w:eastAsia="en-GB"/>
              </w:rPr>
              <w:t>2%</w:t>
            </w:r>
          </w:p>
        </w:tc>
        <w:tc>
          <w:tcPr>
            <w:tcW w:w="604" w:type="pct"/>
            <w:tcBorders>
              <w:top w:val="nil"/>
              <w:left w:val="nil"/>
              <w:bottom w:val="single" w:sz="4" w:space="0" w:color="auto"/>
              <w:right w:val="single" w:sz="4" w:space="0" w:color="auto"/>
            </w:tcBorders>
            <w:shd w:val="clear" w:color="auto" w:fill="auto"/>
            <w:noWrap/>
            <w:vAlign w:val="bottom"/>
            <w:hideMark/>
          </w:tcPr>
          <w:p w14:paraId="0ACA21CF" w14:textId="77777777" w:rsidR="005F0A18" w:rsidRPr="00A52AEE" w:rsidRDefault="005F0A18" w:rsidP="001923B6">
            <w:pPr>
              <w:jc w:val="right"/>
              <w:rPr>
                <w:lang w:eastAsia="en-GB"/>
              </w:rPr>
            </w:pPr>
            <w:r w:rsidRPr="00A52AEE">
              <w:rPr>
                <w:lang w:eastAsia="en-GB"/>
              </w:rPr>
              <w:t>5%</w:t>
            </w:r>
          </w:p>
        </w:tc>
      </w:tr>
      <w:tr w:rsidR="005F0A18" w:rsidRPr="00A52AEE" w14:paraId="0D444506"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4A7A933C"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5B6F3651" w14:textId="77777777" w:rsidR="005F0A18" w:rsidRPr="00A52AEE" w:rsidRDefault="005F0A18" w:rsidP="00A52AEE">
            <w:pPr>
              <w:rPr>
                <w:lang w:eastAsia="en-GB"/>
              </w:rPr>
            </w:pPr>
            <w:r w:rsidRPr="00A52AEE">
              <w:rPr>
                <w:lang w:eastAsia="en-GB"/>
              </w:rPr>
              <w:t>Other undergraduate</w:t>
            </w:r>
          </w:p>
        </w:tc>
        <w:tc>
          <w:tcPr>
            <w:tcW w:w="579" w:type="pct"/>
            <w:tcBorders>
              <w:top w:val="nil"/>
              <w:left w:val="nil"/>
              <w:bottom w:val="single" w:sz="4" w:space="0" w:color="auto"/>
              <w:right w:val="single" w:sz="4" w:space="0" w:color="auto"/>
            </w:tcBorders>
            <w:shd w:val="clear" w:color="auto" w:fill="auto"/>
            <w:noWrap/>
            <w:vAlign w:val="bottom"/>
            <w:hideMark/>
          </w:tcPr>
          <w:p w14:paraId="5483B33E" w14:textId="77777777" w:rsidR="005F0A18" w:rsidRPr="00A52AEE" w:rsidRDefault="005F0A18" w:rsidP="001923B6">
            <w:pPr>
              <w:jc w:val="right"/>
              <w:rPr>
                <w:lang w:eastAsia="en-GB"/>
              </w:rPr>
            </w:pPr>
            <w:r w:rsidRPr="00A52AEE">
              <w:rPr>
                <w:lang w:eastAsia="en-GB"/>
              </w:rPr>
              <w:t>22%</w:t>
            </w:r>
          </w:p>
        </w:tc>
        <w:tc>
          <w:tcPr>
            <w:tcW w:w="578" w:type="pct"/>
            <w:tcBorders>
              <w:top w:val="nil"/>
              <w:left w:val="nil"/>
              <w:bottom w:val="single" w:sz="4" w:space="0" w:color="auto"/>
              <w:right w:val="single" w:sz="4" w:space="0" w:color="auto"/>
            </w:tcBorders>
            <w:shd w:val="clear" w:color="auto" w:fill="auto"/>
            <w:noWrap/>
            <w:vAlign w:val="bottom"/>
            <w:hideMark/>
          </w:tcPr>
          <w:p w14:paraId="5B8027FD" w14:textId="77777777" w:rsidR="005F0A18" w:rsidRPr="00A52AEE" w:rsidRDefault="005F0A18" w:rsidP="001923B6">
            <w:pPr>
              <w:jc w:val="right"/>
              <w:rPr>
                <w:lang w:eastAsia="en-GB"/>
              </w:rPr>
            </w:pPr>
            <w:r w:rsidRPr="00A52AEE">
              <w:rPr>
                <w:lang w:eastAsia="en-GB"/>
              </w:rPr>
              <w:t>38%</w:t>
            </w:r>
          </w:p>
        </w:tc>
        <w:tc>
          <w:tcPr>
            <w:tcW w:w="651" w:type="pct"/>
            <w:tcBorders>
              <w:top w:val="nil"/>
              <w:left w:val="nil"/>
              <w:bottom w:val="single" w:sz="4" w:space="0" w:color="auto"/>
              <w:right w:val="single" w:sz="4" w:space="0" w:color="auto"/>
            </w:tcBorders>
            <w:shd w:val="clear" w:color="auto" w:fill="auto"/>
            <w:noWrap/>
            <w:vAlign w:val="bottom"/>
            <w:hideMark/>
          </w:tcPr>
          <w:p w14:paraId="5E8B0646" w14:textId="77777777" w:rsidR="005F0A18" w:rsidRPr="00A52AEE" w:rsidRDefault="005F0A18" w:rsidP="001923B6">
            <w:pPr>
              <w:jc w:val="right"/>
              <w:rPr>
                <w:lang w:eastAsia="en-GB"/>
              </w:rPr>
            </w:pPr>
            <w:r w:rsidRPr="00A52AEE">
              <w:rPr>
                <w:lang w:eastAsia="en-GB"/>
              </w:rPr>
              <w:t>66%</w:t>
            </w:r>
          </w:p>
        </w:tc>
        <w:tc>
          <w:tcPr>
            <w:tcW w:w="579" w:type="pct"/>
            <w:tcBorders>
              <w:top w:val="nil"/>
              <w:left w:val="nil"/>
              <w:bottom w:val="single" w:sz="4" w:space="0" w:color="auto"/>
              <w:right w:val="single" w:sz="4" w:space="0" w:color="auto"/>
            </w:tcBorders>
            <w:shd w:val="clear" w:color="auto" w:fill="auto"/>
            <w:noWrap/>
            <w:vAlign w:val="bottom"/>
            <w:hideMark/>
          </w:tcPr>
          <w:p w14:paraId="167CA4D1" w14:textId="77777777" w:rsidR="005F0A18" w:rsidRPr="00A52AEE" w:rsidRDefault="005F0A18" w:rsidP="001923B6">
            <w:pPr>
              <w:jc w:val="right"/>
              <w:rPr>
                <w:lang w:eastAsia="en-GB"/>
              </w:rPr>
            </w:pPr>
            <w:r w:rsidRPr="00A52AEE">
              <w:rPr>
                <w:lang w:eastAsia="en-GB"/>
              </w:rPr>
              <w:t>43%</w:t>
            </w:r>
          </w:p>
        </w:tc>
        <w:tc>
          <w:tcPr>
            <w:tcW w:w="604" w:type="pct"/>
            <w:tcBorders>
              <w:top w:val="nil"/>
              <w:left w:val="nil"/>
              <w:bottom w:val="single" w:sz="4" w:space="0" w:color="auto"/>
              <w:right w:val="single" w:sz="4" w:space="0" w:color="auto"/>
            </w:tcBorders>
            <w:shd w:val="clear" w:color="auto" w:fill="auto"/>
            <w:noWrap/>
            <w:vAlign w:val="bottom"/>
            <w:hideMark/>
          </w:tcPr>
          <w:p w14:paraId="46CBA34B" w14:textId="77777777" w:rsidR="005F0A18" w:rsidRPr="00A52AEE" w:rsidRDefault="005F0A18" w:rsidP="001923B6">
            <w:pPr>
              <w:jc w:val="right"/>
              <w:rPr>
                <w:lang w:eastAsia="en-GB"/>
              </w:rPr>
            </w:pPr>
            <w:r w:rsidRPr="00A52AEE">
              <w:rPr>
                <w:lang w:eastAsia="en-GB"/>
              </w:rPr>
              <w:t>52%</w:t>
            </w:r>
          </w:p>
        </w:tc>
      </w:tr>
      <w:tr w:rsidR="005F0A18" w:rsidRPr="00A52AEE" w14:paraId="339FD2B9"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0F18A351"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3F3E0D61" w14:textId="77777777" w:rsidR="005F0A18" w:rsidRPr="00A52AEE" w:rsidRDefault="005F0A18" w:rsidP="00A52AEE">
            <w:pPr>
              <w:rPr>
                <w:lang w:eastAsia="en-GB"/>
              </w:rPr>
            </w:pPr>
            <w:r w:rsidRPr="00A52AEE">
              <w:rPr>
                <w:lang w:eastAsia="en-GB"/>
              </w:rPr>
              <w:t>Postgraduate</w:t>
            </w:r>
          </w:p>
        </w:tc>
        <w:tc>
          <w:tcPr>
            <w:tcW w:w="579" w:type="pct"/>
            <w:tcBorders>
              <w:top w:val="nil"/>
              <w:left w:val="nil"/>
              <w:bottom w:val="single" w:sz="4" w:space="0" w:color="auto"/>
              <w:right w:val="single" w:sz="4" w:space="0" w:color="auto"/>
            </w:tcBorders>
            <w:shd w:val="clear" w:color="auto" w:fill="auto"/>
            <w:noWrap/>
            <w:vAlign w:val="bottom"/>
            <w:hideMark/>
          </w:tcPr>
          <w:p w14:paraId="4A94097F" w14:textId="77777777" w:rsidR="005F0A18" w:rsidRPr="00A52AEE" w:rsidRDefault="005F0A18" w:rsidP="001923B6">
            <w:pPr>
              <w:jc w:val="right"/>
              <w:rPr>
                <w:lang w:eastAsia="en-GB"/>
              </w:rPr>
            </w:pPr>
            <w:r w:rsidRPr="00A52AEE">
              <w:rPr>
                <w:lang w:eastAsia="en-GB"/>
              </w:rPr>
              <w:t>4%</w:t>
            </w:r>
          </w:p>
        </w:tc>
        <w:tc>
          <w:tcPr>
            <w:tcW w:w="578" w:type="pct"/>
            <w:tcBorders>
              <w:top w:val="nil"/>
              <w:left w:val="nil"/>
              <w:bottom w:val="single" w:sz="4" w:space="0" w:color="auto"/>
              <w:right w:val="single" w:sz="4" w:space="0" w:color="auto"/>
            </w:tcBorders>
            <w:shd w:val="clear" w:color="auto" w:fill="auto"/>
            <w:noWrap/>
            <w:vAlign w:val="bottom"/>
            <w:hideMark/>
          </w:tcPr>
          <w:p w14:paraId="2C3D1D03" w14:textId="77777777" w:rsidR="005F0A18" w:rsidRPr="00A52AEE" w:rsidRDefault="005F0A18" w:rsidP="001923B6">
            <w:pPr>
              <w:jc w:val="right"/>
              <w:rPr>
                <w:lang w:eastAsia="en-GB"/>
              </w:rPr>
            </w:pPr>
            <w:r w:rsidRPr="00A52AEE">
              <w:rPr>
                <w:lang w:eastAsia="en-GB"/>
              </w:rPr>
              <w:t>3%</w:t>
            </w:r>
          </w:p>
        </w:tc>
        <w:tc>
          <w:tcPr>
            <w:tcW w:w="651" w:type="pct"/>
            <w:tcBorders>
              <w:top w:val="nil"/>
              <w:left w:val="nil"/>
              <w:bottom w:val="single" w:sz="4" w:space="0" w:color="auto"/>
              <w:right w:val="single" w:sz="4" w:space="0" w:color="auto"/>
            </w:tcBorders>
            <w:shd w:val="clear" w:color="auto" w:fill="auto"/>
            <w:noWrap/>
            <w:vAlign w:val="bottom"/>
            <w:hideMark/>
          </w:tcPr>
          <w:p w14:paraId="3F8EC7B1" w14:textId="77777777" w:rsidR="005F0A18" w:rsidRPr="00A52AEE" w:rsidRDefault="005F0A18" w:rsidP="001923B6">
            <w:pPr>
              <w:jc w:val="right"/>
              <w:rPr>
                <w:lang w:eastAsia="en-GB"/>
              </w:rPr>
            </w:pPr>
            <w:r w:rsidRPr="00A52AEE">
              <w:rPr>
                <w:lang w:eastAsia="en-GB"/>
              </w:rPr>
              <w:t>3%</w:t>
            </w:r>
          </w:p>
        </w:tc>
        <w:tc>
          <w:tcPr>
            <w:tcW w:w="579" w:type="pct"/>
            <w:tcBorders>
              <w:top w:val="nil"/>
              <w:left w:val="nil"/>
              <w:bottom w:val="single" w:sz="4" w:space="0" w:color="auto"/>
              <w:right w:val="single" w:sz="4" w:space="0" w:color="auto"/>
            </w:tcBorders>
            <w:shd w:val="clear" w:color="auto" w:fill="auto"/>
            <w:noWrap/>
            <w:vAlign w:val="bottom"/>
            <w:hideMark/>
          </w:tcPr>
          <w:p w14:paraId="638FB5B4" w14:textId="77777777" w:rsidR="005F0A18" w:rsidRPr="00A52AEE" w:rsidRDefault="005F0A18" w:rsidP="001923B6">
            <w:pPr>
              <w:jc w:val="right"/>
              <w:rPr>
                <w:lang w:eastAsia="en-GB"/>
              </w:rPr>
            </w:pPr>
            <w:r w:rsidRPr="00A52AEE">
              <w:rPr>
                <w:lang w:eastAsia="en-GB"/>
              </w:rPr>
              <w:t>7%</w:t>
            </w:r>
          </w:p>
        </w:tc>
        <w:tc>
          <w:tcPr>
            <w:tcW w:w="604" w:type="pct"/>
            <w:tcBorders>
              <w:top w:val="nil"/>
              <w:left w:val="nil"/>
              <w:bottom w:val="single" w:sz="4" w:space="0" w:color="auto"/>
              <w:right w:val="single" w:sz="4" w:space="0" w:color="auto"/>
            </w:tcBorders>
            <w:shd w:val="clear" w:color="auto" w:fill="auto"/>
            <w:noWrap/>
            <w:vAlign w:val="bottom"/>
            <w:hideMark/>
          </w:tcPr>
          <w:p w14:paraId="1B3AA385" w14:textId="77777777" w:rsidR="005F0A18" w:rsidRPr="00A52AEE" w:rsidRDefault="005F0A18" w:rsidP="001923B6">
            <w:pPr>
              <w:jc w:val="right"/>
              <w:rPr>
                <w:lang w:eastAsia="en-GB"/>
              </w:rPr>
            </w:pPr>
            <w:r w:rsidRPr="00A52AEE">
              <w:rPr>
                <w:lang w:eastAsia="en-GB"/>
              </w:rPr>
              <w:t>3%</w:t>
            </w:r>
          </w:p>
        </w:tc>
      </w:tr>
      <w:tr w:rsidR="005F0A18" w:rsidRPr="00A52AEE" w14:paraId="02ABAE79" w14:textId="77777777" w:rsidTr="00D2390D">
        <w:trPr>
          <w:trHeight w:val="315"/>
        </w:trPr>
        <w:tc>
          <w:tcPr>
            <w:tcW w:w="7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8D1662" w14:textId="19A077C9" w:rsidR="00D2390D" w:rsidRPr="005E08C9" w:rsidRDefault="00D2390D" w:rsidP="00A52AEE">
            <w:pPr>
              <w:rPr>
                <w:b/>
                <w:lang w:eastAsia="en-GB"/>
              </w:rPr>
            </w:pPr>
            <w:r w:rsidRPr="005E08C9">
              <w:rPr>
                <w:b/>
                <w:lang w:eastAsia="en-GB"/>
              </w:rPr>
              <w:t xml:space="preserve">Other </w:t>
            </w:r>
          </w:p>
          <w:p w14:paraId="1563DFE5" w14:textId="77777777" w:rsidR="005F0A18" w:rsidRPr="00A52AEE" w:rsidRDefault="005F0A18" w:rsidP="00A52AEE">
            <w:pPr>
              <w:rPr>
                <w:lang w:eastAsia="en-GB"/>
              </w:rPr>
            </w:pPr>
            <w:r w:rsidRPr="005E08C9">
              <w:rPr>
                <w:b/>
                <w:lang w:eastAsia="en-GB"/>
              </w:rPr>
              <w:t>Vocational</w:t>
            </w:r>
            <w:r w:rsidRPr="00A52AEE">
              <w:rPr>
                <w:lang w:eastAsia="en-GB"/>
              </w:rPr>
              <w:t xml:space="preserve"> </w:t>
            </w:r>
          </w:p>
        </w:tc>
        <w:tc>
          <w:tcPr>
            <w:tcW w:w="1230" w:type="pct"/>
            <w:tcBorders>
              <w:top w:val="nil"/>
              <w:left w:val="nil"/>
              <w:bottom w:val="single" w:sz="4" w:space="0" w:color="auto"/>
              <w:right w:val="single" w:sz="4" w:space="0" w:color="auto"/>
            </w:tcBorders>
            <w:shd w:val="clear" w:color="auto" w:fill="auto"/>
            <w:noWrap/>
            <w:vAlign w:val="bottom"/>
            <w:hideMark/>
          </w:tcPr>
          <w:p w14:paraId="3391221E" w14:textId="77777777" w:rsidR="005F0A18" w:rsidRPr="00A52AEE" w:rsidRDefault="005F0A18" w:rsidP="00A52AEE">
            <w:pPr>
              <w:rPr>
                <w:lang w:eastAsia="en-GB"/>
              </w:rPr>
            </w:pPr>
            <w:r w:rsidRPr="00A52AEE">
              <w:rPr>
                <w:lang w:eastAsia="en-GB"/>
              </w:rPr>
              <w:t>First degree</w:t>
            </w:r>
          </w:p>
        </w:tc>
        <w:tc>
          <w:tcPr>
            <w:tcW w:w="579" w:type="pct"/>
            <w:tcBorders>
              <w:top w:val="nil"/>
              <w:left w:val="nil"/>
              <w:bottom w:val="single" w:sz="4" w:space="0" w:color="auto"/>
              <w:right w:val="single" w:sz="4" w:space="0" w:color="auto"/>
            </w:tcBorders>
            <w:shd w:val="clear" w:color="auto" w:fill="auto"/>
            <w:noWrap/>
            <w:vAlign w:val="bottom"/>
            <w:hideMark/>
          </w:tcPr>
          <w:p w14:paraId="61D6AF24" w14:textId="77777777" w:rsidR="005F0A18" w:rsidRPr="00A52AEE" w:rsidRDefault="005F0A18" w:rsidP="001923B6">
            <w:pPr>
              <w:jc w:val="right"/>
              <w:rPr>
                <w:lang w:eastAsia="en-GB"/>
              </w:rPr>
            </w:pPr>
            <w:r w:rsidRPr="00A52AEE">
              <w:rPr>
                <w:lang w:eastAsia="en-GB"/>
              </w:rPr>
              <w:t>52%</w:t>
            </w:r>
          </w:p>
        </w:tc>
        <w:tc>
          <w:tcPr>
            <w:tcW w:w="578" w:type="pct"/>
            <w:tcBorders>
              <w:top w:val="nil"/>
              <w:left w:val="nil"/>
              <w:bottom w:val="single" w:sz="4" w:space="0" w:color="auto"/>
              <w:right w:val="single" w:sz="4" w:space="0" w:color="auto"/>
            </w:tcBorders>
            <w:shd w:val="clear" w:color="auto" w:fill="auto"/>
            <w:noWrap/>
            <w:vAlign w:val="bottom"/>
            <w:hideMark/>
          </w:tcPr>
          <w:p w14:paraId="0409D48B" w14:textId="77777777" w:rsidR="005F0A18" w:rsidRPr="00A52AEE" w:rsidRDefault="005F0A18" w:rsidP="001923B6">
            <w:pPr>
              <w:jc w:val="right"/>
              <w:rPr>
                <w:lang w:eastAsia="en-GB"/>
              </w:rPr>
            </w:pPr>
            <w:r w:rsidRPr="00A52AEE">
              <w:rPr>
                <w:lang w:eastAsia="en-GB"/>
              </w:rPr>
              <w:t>44%</w:t>
            </w:r>
          </w:p>
        </w:tc>
        <w:tc>
          <w:tcPr>
            <w:tcW w:w="651" w:type="pct"/>
            <w:tcBorders>
              <w:top w:val="nil"/>
              <w:left w:val="nil"/>
              <w:bottom w:val="single" w:sz="4" w:space="0" w:color="auto"/>
              <w:right w:val="single" w:sz="4" w:space="0" w:color="auto"/>
            </w:tcBorders>
            <w:shd w:val="clear" w:color="auto" w:fill="auto"/>
            <w:noWrap/>
            <w:vAlign w:val="bottom"/>
            <w:hideMark/>
          </w:tcPr>
          <w:p w14:paraId="082B9185" w14:textId="77777777" w:rsidR="005F0A18" w:rsidRPr="00A52AEE" w:rsidRDefault="005F0A18" w:rsidP="001923B6">
            <w:pPr>
              <w:jc w:val="right"/>
              <w:rPr>
                <w:lang w:eastAsia="en-GB"/>
              </w:rPr>
            </w:pPr>
            <w:r w:rsidRPr="00A52AEE">
              <w:rPr>
                <w:lang w:eastAsia="en-GB"/>
              </w:rPr>
              <w:t>45%</w:t>
            </w:r>
          </w:p>
        </w:tc>
        <w:tc>
          <w:tcPr>
            <w:tcW w:w="579" w:type="pct"/>
            <w:tcBorders>
              <w:top w:val="nil"/>
              <w:left w:val="nil"/>
              <w:bottom w:val="single" w:sz="4" w:space="0" w:color="auto"/>
              <w:right w:val="single" w:sz="4" w:space="0" w:color="auto"/>
            </w:tcBorders>
            <w:shd w:val="clear" w:color="auto" w:fill="auto"/>
            <w:noWrap/>
            <w:vAlign w:val="bottom"/>
            <w:hideMark/>
          </w:tcPr>
          <w:p w14:paraId="0A7A5790" w14:textId="77777777" w:rsidR="005F0A18" w:rsidRPr="00A52AEE" w:rsidRDefault="005F0A18" w:rsidP="001923B6">
            <w:pPr>
              <w:jc w:val="right"/>
              <w:rPr>
                <w:lang w:eastAsia="en-GB"/>
              </w:rPr>
            </w:pPr>
            <w:r w:rsidRPr="00A52AEE">
              <w:rPr>
                <w:lang w:eastAsia="en-GB"/>
              </w:rPr>
              <w:t>47%</w:t>
            </w:r>
          </w:p>
        </w:tc>
        <w:tc>
          <w:tcPr>
            <w:tcW w:w="604" w:type="pct"/>
            <w:tcBorders>
              <w:top w:val="nil"/>
              <w:left w:val="nil"/>
              <w:bottom w:val="single" w:sz="4" w:space="0" w:color="auto"/>
              <w:right w:val="single" w:sz="4" w:space="0" w:color="auto"/>
            </w:tcBorders>
            <w:shd w:val="clear" w:color="auto" w:fill="auto"/>
            <w:noWrap/>
            <w:vAlign w:val="bottom"/>
            <w:hideMark/>
          </w:tcPr>
          <w:p w14:paraId="127DE44A" w14:textId="77777777" w:rsidR="005F0A18" w:rsidRPr="00A52AEE" w:rsidRDefault="005F0A18" w:rsidP="001923B6">
            <w:pPr>
              <w:jc w:val="right"/>
              <w:rPr>
                <w:lang w:eastAsia="en-GB"/>
              </w:rPr>
            </w:pPr>
            <w:r w:rsidRPr="00A52AEE">
              <w:rPr>
                <w:lang w:eastAsia="en-GB"/>
              </w:rPr>
              <w:t>43%</w:t>
            </w:r>
          </w:p>
        </w:tc>
      </w:tr>
      <w:tr w:rsidR="005F0A18" w:rsidRPr="00A52AEE" w14:paraId="643A3718"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0F51054B"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3244BD9B" w14:textId="77777777" w:rsidR="005F0A18" w:rsidRPr="00A52AEE" w:rsidRDefault="005F0A18" w:rsidP="00A52AEE">
            <w:pPr>
              <w:rPr>
                <w:lang w:eastAsia="en-GB"/>
              </w:rPr>
            </w:pPr>
            <w:r w:rsidRPr="00A52AEE">
              <w:rPr>
                <w:lang w:eastAsia="en-GB"/>
              </w:rPr>
              <w:t>Foundation degree</w:t>
            </w:r>
          </w:p>
        </w:tc>
        <w:tc>
          <w:tcPr>
            <w:tcW w:w="579" w:type="pct"/>
            <w:tcBorders>
              <w:top w:val="nil"/>
              <w:left w:val="nil"/>
              <w:bottom w:val="single" w:sz="4" w:space="0" w:color="auto"/>
              <w:right w:val="single" w:sz="4" w:space="0" w:color="auto"/>
            </w:tcBorders>
            <w:shd w:val="clear" w:color="auto" w:fill="auto"/>
            <w:noWrap/>
            <w:vAlign w:val="bottom"/>
            <w:hideMark/>
          </w:tcPr>
          <w:p w14:paraId="122AA5FF" w14:textId="77777777" w:rsidR="005F0A18" w:rsidRPr="00A52AEE" w:rsidRDefault="005F0A18" w:rsidP="001923B6">
            <w:pPr>
              <w:jc w:val="right"/>
              <w:rPr>
                <w:lang w:eastAsia="en-GB"/>
              </w:rPr>
            </w:pPr>
            <w:r w:rsidRPr="00A52AEE">
              <w:rPr>
                <w:lang w:eastAsia="en-GB"/>
              </w:rPr>
              <w:t>10%</w:t>
            </w:r>
          </w:p>
        </w:tc>
        <w:tc>
          <w:tcPr>
            <w:tcW w:w="578" w:type="pct"/>
            <w:tcBorders>
              <w:top w:val="nil"/>
              <w:left w:val="nil"/>
              <w:bottom w:val="single" w:sz="4" w:space="0" w:color="auto"/>
              <w:right w:val="single" w:sz="4" w:space="0" w:color="auto"/>
            </w:tcBorders>
            <w:shd w:val="clear" w:color="auto" w:fill="auto"/>
            <w:noWrap/>
            <w:vAlign w:val="bottom"/>
            <w:hideMark/>
          </w:tcPr>
          <w:p w14:paraId="092EF471" w14:textId="77777777" w:rsidR="005F0A18" w:rsidRPr="00A52AEE" w:rsidRDefault="005F0A18" w:rsidP="001923B6">
            <w:pPr>
              <w:jc w:val="right"/>
              <w:rPr>
                <w:lang w:eastAsia="en-GB"/>
              </w:rPr>
            </w:pPr>
            <w:r w:rsidRPr="00A52AEE">
              <w:rPr>
                <w:lang w:eastAsia="en-GB"/>
              </w:rPr>
              <w:t>8%</w:t>
            </w:r>
          </w:p>
        </w:tc>
        <w:tc>
          <w:tcPr>
            <w:tcW w:w="651" w:type="pct"/>
            <w:tcBorders>
              <w:top w:val="nil"/>
              <w:left w:val="nil"/>
              <w:bottom w:val="single" w:sz="4" w:space="0" w:color="auto"/>
              <w:right w:val="single" w:sz="4" w:space="0" w:color="auto"/>
            </w:tcBorders>
            <w:shd w:val="clear" w:color="auto" w:fill="auto"/>
            <w:noWrap/>
            <w:vAlign w:val="bottom"/>
            <w:hideMark/>
          </w:tcPr>
          <w:p w14:paraId="69644D7E" w14:textId="77777777" w:rsidR="005F0A18" w:rsidRPr="00A52AEE" w:rsidRDefault="005F0A18" w:rsidP="001923B6">
            <w:pPr>
              <w:jc w:val="right"/>
              <w:rPr>
                <w:lang w:eastAsia="en-GB"/>
              </w:rPr>
            </w:pPr>
            <w:r w:rsidRPr="00A52AEE">
              <w:rPr>
                <w:lang w:eastAsia="en-GB"/>
              </w:rPr>
              <w:t>9%</w:t>
            </w:r>
          </w:p>
        </w:tc>
        <w:tc>
          <w:tcPr>
            <w:tcW w:w="579" w:type="pct"/>
            <w:tcBorders>
              <w:top w:val="nil"/>
              <w:left w:val="nil"/>
              <w:bottom w:val="single" w:sz="4" w:space="0" w:color="auto"/>
              <w:right w:val="single" w:sz="4" w:space="0" w:color="auto"/>
            </w:tcBorders>
            <w:shd w:val="clear" w:color="auto" w:fill="auto"/>
            <w:noWrap/>
            <w:vAlign w:val="bottom"/>
            <w:hideMark/>
          </w:tcPr>
          <w:p w14:paraId="47FDCEB0" w14:textId="77777777" w:rsidR="005F0A18" w:rsidRPr="00A52AEE" w:rsidRDefault="005F0A18" w:rsidP="001923B6">
            <w:pPr>
              <w:jc w:val="right"/>
              <w:rPr>
                <w:lang w:eastAsia="en-GB"/>
              </w:rPr>
            </w:pPr>
            <w:r w:rsidRPr="00A52AEE">
              <w:rPr>
                <w:lang w:eastAsia="en-GB"/>
              </w:rPr>
              <w:t>13%</w:t>
            </w:r>
          </w:p>
        </w:tc>
        <w:tc>
          <w:tcPr>
            <w:tcW w:w="604" w:type="pct"/>
            <w:tcBorders>
              <w:top w:val="nil"/>
              <w:left w:val="nil"/>
              <w:bottom w:val="single" w:sz="4" w:space="0" w:color="auto"/>
              <w:right w:val="single" w:sz="4" w:space="0" w:color="auto"/>
            </w:tcBorders>
            <w:shd w:val="clear" w:color="auto" w:fill="auto"/>
            <w:noWrap/>
            <w:vAlign w:val="bottom"/>
            <w:hideMark/>
          </w:tcPr>
          <w:p w14:paraId="6EEF0FB3" w14:textId="77777777" w:rsidR="005F0A18" w:rsidRPr="00A52AEE" w:rsidRDefault="005F0A18" w:rsidP="001923B6">
            <w:pPr>
              <w:jc w:val="right"/>
              <w:rPr>
                <w:lang w:eastAsia="en-GB"/>
              </w:rPr>
            </w:pPr>
            <w:r w:rsidRPr="00A52AEE">
              <w:rPr>
                <w:lang w:eastAsia="en-GB"/>
              </w:rPr>
              <w:t>10%</w:t>
            </w:r>
          </w:p>
        </w:tc>
      </w:tr>
      <w:tr w:rsidR="005F0A18" w:rsidRPr="00A52AEE" w14:paraId="4338115E"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2860714E"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16E79228" w14:textId="77777777" w:rsidR="005F0A18" w:rsidRPr="00A52AEE" w:rsidRDefault="005F0A18" w:rsidP="00A52AEE">
            <w:pPr>
              <w:rPr>
                <w:lang w:eastAsia="en-GB"/>
              </w:rPr>
            </w:pPr>
            <w:r w:rsidRPr="00A52AEE">
              <w:rPr>
                <w:lang w:eastAsia="en-GB"/>
              </w:rPr>
              <w:t>HNC/HND</w:t>
            </w:r>
          </w:p>
        </w:tc>
        <w:tc>
          <w:tcPr>
            <w:tcW w:w="579" w:type="pct"/>
            <w:tcBorders>
              <w:top w:val="nil"/>
              <w:left w:val="nil"/>
              <w:bottom w:val="single" w:sz="4" w:space="0" w:color="auto"/>
              <w:right w:val="single" w:sz="4" w:space="0" w:color="auto"/>
            </w:tcBorders>
            <w:shd w:val="clear" w:color="auto" w:fill="auto"/>
            <w:noWrap/>
            <w:vAlign w:val="bottom"/>
            <w:hideMark/>
          </w:tcPr>
          <w:p w14:paraId="4CDED3AF" w14:textId="77777777" w:rsidR="005F0A18" w:rsidRPr="00A52AEE" w:rsidRDefault="005F0A18" w:rsidP="001923B6">
            <w:pPr>
              <w:jc w:val="right"/>
              <w:rPr>
                <w:lang w:eastAsia="en-GB"/>
              </w:rPr>
            </w:pPr>
            <w:r w:rsidRPr="00A52AEE">
              <w:rPr>
                <w:lang w:eastAsia="en-GB"/>
              </w:rPr>
              <w:t>4%</w:t>
            </w:r>
          </w:p>
        </w:tc>
        <w:tc>
          <w:tcPr>
            <w:tcW w:w="578" w:type="pct"/>
            <w:tcBorders>
              <w:top w:val="nil"/>
              <w:left w:val="nil"/>
              <w:bottom w:val="single" w:sz="4" w:space="0" w:color="auto"/>
              <w:right w:val="single" w:sz="4" w:space="0" w:color="auto"/>
            </w:tcBorders>
            <w:shd w:val="clear" w:color="auto" w:fill="auto"/>
            <w:noWrap/>
            <w:vAlign w:val="bottom"/>
            <w:hideMark/>
          </w:tcPr>
          <w:p w14:paraId="1B6BC189" w14:textId="77777777" w:rsidR="005F0A18" w:rsidRPr="00A52AEE" w:rsidRDefault="005F0A18" w:rsidP="001923B6">
            <w:pPr>
              <w:jc w:val="right"/>
              <w:rPr>
                <w:lang w:eastAsia="en-GB"/>
              </w:rPr>
            </w:pPr>
            <w:r w:rsidRPr="00A52AEE">
              <w:rPr>
                <w:lang w:eastAsia="en-GB"/>
              </w:rPr>
              <w:t>3%</w:t>
            </w:r>
          </w:p>
        </w:tc>
        <w:tc>
          <w:tcPr>
            <w:tcW w:w="651" w:type="pct"/>
            <w:tcBorders>
              <w:top w:val="nil"/>
              <w:left w:val="nil"/>
              <w:bottom w:val="single" w:sz="4" w:space="0" w:color="auto"/>
              <w:right w:val="single" w:sz="4" w:space="0" w:color="auto"/>
            </w:tcBorders>
            <w:shd w:val="clear" w:color="auto" w:fill="auto"/>
            <w:noWrap/>
            <w:vAlign w:val="bottom"/>
            <w:hideMark/>
          </w:tcPr>
          <w:p w14:paraId="0FEC59E6" w14:textId="77777777" w:rsidR="005F0A18" w:rsidRPr="00A52AEE" w:rsidRDefault="005F0A18" w:rsidP="001923B6">
            <w:pPr>
              <w:jc w:val="right"/>
              <w:rPr>
                <w:lang w:eastAsia="en-GB"/>
              </w:rPr>
            </w:pPr>
            <w:r w:rsidRPr="00A52AEE">
              <w:rPr>
                <w:lang w:eastAsia="en-GB"/>
              </w:rPr>
              <w:t>3%</w:t>
            </w:r>
          </w:p>
        </w:tc>
        <w:tc>
          <w:tcPr>
            <w:tcW w:w="579" w:type="pct"/>
            <w:tcBorders>
              <w:top w:val="nil"/>
              <w:left w:val="nil"/>
              <w:bottom w:val="single" w:sz="4" w:space="0" w:color="auto"/>
              <w:right w:val="single" w:sz="4" w:space="0" w:color="auto"/>
            </w:tcBorders>
            <w:shd w:val="clear" w:color="auto" w:fill="auto"/>
            <w:noWrap/>
            <w:vAlign w:val="bottom"/>
            <w:hideMark/>
          </w:tcPr>
          <w:p w14:paraId="794177B6" w14:textId="77777777" w:rsidR="005F0A18" w:rsidRPr="00A52AEE" w:rsidRDefault="005F0A18" w:rsidP="001923B6">
            <w:pPr>
              <w:jc w:val="right"/>
              <w:rPr>
                <w:lang w:eastAsia="en-GB"/>
              </w:rPr>
            </w:pPr>
            <w:r w:rsidRPr="00A52AEE">
              <w:rPr>
                <w:lang w:eastAsia="en-GB"/>
              </w:rPr>
              <w:t>4%</w:t>
            </w:r>
          </w:p>
        </w:tc>
        <w:tc>
          <w:tcPr>
            <w:tcW w:w="604" w:type="pct"/>
            <w:tcBorders>
              <w:top w:val="nil"/>
              <w:left w:val="nil"/>
              <w:bottom w:val="single" w:sz="4" w:space="0" w:color="auto"/>
              <w:right w:val="single" w:sz="4" w:space="0" w:color="auto"/>
            </w:tcBorders>
            <w:shd w:val="clear" w:color="auto" w:fill="auto"/>
            <w:noWrap/>
            <w:vAlign w:val="bottom"/>
            <w:hideMark/>
          </w:tcPr>
          <w:p w14:paraId="5F9A72EF" w14:textId="77777777" w:rsidR="005F0A18" w:rsidRPr="00A52AEE" w:rsidRDefault="005F0A18" w:rsidP="001923B6">
            <w:pPr>
              <w:jc w:val="right"/>
              <w:rPr>
                <w:lang w:eastAsia="en-GB"/>
              </w:rPr>
            </w:pPr>
            <w:r w:rsidRPr="00A52AEE">
              <w:rPr>
                <w:lang w:eastAsia="en-GB"/>
              </w:rPr>
              <w:t>12%</w:t>
            </w:r>
          </w:p>
        </w:tc>
      </w:tr>
      <w:tr w:rsidR="005F0A18" w:rsidRPr="00A52AEE" w14:paraId="1AE1B43D"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58FF151E"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4CDA1529" w14:textId="77777777" w:rsidR="005F0A18" w:rsidRPr="00A52AEE" w:rsidRDefault="005F0A18" w:rsidP="00A52AEE">
            <w:pPr>
              <w:rPr>
                <w:lang w:eastAsia="en-GB"/>
              </w:rPr>
            </w:pPr>
            <w:r w:rsidRPr="00A52AEE">
              <w:rPr>
                <w:lang w:eastAsia="en-GB"/>
              </w:rPr>
              <w:t>NVQ</w:t>
            </w:r>
          </w:p>
        </w:tc>
        <w:tc>
          <w:tcPr>
            <w:tcW w:w="579" w:type="pct"/>
            <w:tcBorders>
              <w:top w:val="nil"/>
              <w:left w:val="nil"/>
              <w:bottom w:val="single" w:sz="4" w:space="0" w:color="auto"/>
              <w:right w:val="single" w:sz="4" w:space="0" w:color="auto"/>
            </w:tcBorders>
            <w:shd w:val="clear" w:color="auto" w:fill="auto"/>
            <w:noWrap/>
            <w:vAlign w:val="bottom"/>
            <w:hideMark/>
          </w:tcPr>
          <w:p w14:paraId="656AA9FF" w14:textId="77777777" w:rsidR="005F0A18" w:rsidRPr="00A52AEE" w:rsidRDefault="005F0A18" w:rsidP="001923B6">
            <w:pPr>
              <w:jc w:val="right"/>
              <w:rPr>
                <w:lang w:eastAsia="en-GB"/>
              </w:rPr>
            </w:pPr>
            <w:r w:rsidRPr="00A52AEE">
              <w:rPr>
                <w:lang w:eastAsia="en-GB"/>
              </w:rPr>
              <w:t>0%</w:t>
            </w:r>
          </w:p>
        </w:tc>
        <w:tc>
          <w:tcPr>
            <w:tcW w:w="578" w:type="pct"/>
            <w:tcBorders>
              <w:top w:val="nil"/>
              <w:left w:val="nil"/>
              <w:bottom w:val="single" w:sz="4" w:space="0" w:color="auto"/>
              <w:right w:val="single" w:sz="4" w:space="0" w:color="auto"/>
            </w:tcBorders>
            <w:shd w:val="clear" w:color="auto" w:fill="auto"/>
            <w:noWrap/>
            <w:vAlign w:val="bottom"/>
            <w:hideMark/>
          </w:tcPr>
          <w:p w14:paraId="48088F40" w14:textId="77777777" w:rsidR="005F0A18" w:rsidRPr="00A52AEE" w:rsidRDefault="005F0A18" w:rsidP="001923B6">
            <w:pPr>
              <w:jc w:val="right"/>
              <w:rPr>
                <w:lang w:eastAsia="en-GB"/>
              </w:rPr>
            </w:pPr>
            <w:r w:rsidRPr="00A52AEE">
              <w:rPr>
                <w:lang w:eastAsia="en-GB"/>
              </w:rPr>
              <w:t>1%</w:t>
            </w:r>
          </w:p>
        </w:tc>
        <w:tc>
          <w:tcPr>
            <w:tcW w:w="651" w:type="pct"/>
            <w:tcBorders>
              <w:top w:val="nil"/>
              <w:left w:val="nil"/>
              <w:bottom w:val="single" w:sz="4" w:space="0" w:color="auto"/>
              <w:right w:val="single" w:sz="4" w:space="0" w:color="auto"/>
            </w:tcBorders>
            <w:shd w:val="clear" w:color="auto" w:fill="auto"/>
            <w:noWrap/>
            <w:vAlign w:val="bottom"/>
            <w:hideMark/>
          </w:tcPr>
          <w:p w14:paraId="0B6C6E82" w14:textId="77777777" w:rsidR="005F0A18" w:rsidRPr="00A52AEE" w:rsidRDefault="005F0A18" w:rsidP="001923B6">
            <w:pPr>
              <w:jc w:val="right"/>
              <w:rPr>
                <w:lang w:eastAsia="en-GB"/>
              </w:rPr>
            </w:pPr>
            <w:r w:rsidRPr="00A52AEE">
              <w:rPr>
                <w:lang w:eastAsia="en-GB"/>
              </w:rPr>
              <w:t>0%</w:t>
            </w:r>
          </w:p>
        </w:tc>
        <w:tc>
          <w:tcPr>
            <w:tcW w:w="579" w:type="pct"/>
            <w:tcBorders>
              <w:top w:val="nil"/>
              <w:left w:val="nil"/>
              <w:bottom w:val="single" w:sz="4" w:space="0" w:color="auto"/>
              <w:right w:val="single" w:sz="4" w:space="0" w:color="auto"/>
            </w:tcBorders>
            <w:shd w:val="clear" w:color="auto" w:fill="auto"/>
            <w:noWrap/>
            <w:vAlign w:val="bottom"/>
            <w:hideMark/>
          </w:tcPr>
          <w:p w14:paraId="59D8260D" w14:textId="77777777" w:rsidR="005F0A18" w:rsidRPr="00A52AEE" w:rsidRDefault="005F0A18" w:rsidP="001923B6">
            <w:pPr>
              <w:jc w:val="right"/>
              <w:rPr>
                <w:lang w:eastAsia="en-GB"/>
              </w:rPr>
            </w:pPr>
            <w:r w:rsidRPr="00A52AEE">
              <w:rPr>
                <w:lang w:eastAsia="en-GB"/>
              </w:rPr>
              <w:t>0%</w:t>
            </w:r>
          </w:p>
        </w:tc>
        <w:tc>
          <w:tcPr>
            <w:tcW w:w="604" w:type="pct"/>
            <w:tcBorders>
              <w:top w:val="nil"/>
              <w:left w:val="nil"/>
              <w:bottom w:val="single" w:sz="4" w:space="0" w:color="auto"/>
              <w:right w:val="single" w:sz="4" w:space="0" w:color="auto"/>
            </w:tcBorders>
            <w:shd w:val="clear" w:color="auto" w:fill="auto"/>
            <w:noWrap/>
            <w:vAlign w:val="bottom"/>
            <w:hideMark/>
          </w:tcPr>
          <w:p w14:paraId="54389CBC" w14:textId="77777777" w:rsidR="005F0A18" w:rsidRPr="00A52AEE" w:rsidRDefault="005F0A18" w:rsidP="001923B6">
            <w:pPr>
              <w:jc w:val="right"/>
              <w:rPr>
                <w:lang w:eastAsia="en-GB"/>
              </w:rPr>
            </w:pPr>
            <w:r w:rsidRPr="00A52AEE">
              <w:rPr>
                <w:lang w:eastAsia="en-GB"/>
              </w:rPr>
              <w:t>0%</w:t>
            </w:r>
          </w:p>
        </w:tc>
      </w:tr>
      <w:tr w:rsidR="005F0A18" w:rsidRPr="00A52AEE" w14:paraId="580E7335" w14:textId="77777777" w:rsidTr="00D2390D">
        <w:trPr>
          <w:trHeight w:val="315"/>
        </w:trPr>
        <w:tc>
          <w:tcPr>
            <w:tcW w:w="779" w:type="pct"/>
            <w:vMerge/>
            <w:tcBorders>
              <w:top w:val="nil"/>
              <w:left w:val="single" w:sz="4" w:space="0" w:color="auto"/>
              <w:bottom w:val="single" w:sz="4" w:space="0" w:color="000000"/>
              <w:right w:val="single" w:sz="4" w:space="0" w:color="auto"/>
            </w:tcBorders>
            <w:vAlign w:val="center"/>
            <w:hideMark/>
          </w:tcPr>
          <w:p w14:paraId="5FCC36C4"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385DD64B" w14:textId="77777777" w:rsidR="005F0A18" w:rsidRPr="00A52AEE" w:rsidRDefault="005F0A18" w:rsidP="00A52AEE">
            <w:pPr>
              <w:rPr>
                <w:lang w:eastAsia="en-GB"/>
              </w:rPr>
            </w:pPr>
            <w:r w:rsidRPr="00A52AEE">
              <w:rPr>
                <w:lang w:eastAsia="en-GB"/>
              </w:rPr>
              <w:t>Other undergraduate</w:t>
            </w:r>
          </w:p>
        </w:tc>
        <w:tc>
          <w:tcPr>
            <w:tcW w:w="579" w:type="pct"/>
            <w:tcBorders>
              <w:top w:val="nil"/>
              <w:left w:val="nil"/>
              <w:bottom w:val="single" w:sz="4" w:space="0" w:color="auto"/>
              <w:right w:val="single" w:sz="4" w:space="0" w:color="auto"/>
            </w:tcBorders>
            <w:shd w:val="clear" w:color="auto" w:fill="auto"/>
            <w:noWrap/>
            <w:vAlign w:val="bottom"/>
            <w:hideMark/>
          </w:tcPr>
          <w:p w14:paraId="02F2D3F7" w14:textId="77777777" w:rsidR="005F0A18" w:rsidRPr="00A52AEE" w:rsidRDefault="005F0A18" w:rsidP="001923B6">
            <w:pPr>
              <w:jc w:val="right"/>
              <w:rPr>
                <w:lang w:eastAsia="en-GB"/>
              </w:rPr>
            </w:pPr>
            <w:r w:rsidRPr="00A52AEE">
              <w:rPr>
                <w:lang w:eastAsia="en-GB"/>
              </w:rPr>
              <w:t>23%</w:t>
            </w:r>
          </w:p>
        </w:tc>
        <w:tc>
          <w:tcPr>
            <w:tcW w:w="578" w:type="pct"/>
            <w:tcBorders>
              <w:top w:val="nil"/>
              <w:left w:val="nil"/>
              <w:bottom w:val="single" w:sz="4" w:space="0" w:color="auto"/>
              <w:right w:val="single" w:sz="4" w:space="0" w:color="auto"/>
            </w:tcBorders>
            <w:shd w:val="clear" w:color="auto" w:fill="auto"/>
            <w:noWrap/>
            <w:vAlign w:val="bottom"/>
            <w:hideMark/>
          </w:tcPr>
          <w:p w14:paraId="38BA609B" w14:textId="77777777" w:rsidR="005F0A18" w:rsidRPr="00A52AEE" w:rsidRDefault="005F0A18" w:rsidP="001923B6">
            <w:pPr>
              <w:jc w:val="right"/>
              <w:rPr>
                <w:lang w:eastAsia="en-GB"/>
              </w:rPr>
            </w:pPr>
            <w:r w:rsidRPr="00A52AEE">
              <w:rPr>
                <w:lang w:eastAsia="en-GB"/>
              </w:rPr>
              <w:t>37%</w:t>
            </w:r>
          </w:p>
        </w:tc>
        <w:tc>
          <w:tcPr>
            <w:tcW w:w="651" w:type="pct"/>
            <w:tcBorders>
              <w:top w:val="nil"/>
              <w:left w:val="nil"/>
              <w:bottom w:val="single" w:sz="4" w:space="0" w:color="auto"/>
              <w:right w:val="single" w:sz="4" w:space="0" w:color="auto"/>
            </w:tcBorders>
            <w:shd w:val="clear" w:color="auto" w:fill="auto"/>
            <w:noWrap/>
            <w:vAlign w:val="bottom"/>
            <w:hideMark/>
          </w:tcPr>
          <w:p w14:paraId="6118E4CA" w14:textId="77777777" w:rsidR="005F0A18" w:rsidRPr="00A52AEE" w:rsidRDefault="005F0A18" w:rsidP="001923B6">
            <w:pPr>
              <w:jc w:val="right"/>
              <w:rPr>
                <w:lang w:eastAsia="en-GB"/>
              </w:rPr>
            </w:pPr>
            <w:r w:rsidRPr="00A52AEE">
              <w:rPr>
                <w:lang w:eastAsia="en-GB"/>
              </w:rPr>
              <w:t>36%</w:t>
            </w:r>
          </w:p>
        </w:tc>
        <w:tc>
          <w:tcPr>
            <w:tcW w:w="579" w:type="pct"/>
            <w:tcBorders>
              <w:top w:val="nil"/>
              <w:left w:val="nil"/>
              <w:bottom w:val="single" w:sz="4" w:space="0" w:color="auto"/>
              <w:right w:val="single" w:sz="4" w:space="0" w:color="auto"/>
            </w:tcBorders>
            <w:shd w:val="clear" w:color="auto" w:fill="auto"/>
            <w:noWrap/>
            <w:vAlign w:val="bottom"/>
            <w:hideMark/>
          </w:tcPr>
          <w:p w14:paraId="130DF8FF" w14:textId="77777777" w:rsidR="005F0A18" w:rsidRPr="00A52AEE" w:rsidRDefault="005F0A18" w:rsidP="001923B6">
            <w:pPr>
              <w:jc w:val="right"/>
              <w:rPr>
                <w:lang w:eastAsia="en-GB"/>
              </w:rPr>
            </w:pPr>
            <w:r w:rsidRPr="00A52AEE">
              <w:rPr>
                <w:lang w:eastAsia="en-GB"/>
              </w:rPr>
              <w:t>31%</w:t>
            </w:r>
          </w:p>
        </w:tc>
        <w:tc>
          <w:tcPr>
            <w:tcW w:w="604" w:type="pct"/>
            <w:tcBorders>
              <w:top w:val="nil"/>
              <w:left w:val="nil"/>
              <w:bottom w:val="single" w:sz="4" w:space="0" w:color="auto"/>
              <w:right w:val="single" w:sz="4" w:space="0" w:color="auto"/>
            </w:tcBorders>
            <w:shd w:val="clear" w:color="auto" w:fill="auto"/>
            <w:noWrap/>
            <w:vAlign w:val="bottom"/>
            <w:hideMark/>
          </w:tcPr>
          <w:p w14:paraId="1A15F96C" w14:textId="77777777" w:rsidR="005F0A18" w:rsidRPr="00A52AEE" w:rsidRDefault="005F0A18" w:rsidP="001923B6">
            <w:pPr>
              <w:jc w:val="right"/>
              <w:rPr>
                <w:lang w:eastAsia="en-GB"/>
              </w:rPr>
            </w:pPr>
            <w:r w:rsidRPr="00A52AEE">
              <w:rPr>
                <w:lang w:eastAsia="en-GB"/>
              </w:rPr>
              <w:t>33%</w:t>
            </w:r>
          </w:p>
        </w:tc>
      </w:tr>
      <w:tr w:rsidR="005F0A18" w:rsidRPr="00A52AEE" w14:paraId="5E84EDC3" w14:textId="77777777" w:rsidTr="00D2390D">
        <w:trPr>
          <w:trHeight w:val="300"/>
        </w:trPr>
        <w:tc>
          <w:tcPr>
            <w:tcW w:w="779" w:type="pct"/>
            <w:vMerge/>
            <w:tcBorders>
              <w:top w:val="nil"/>
              <w:left w:val="single" w:sz="4" w:space="0" w:color="auto"/>
              <w:bottom w:val="single" w:sz="4" w:space="0" w:color="000000"/>
              <w:right w:val="single" w:sz="4" w:space="0" w:color="auto"/>
            </w:tcBorders>
            <w:vAlign w:val="center"/>
            <w:hideMark/>
          </w:tcPr>
          <w:p w14:paraId="3D66A354" w14:textId="77777777" w:rsidR="005F0A18" w:rsidRPr="00A52AEE" w:rsidRDefault="005F0A18" w:rsidP="00A52AEE">
            <w:pPr>
              <w:rPr>
                <w:lang w:eastAsia="en-GB"/>
              </w:rPr>
            </w:pPr>
          </w:p>
        </w:tc>
        <w:tc>
          <w:tcPr>
            <w:tcW w:w="1230" w:type="pct"/>
            <w:tcBorders>
              <w:top w:val="nil"/>
              <w:left w:val="nil"/>
              <w:bottom w:val="single" w:sz="4" w:space="0" w:color="auto"/>
              <w:right w:val="single" w:sz="4" w:space="0" w:color="auto"/>
            </w:tcBorders>
            <w:shd w:val="clear" w:color="auto" w:fill="auto"/>
            <w:noWrap/>
            <w:vAlign w:val="bottom"/>
            <w:hideMark/>
          </w:tcPr>
          <w:p w14:paraId="259496A6" w14:textId="77777777" w:rsidR="005F0A18" w:rsidRPr="00A52AEE" w:rsidRDefault="005F0A18" w:rsidP="00A52AEE">
            <w:pPr>
              <w:rPr>
                <w:lang w:eastAsia="en-GB"/>
              </w:rPr>
            </w:pPr>
            <w:r w:rsidRPr="00A52AEE">
              <w:rPr>
                <w:lang w:eastAsia="en-GB"/>
              </w:rPr>
              <w:t>Postgraduate</w:t>
            </w:r>
          </w:p>
        </w:tc>
        <w:tc>
          <w:tcPr>
            <w:tcW w:w="579" w:type="pct"/>
            <w:tcBorders>
              <w:top w:val="nil"/>
              <w:left w:val="nil"/>
              <w:bottom w:val="single" w:sz="4" w:space="0" w:color="auto"/>
              <w:right w:val="single" w:sz="4" w:space="0" w:color="auto"/>
            </w:tcBorders>
            <w:shd w:val="clear" w:color="auto" w:fill="auto"/>
            <w:noWrap/>
            <w:vAlign w:val="bottom"/>
            <w:hideMark/>
          </w:tcPr>
          <w:p w14:paraId="50641C92" w14:textId="77777777" w:rsidR="005F0A18" w:rsidRPr="00A52AEE" w:rsidRDefault="005F0A18" w:rsidP="001923B6">
            <w:pPr>
              <w:jc w:val="right"/>
              <w:rPr>
                <w:lang w:eastAsia="en-GB"/>
              </w:rPr>
            </w:pPr>
            <w:r w:rsidRPr="00A52AEE">
              <w:rPr>
                <w:lang w:eastAsia="en-GB"/>
              </w:rPr>
              <w:t>10%</w:t>
            </w:r>
          </w:p>
        </w:tc>
        <w:tc>
          <w:tcPr>
            <w:tcW w:w="578" w:type="pct"/>
            <w:tcBorders>
              <w:top w:val="nil"/>
              <w:left w:val="nil"/>
              <w:bottom w:val="single" w:sz="4" w:space="0" w:color="auto"/>
              <w:right w:val="single" w:sz="4" w:space="0" w:color="auto"/>
            </w:tcBorders>
            <w:shd w:val="clear" w:color="auto" w:fill="auto"/>
            <w:noWrap/>
            <w:vAlign w:val="bottom"/>
            <w:hideMark/>
          </w:tcPr>
          <w:p w14:paraId="2BA8E4B5" w14:textId="77777777" w:rsidR="005F0A18" w:rsidRPr="00A52AEE" w:rsidRDefault="005F0A18" w:rsidP="001923B6">
            <w:pPr>
              <w:jc w:val="right"/>
              <w:rPr>
                <w:lang w:eastAsia="en-GB"/>
              </w:rPr>
            </w:pPr>
            <w:r w:rsidRPr="00A52AEE">
              <w:rPr>
                <w:lang w:eastAsia="en-GB"/>
              </w:rPr>
              <w:t>8%</w:t>
            </w:r>
          </w:p>
        </w:tc>
        <w:tc>
          <w:tcPr>
            <w:tcW w:w="651" w:type="pct"/>
            <w:tcBorders>
              <w:top w:val="nil"/>
              <w:left w:val="nil"/>
              <w:bottom w:val="single" w:sz="4" w:space="0" w:color="auto"/>
              <w:right w:val="single" w:sz="4" w:space="0" w:color="auto"/>
            </w:tcBorders>
            <w:shd w:val="clear" w:color="auto" w:fill="auto"/>
            <w:noWrap/>
            <w:vAlign w:val="bottom"/>
            <w:hideMark/>
          </w:tcPr>
          <w:p w14:paraId="095ABB2A" w14:textId="77777777" w:rsidR="005F0A18" w:rsidRPr="00A52AEE" w:rsidRDefault="005F0A18" w:rsidP="001923B6">
            <w:pPr>
              <w:jc w:val="right"/>
              <w:rPr>
                <w:lang w:eastAsia="en-GB"/>
              </w:rPr>
            </w:pPr>
            <w:r w:rsidRPr="00A52AEE">
              <w:rPr>
                <w:lang w:eastAsia="en-GB"/>
              </w:rPr>
              <w:t>7%</w:t>
            </w:r>
          </w:p>
        </w:tc>
        <w:tc>
          <w:tcPr>
            <w:tcW w:w="579" w:type="pct"/>
            <w:tcBorders>
              <w:top w:val="nil"/>
              <w:left w:val="nil"/>
              <w:bottom w:val="single" w:sz="4" w:space="0" w:color="auto"/>
              <w:right w:val="single" w:sz="4" w:space="0" w:color="auto"/>
            </w:tcBorders>
            <w:shd w:val="clear" w:color="auto" w:fill="auto"/>
            <w:noWrap/>
            <w:vAlign w:val="bottom"/>
            <w:hideMark/>
          </w:tcPr>
          <w:p w14:paraId="78CAF1B4" w14:textId="77777777" w:rsidR="005F0A18" w:rsidRPr="00A52AEE" w:rsidRDefault="005F0A18" w:rsidP="001923B6">
            <w:pPr>
              <w:jc w:val="right"/>
              <w:rPr>
                <w:lang w:eastAsia="en-GB"/>
              </w:rPr>
            </w:pPr>
            <w:r w:rsidRPr="00A52AEE">
              <w:rPr>
                <w:lang w:eastAsia="en-GB"/>
              </w:rPr>
              <w:t>5%</w:t>
            </w:r>
          </w:p>
        </w:tc>
        <w:tc>
          <w:tcPr>
            <w:tcW w:w="604" w:type="pct"/>
            <w:tcBorders>
              <w:top w:val="nil"/>
              <w:left w:val="nil"/>
              <w:bottom w:val="single" w:sz="4" w:space="0" w:color="auto"/>
              <w:right w:val="single" w:sz="4" w:space="0" w:color="auto"/>
            </w:tcBorders>
            <w:shd w:val="clear" w:color="auto" w:fill="auto"/>
            <w:noWrap/>
            <w:vAlign w:val="bottom"/>
            <w:hideMark/>
          </w:tcPr>
          <w:p w14:paraId="1CA7701E" w14:textId="77777777" w:rsidR="005F0A18" w:rsidRPr="00A52AEE" w:rsidRDefault="005F0A18" w:rsidP="001923B6">
            <w:pPr>
              <w:jc w:val="right"/>
              <w:rPr>
                <w:lang w:eastAsia="en-GB"/>
              </w:rPr>
            </w:pPr>
            <w:r w:rsidRPr="00A52AEE">
              <w:rPr>
                <w:lang w:eastAsia="en-GB"/>
              </w:rPr>
              <w:t>2%</w:t>
            </w:r>
          </w:p>
        </w:tc>
      </w:tr>
    </w:tbl>
    <w:p w14:paraId="1586FB3D" w14:textId="77777777" w:rsidR="00D60DA6" w:rsidRPr="00A52AEE" w:rsidRDefault="00D60DA6" w:rsidP="00A52AEE"/>
    <w:p w14:paraId="1A2062A3" w14:textId="7F9C2DF4" w:rsidR="00D60DA6" w:rsidRPr="00A52AEE" w:rsidRDefault="00593BBA" w:rsidP="008D527A">
      <w:pPr>
        <w:pStyle w:val="Heading2"/>
      </w:pPr>
      <w:bookmarkStart w:id="120" w:name="_Toc429151336"/>
      <w:r w:rsidRPr="00A52AEE">
        <w:t>5.12</w:t>
      </w:r>
      <w:r w:rsidRPr="00A52AEE">
        <w:tab/>
      </w:r>
      <w:r w:rsidR="001923B6">
        <w:tab/>
      </w:r>
      <w:r w:rsidR="00D2390D" w:rsidRPr="00A52AEE">
        <w:t>H</w:t>
      </w:r>
      <w:r w:rsidR="00012E3F" w:rsidRPr="00A52AEE">
        <w:t>E qualifica</w:t>
      </w:r>
      <w:r w:rsidR="00B03413">
        <w:t>tion</w:t>
      </w:r>
      <w:r w:rsidR="00012E3F" w:rsidRPr="00A52AEE">
        <w:t xml:space="preserve">, delivery and </w:t>
      </w:r>
      <w:r w:rsidR="0021637B" w:rsidRPr="00A52AEE">
        <w:t>Level</w:t>
      </w:r>
      <w:r w:rsidR="00D60DA6" w:rsidRPr="00A52AEE">
        <w:t xml:space="preserve"> 3 qualification type</w:t>
      </w:r>
      <w:bookmarkEnd w:id="120"/>
    </w:p>
    <w:p w14:paraId="7B468E1D" w14:textId="2EF199F5" w:rsidR="00D60DA6" w:rsidRPr="00A52AEE" w:rsidRDefault="00D60DA6" w:rsidP="00A52AEE">
      <w:pPr>
        <w:rPr>
          <w:lang w:eastAsia="en-GB"/>
        </w:rPr>
      </w:pPr>
      <w:r w:rsidRPr="00A52AEE">
        <w:rPr>
          <w:lang w:eastAsia="en-GB"/>
        </w:rPr>
        <w:t>The numbers of OUG</w:t>
      </w:r>
      <w:r w:rsidR="001923B6">
        <w:rPr>
          <w:lang w:eastAsia="en-GB"/>
        </w:rPr>
        <w:t xml:space="preserve"> programmes being delivered by u</w:t>
      </w:r>
      <w:r w:rsidR="004A29AC" w:rsidRPr="00A52AEE">
        <w:rPr>
          <w:lang w:eastAsia="en-GB"/>
        </w:rPr>
        <w:t xml:space="preserve">niversities to the </w:t>
      </w:r>
      <w:r w:rsidR="0076166E" w:rsidRPr="00A52AEE">
        <w:rPr>
          <w:lang w:eastAsia="en-GB"/>
        </w:rPr>
        <w:t>London</w:t>
      </w:r>
      <w:r w:rsidR="004A29AC" w:rsidRPr="00A52AEE">
        <w:rPr>
          <w:lang w:eastAsia="en-GB"/>
        </w:rPr>
        <w:t xml:space="preserve"> </w:t>
      </w:r>
      <w:r w:rsidR="0021637B" w:rsidRPr="00A52AEE">
        <w:rPr>
          <w:lang w:eastAsia="en-GB"/>
        </w:rPr>
        <w:t>Level</w:t>
      </w:r>
      <w:r w:rsidR="004A29AC" w:rsidRPr="00A52AEE">
        <w:rPr>
          <w:lang w:eastAsia="en-GB"/>
        </w:rPr>
        <w:t xml:space="preserve"> 3 cohort has seen a fall, although this is mostly due to the change in Nursing Diploma to Degree level.  In contrast, the number of HNC/HNDs delivered by HE in FE ha</w:t>
      </w:r>
      <w:r w:rsidR="001923B6">
        <w:rPr>
          <w:lang w:eastAsia="en-GB"/>
        </w:rPr>
        <w:t>ve</w:t>
      </w:r>
      <w:r w:rsidR="004A29AC" w:rsidRPr="00A52AEE">
        <w:rPr>
          <w:lang w:eastAsia="en-GB"/>
        </w:rPr>
        <w:t xml:space="preserve"> increased,</w:t>
      </w:r>
      <w:r w:rsidR="001923B6">
        <w:rPr>
          <w:lang w:eastAsia="en-GB"/>
        </w:rPr>
        <w:t xml:space="preserve"> as has OUG programmes which have</w:t>
      </w:r>
      <w:r w:rsidR="004A29AC" w:rsidRPr="00A52AEE">
        <w:rPr>
          <w:lang w:eastAsia="en-GB"/>
        </w:rPr>
        <w:t xml:space="preserve"> increased considerably.</w:t>
      </w:r>
      <w:r w:rsidR="0056198A" w:rsidRPr="00A52AEE">
        <w:rPr>
          <w:lang w:eastAsia="en-GB"/>
        </w:rPr>
        <w:t xml:space="preserve"> Further investigation revealed that this increase was mainly due to progression of students to Accountancy at Level 4.</w:t>
      </w:r>
    </w:p>
    <w:p w14:paraId="0C5D8867" w14:textId="77777777" w:rsidR="00D60DA6" w:rsidRPr="00A52AEE" w:rsidRDefault="00D60DA6" w:rsidP="00A52AEE">
      <w:pPr>
        <w:rPr>
          <w:lang w:eastAsia="en-GB"/>
        </w:rPr>
      </w:pPr>
    </w:p>
    <w:p w14:paraId="328B912D" w14:textId="6E3B2F82" w:rsidR="00D60DA6" w:rsidRPr="001923B6" w:rsidRDefault="00D60DA6" w:rsidP="00A52AEE">
      <w:pPr>
        <w:rPr>
          <w:b/>
        </w:rPr>
      </w:pPr>
      <w:r w:rsidRPr="001923B6">
        <w:rPr>
          <w:b/>
        </w:rPr>
        <w:t>Table 2</w:t>
      </w:r>
      <w:r w:rsidR="004D2866">
        <w:rPr>
          <w:b/>
        </w:rPr>
        <w:t>8</w:t>
      </w:r>
      <w:r w:rsidRPr="001923B6">
        <w:rPr>
          <w:b/>
        </w:rPr>
        <w:t xml:space="preserve">: HE qualification level by FE college </w:t>
      </w:r>
      <w:r w:rsidR="0021637B" w:rsidRPr="001923B6">
        <w:rPr>
          <w:b/>
        </w:rPr>
        <w:t>Level</w:t>
      </w:r>
      <w:r w:rsidRPr="001923B6">
        <w:rPr>
          <w:b/>
        </w:rPr>
        <w:t xml:space="preserve"> 3 qualification type</w:t>
      </w:r>
    </w:p>
    <w:p w14:paraId="0FF8030E" w14:textId="77777777" w:rsidR="00D2390D" w:rsidRPr="00A52AEE" w:rsidRDefault="00D2390D" w:rsidP="00A52AEE"/>
    <w:tbl>
      <w:tblPr>
        <w:tblW w:w="9580" w:type="dxa"/>
        <w:tblInd w:w="118" w:type="dxa"/>
        <w:tblLook w:val="04A0" w:firstRow="1" w:lastRow="0" w:firstColumn="1" w:lastColumn="0" w:noHBand="0" w:noVBand="1"/>
      </w:tblPr>
      <w:tblGrid>
        <w:gridCol w:w="515"/>
        <w:gridCol w:w="2317"/>
        <w:gridCol w:w="1093"/>
        <w:gridCol w:w="1140"/>
        <w:gridCol w:w="1140"/>
        <w:gridCol w:w="1140"/>
        <w:gridCol w:w="1140"/>
        <w:gridCol w:w="1095"/>
      </w:tblGrid>
      <w:tr w:rsidR="001923B6" w:rsidRPr="001923B6" w14:paraId="324F540E" w14:textId="77777777" w:rsidTr="00D2390D">
        <w:trPr>
          <w:trHeight w:val="330"/>
        </w:trPr>
        <w:tc>
          <w:tcPr>
            <w:tcW w:w="475"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textDirection w:val="btLr"/>
            <w:vAlign w:val="center"/>
            <w:hideMark/>
          </w:tcPr>
          <w:p w14:paraId="4BD70F93"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Delivery</w:t>
            </w:r>
          </w:p>
        </w:tc>
        <w:tc>
          <w:tcPr>
            <w:tcW w:w="2350"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147D5571"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HE qualification Type</w:t>
            </w:r>
          </w:p>
        </w:tc>
        <w:tc>
          <w:tcPr>
            <w:tcW w:w="5653" w:type="dxa"/>
            <w:gridSpan w:val="5"/>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27439E21" w14:textId="40B48769" w:rsidR="00D60DA6" w:rsidRPr="001923B6" w:rsidRDefault="00D60DA6" w:rsidP="001923B6">
            <w:pPr>
              <w:jc w:val="center"/>
              <w:rPr>
                <w:b/>
                <w:color w:val="FFFFFF" w:themeColor="background1"/>
                <w:lang w:eastAsia="en-GB"/>
              </w:rPr>
            </w:pPr>
            <w:r w:rsidRPr="001923B6">
              <w:rPr>
                <w:b/>
                <w:color w:val="FFFFFF" w:themeColor="background1"/>
                <w:lang w:eastAsia="en-GB"/>
              </w:rPr>
              <w:t xml:space="preserve">FE </w:t>
            </w:r>
            <w:r w:rsidR="0021637B" w:rsidRPr="001923B6">
              <w:rPr>
                <w:b/>
                <w:color w:val="FFFFFF" w:themeColor="background1"/>
                <w:lang w:eastAsia="en-GB"/>
              </w:rPr>
              <w:t>Level</w:t>
            </w:r>
            <w:r w:rsidRPr="001923B6">
              <w:rPr>
                <w:b/>
                <w:color w:val="FFFFFF" w:themeColor="background1"/>
                <w:lang w:eastAsia="en-GB"/>
              </w:rPr>
              <w:t xml:space="preserve"> 3 cohort, numbers of HE entrants</w:t>
            </w:r>
          </w:p>
        </w:tc>
        <w:tc>
          <w:tcPr>
            <w:tcW w:w="1102"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81615CD"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Change 2007-11</w:t>
            </w:r>
          </w:p>
        </w:tc>
      </w:tr>
      <w:tr w:rsidR="001923B6" w:rsidRPr="001923B6" w14:paraId="7F37FE6F" w14:textId="77777777" w:rsidTr="00D2390D">
        <w:trPr>
          <w:trHeight w:val="776"/>
        </w:trPr>
        <w:tc>
          <w:tcPr>
            <w:tcW w:w="475"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28587D39" w14:textId="77777777" w:rsidR="00D60DA6" w:rsidRPr="001923B6" w:rsidRDefault="00D60DA6" w:rsidP="001923B6">
            <w:pPr>
              <w:jc w:val="center"/>
              <w:rPr>
                <w:b/>
                <w:color w:val="FFFFFF" w:themeColor="background1"/>
                <w:lang w:eastAsia="en-GB"/>
              </w:rPr>
            </w:pPr>
          </w:p>
        </w:tc>
        <w:tc>
          <w:tcPr>
            <w:tcW w:w="2350"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5C8A8E7" w14:textId="77777777" w:rsidR="00D60DA6" w:rsidRPr="001923B6" w:rsidRDefault="00D60DA6" w:rsidP="001923B6">
            <w:pPr>
              <w:jc w:val="center"/>
              <w:rPr>
                <w:b/>
                <w:color w:val="FFFFFF" w:themeColor="background1"/>
                <w:lang w:eastAsia="en-GB"/>
              </w:rPr>
            </w:pPr>
          </w:p>
        </w:tc>
        <w:tc>
          <w:tcPr>
            <w:tcW w:w="1093" w:type="dxa"/>
            <w:tcBorders>
              <w:top w:val="nil"/>
              <w:left w:val="nil"/>
              <w:bottom w:val="single" w:sz="8" w:space="0" w:color="auto"/>
              <w:right w:val="single" w:sz="8" w:space="0" w:color="auto"/>
            </w:tcBorders>
            <w:shd w:val="clear" w:color="auto" w:fill="1F4E79" w:themeFill="accent1" w:themeFillShade="80"/>
            <w:vAlign w:val="center"/>
            <w:hideMark/>
          </w:tcPr>
          <w:p w14:paraId="5E04A4C5"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2007-08 into HE 2008-09</w:t>
            </w:r>
          </w:p>
        </w:tc>
        <w:tc>
          <w:tcPr>
            <w:tcW w:w="1140" w:type="dxa"/>
            <w:tcBorders>
              <w:top w:val="nil"/>
              <w:left w:val="nil"/>
              <w:bottom w:val="single" w:sz="8" w:space="0" w:color="auto"/>
              <w:right w:val="single" w:sz="8" w:space="0" w:color="auto"/>
            </w:tcBorders>
            <w:shd w:val="clear" w:color="auto" w:fill="1F4E79" w:themeFill="accent1" w:themeFillShade="80"/>
            <w:vAlign w:val="center"/>
            <w:hideMark/>
          </w:tcPr>
          <w:p w14:paraId="73320742"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2008-09 into HE 2009-10</w:t>
            </w:r>
          </w:p>
        </w:tc>
        <w:tc>
          <w:tcPr>
            <w:tcW w:w="1140" w:type="dxa"/>
            <w:tcBorders>
              <w:top w:val="nil"/>
              <w:left w:val="nil"/>
              <w:bottom w:val="single" w:sz="8" w:space="0" w:color="auto"/>
              <w:right w:val="single" w:sz="8" w:space="0" w:color="auto"/>
            </w:tcBorders>
            <w:shd w:val="clear" w:color="auto" w:fill="1F4E79" w:themeFill="accent1" w:themeFillShade="80"/>
            <w:vAlign w:val="center"/>
            <w:hideMark/>
          </w:tcPr>
          <w:p w14:paraId="614D6C2E"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2009-10 into HE 2010-11</w:t>
            </w:r>
          </w:p>
        </w:tc>
        <w:tc>
          <w:tcPr>
            <w:tcW w:w="1140" w:type="dxa"/>
            <w:tcBorders>
              <w:top w:val="nil"/>
              <w:left w:val="nil"/>
              <w:bottom w:val="single" w:sz="8" w:space="0" w:color="auto"/>
              <w:right w:val="single" w:sz="8" w:space="0" w:color="auto"/>
            </w:tcBorders>
            <w:shd w:val="clear" w:color="auto" w:fill="1F4E79" w:themeFill="accent1" w:themeFillShade="80"/>
            <w:vAlign w:val="center"/>
            <w:hideMark/>
          </w:tcPr>
          <w:p w14:paraId="723C0EA1"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2010-11 into HE 2011-12</w:t>
            </w:r>
          </w:p>
        </w:tc>
        <w:tc>
          <w:tcPr>
            <w:tcW w:w="1140" w:type="dxa"/>
            <w:tcBorders>
              <w:top w:val="nil"/>
              <w:left w:val="nil"/>
              <w:bottom w:val="single" w:sz="8" w:space="0" w:color="auto"/>
              <w:right w:val="single" w:sz="8" w:space="0" w:color="auto"/>
            </w:tcBorders>
            <w:shd w:val="clear" w:color="auto" w:fill="1F4E79" w:themeFill="accent1" w:themeFillShade="80"/>
            <w:vAlign w:val="center"/>
            <w:hideMark/>
          </w:tcPr>
          <w:p w14:paraId="050A223D" w14:textId="77777777" w:rsidR="00D60DA6" w:rsidRPr="001923B6" w:rsidRDefault="00D60DA6" w:rsidP="001923B6">
            <w:pPr>
              <w:jc w:val="center"/>
              <w:rPr>
                <w:b/>
                <w:color w:val="FFFFFF" w:themeColor="background1"/>
                <w:lang w:eastAsia="en-GB"/>
              </w:rPr>
            </w:pPr>
            <w:r w:rsidRPr="001923B6">
              <w:rPr>
                <w:b/>
                <w:color w:val="FFFFFF" w:themeColor="background1"/>
                <w:lang w:eastAsia="en-GB"/>
              </w:rPr>
              <w:t>2011-12 into HE 2012/13</w:t>
            </w:r>
          </w:p>
        </w:tc>
        <w:tc>
          <w:tcPr>
            <w:tcW w:w="1102"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70D0396D" w14:textId="77777777" w:rsidR="00D60DA6" w:rsidRPr="001923B6" w:rsidRDefault="00D60DA6" w:rsidP="001923B6">
            <w:pPr>
              <w:jc w:val="center"/>
              <w:rPr>
                <w:b/>
                <w:color w:val="FFFFFF" w:themeColor="background1"/>
                <w:lang w:eastAsia="en-GB"/>
              </w:rPr>
            </w:pPr>
          </w:p>
        </w:tc>
      </w:tr>
      <w:tr w:rsidR="004A29AC" w:rsidRPr="00A52AEE" w14:paraId="279300DA" w14:textId="77777777" w:rsidTr="0056198A">
        <w:trPr>
          <w:trHeight w:val="315"/>
        </w:trPr>
        <w:tc>
          <w:tcPr>
            <w:tcW w:w="47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2228E1A3" w14:textId="77777777" w:rsidR="004A29AC" w:rsidRPr="004D2866" w:rsidRDefault="004A29AC" w:rsidP="004D2866">
            <w:pPr>
              <w:jc w:val="center"/>
              <w:rPr>
                <w:b/>
                <w:lang w:eastAsia="en-GB"/>
              </w:rPr>
            </w:pPr>
            <w:r w:rsidRPr="004D2866">
              <w:rPr>
                <w:b/>
                <w:lang w:eastAsia="en-GB"/>
              </w:rPr>
              <w:t>All</w:t>
            </w:r>
          </w:p>
        </w:tc>
        <w:tc>
          <w:tcPr>
            <w:tcW w:w="2350" w:type="dxa"/>
            <w:tcBorders>
              <w:top w:val="nil"/>
              <w:left w:val="nil"/>
              <w:bottom w:val="single" w:sz="8" w:space="0" w:color="auto"/>
              <w:right w:val="single" w:sz="8" w:space="0" w:color="auto"/>
            </w:tcBorders>
            <w:shd w:val="clear" w:color="auto" w:fill="auto"/>
            <w:vAlign w:val="center"/>
            <w:hideMark/>
          </w:tcPr>
          <w:p w14:paraId="1564E0B1" w14:textId="2E18B03E" w:rsidR="004A29AC" w:rsidRPr="00A52AEE" w:rsidRDefault="004A29AC" w:rsidP="00A52AEE">
            <w:pPr>
              <w:rPr>
                <w:rFonts w:eastAsia="Times New Roman"/>
                <w:lang w:eastAsia="en-GB"/>
              </w:rPr>
            </w:pPr>
            <w:r w:rsidRPr="00A52AEE">
              <w:t>First degree</w:t>
            </w:r>
          </w:p>
        </w:tc>
        <w:tc>
          <w:tcPr>
            <w:tcW w:w="1093" w:type="dxa"/>
            <w:tcBorders>
              <w:top w:val="nil"/>
              <w:left w:val="nil"/>
              <w:bottom w:val="single" w:sz="8" w:space="0" w:color="auto"/>
              <w:right w:val="single" w:sz="8" w:space="0" w:color="auto"/>
            </w:tcBorders>
            <w:shd w:val="clear" w:color="auto" w:fill="auto"/>
            <w:vAlign w:val="center"/>
            <w:hideMark/>
          </w:tcPr>
          <w:p w14:paraId="5A0C9BCC" w14:textId="7515595F" w:rsidR="004A29AC" w:rsidRPr="00A52AEE" w:rsidRDefault="004A29AC" w:rsidP="001923B6">
            <w:pPr>
              <w:jc w:val="right"/>
              <w:rPr>
                <w:rFonts w:eastAsia="Times New Roman"/>
                <w:lang w:eastAsia="en-GB"/>
              </w:rPr>
            </w:pPr>
            <w:r w:rsidRPr="00A52AEE">
              <w:t>15350</w:t>
            </w:r>
          </w:p>
        </w:tc>
        <w:tc>
          <w:tcPr>
            <w:tcW w:w="1140" w:type="dxa"/>
            <w:tcBorders>
              <w:top w:val="nil"/>
              <w:left w:val="nil"/>
              <w:bottom w:val="single" w:sz="8" w:space="0" w:color="auto"/>
              <w:right w:val="single" w:sz="8" w:space="0" w:color="auto"/>
            </w:tcBorders>
            <w:shd w:val="clear" w:color="auto" w:fill="auto"/>
            <w:vAlign w:val="center"/>
            <w:hideMark/>
          </w:tcPr>
          <w:p w14:paraId="30C1D579" w14:textId="13BB0A45" w:rsidR="004A29AC" w:rsidRPr="00A52AEE" w:rsidRDefault="004A29AC" w:rsidP="001923B6">
            <w:pPr>
              <w:jc w:val="right"/>
              <w:rPr>
                <w:rFonts w:eastAsia="Times New Roman"/>
                <w:lang w:eastAsia="en-GB"/>
              </w:rPr>
            </w:pPr>
            <w:r w:rsidRPr="00A52AEE">
              <w:t>14890</w:t>
            </w:r>
          </w:p>
        </w:tc>
        <w:tc>
          <w:tcPr>
            <w:tcW w:w="1140" w:type="dxa"/>
            <w:tcBorders>
              <w:top w:val="nil"/>
              <w:left w:val="nil"/>
              <w:bottom w:val="single" w:sz="8" w:space="0" w:color="auto"/>
              <w:right w:val="single" w:sz="8" w:space="0" w:color="auto"/>
            </w:tcBorders>
            <w:shd w:val="clear" w:color="auto" w:fill="auto"/>
            <w:vAlign w:val="center"/>
            <w:hideMark/>
          </w:tcPr>
          <w:p w14:paraId="1727602C" w14:textId="67F14566" w:rsidR="004A29AC" w:rsidRPr="00A52AEE" w:rsidRDefault="004A29AC" w:rsidP="001923B6">
            <w:pPr>
              <w:jc w:val="right"/>
              <w:rPr>
                <w:rFonts w:eastAsia="Times New Roman"/>
                <w:lang w:eastAsia="en-GB"/>
              </w:rPr>
            </w:pPr>
            <w:r w:rsidRPr="00A52AEE">
              <w:t>15310</w:t>
            </w:r>
          </w:p>
        </w:tc>
        <w:tc>
          <w:tcPr>
            <w:tcW w:w="1140" w:type="dxa"/>
            <w:tcBorders>
              <w:top w:val="nil"/>
              <w:left w:val="nil"/>
              <w:bottom w:val="single" w:sz="8" w:space="0" w:color="auto"/>
              <w:right w:val="single" w:sz="8" w:space="0" w:color="auto"/>
            </w:tcBorders>
            <w:shd w:val="clear" w:color="auto" w:fill="auto"/>
            <w:vAlign w:val="center"/>
            <w:hideMark/>
          </w:tcPr>
          <w:p w14:paraId="5CA129F6" w14:textId="5CB35D3F" w:rsidR="004A29AC" w:rsidRPr="00A52AEE" w:rsidRDefault="004A29AC" w:rsidP="001923B6">
            <w:pPr>
              <w:jc w:val="right"/>
              <w:rPr>
                <w:rFonts w:eastAsia="Times New Roman"/>
                <w:lang w:eastAsia="en-GB"/>
              </w:rPr>
            </w:pPr>
            <w:r w:rsidRPr="00A52AEE">
              <w:t>16360</w:t>
            </w:r>
          </w:p>
        </w:tc>
        <w:tc>
          <w:tcPr>
            <w:tcW w:w="1140" w:type="dxa"/>
            <w:tcBorders>
              <w:top w:val="nil"/>
              <w:left w:val="nil"/>
              <w:bottom w:val="single" w:sz="8" w:space="0" w:color="auto"/>
              <w:right w:val="single" w:sz="8" w:space="0" w:color="auto"/>
            </w:tcBorders>
            <w:shd w:val="clear" w:color="auto" w:fill="auto"/>
            <w:vAlign w:val="center"/>
            <w:hideMark/>
          </w:tcPr>
          <w:p w14:paraId="2DD3A221" w14:textId="58503D07" w:rsidR="004A29AC" w:rsidRPr="00A52AEE" w:rsidRDefault="004A29AC" w:rsidP="001923B6">
            <w:pPr>
              <w:jc w:val="right"/>
              <w:rPr>
                <w:rFonts w:eastAsia="Times New Roman"/>
                <w:lang w:eastAsia="en-GB"/>
              </w:rPr>
            </w:pPr>
            <w:r w:rsidRPr="00A52AEE">
              <w:t>15060</w:t>
            </w:r>
          </w:p>
        </w:tc>
        <w:tc>
          <w:tcPr>
            <w:tcW w:w="1102" w:type="dxa"/>
            <w:tcBorders>
              <w:top w:val="nil"/>
              <w:left w:val="nil"/>
              <w:bottom w:val="single" w:sz="8" w:space="0" w:color="auto"/>
              <w:right w:val="single" w:sz="8" w:space="0" w:color="auto"/>
            </w:tcBorders>
            <w:shd w:val="clear" w:color="auto" w:fill="auto"/>
            <w:vAlign w:val="center"/>
            <w:hideMark/>
          </w:tcPr>
          <w:p w14:paraId="2AFF84B6" w14:textId="161E56BC" w:rsidR="004A29AC" w:rsidRPr="00A52AEE" w:rsidRDefault="004A29AC" w:rsidP="001923B6">
            <w:pPr>
              <w:jc w:val="right"/>
              <w:rPr>
                <w:rFonts w:eastAsia="Times New Roman"/>
                <w:lang w:eastAsia="en-GB"/>
              </w:rPr>
            </w:pPr>
            <w:r w:rsidRPr="00A52AEE">
              <w:t>-290</w:t>
            </w:r>
          </w:p>
        </w:tc>
      </w:tr>
      <w:tr w:rsidR="004A29AC" w:rsidRPr="00A52AEE" w14:paraId="006B2E5B" w14:textId="77777777" w:rsidTr="0056198A">
        <w:trPr>
          <w:trHeight w:val="336"/>
        </w:trPr>
        <w:tc>
          <w:tcPr>
            <w:tcW w:w="475" w:type="dxa"/>
            <w:vMerge/>
            <w:tcBorders>
              <w:top w:val="nil"/>
              <w:left w:val="single" w:sz="8" w:space="0" w:color="auto"/>
              <w:bottom w:val="single" w:sz="8" w:space="0" w:color="000000"/>
              <w:right w:val="single" w:sz="8" w:space="0" w:color="auto"/>
            </w:tcBorders>
            <w:vAlign w:val="center"/>
            <w:hideMark/>
          </w:tcPr>
          <w:p w14:paraId="4D9470A7"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52B29F1E" w14:textId="779824A9" w:rsidR="004A29AC" w:rsidRPr="00A52AEE" w:rsidRDefault="004A29AC" w:rsidP="00A52AEE">
            <w:pPr>
              <w:rPr>
                <w:rFonts w:eastAsia="Times New Roman"/>
                <w:lang w:eastAsia="en-GB"/>
              </w:rPr>
            </w:pPr>
            <w:r w:rsidRPr="00A52AEE">
              <w:t>Foundation degree</w:t>
            </w:r>
          </w:p>
        </w:tc>
        <w:tc>
          <w:tcPr>
            <w:tcW w:w="1093" w:type="dxa"/>
            <w:tcBorders>
              <w:top w:val="nil"/>
              <w:left w:val="nil"/>
              <w:bottom w:val="single" w:sz="8" w:space="0" w:color="auto"/>
              <w:right w:val="single" w:sz="8" w:space="0" w:color="auto"/>
            </w:tcBorders>
            <w:shd w:val="clear" w:color="auto" w:fill="auto"/>
            <w:vAlign w:val="center"/>
            <w:hideMark/>
          </w:tcPr>
          <w:p w14:paraId="298F23AE" w14:textId="39D53382" w:rsidR="004A29AC" w:rsidRPr="00A52AEE" w:rsidRDefault="004A29AC" w:rsidP="001923B6">
            <w:pPr>
              <w:jc w:val="right"/>
              <w:rPr>
                <w:rFonts w:eastAsia="Times New Roman"/>
                <w:lang w:eastAsia="en-GB"/>
              </w:rPr>
            </w:pPr>
            <w:r w:rsidRPr="00A52AEE">
              <w:t>650</w:t>
            </w:r>
          </w:p>
        </w:tc>
        <w:tc>
          <w:tcPr>
            <w:tcW w:w="1140" w:type="dxa"/>
            <w:tcBorders>
              <w:top w:val="nil"/>
              <w:left w:val="nil"/>
              <w:bottom w:val="single" w:sz="8" w:space="0" w:color="auto"/>
              <w:right w:val="single" w:sz="8" w:space="0" w:color="auto"/>
            </w:tcBorders>
            <w:shd w:val="clear" w:color="auto" w:fill="auto"/>
            <w:vAlign w:val="center"/>
            <w:hideMark/>
          </w:tcPr>
          <w:p w14:paraId="7358A59F" w14:textId="1FF0D8E9" w:rsidR="004A29AC" w:rsidRPr="00A52AEE" w:rsidRDefault="004A29AC" w:rsidP="001923B6">
            <w:pPr>
              <w:jc w:val="right"/>
              <w:rPr>
                <w:rFonts w:eastAsia="Times New Roman"/>
                <w:lang w:eastAsia="en-GB"/>
              </w:rPr>
            </w:pPr>
            <w:r w:rsidRPr="00A52AEE">
              <w:t>750</w:t>
            </w:r>
          </w:p>
        </w:tc>
        <w:tc>
          <w:tcPr>
            <w:tcW w:w="1140" w:type="dxa"/>
            <w:tcBorders>
              <w:top w:val="nil"/>
              <w:left w:val="nil"/>
              <w:bottom w:val="single" w:sz="8" w:space="0" w:color="auto"/>
              <w:right w:val="single" w:sz="8" w:space="0" w:color="auto"/>
            </w:tcBorders>
            <w:shd w:val="clear" w:color="auto" w:fill="auto"/>
            <w:vAlign w:val="center"/>
            <w:hideMark/>
          </w:tcPr>
          <w:p w14:paraId="2AD6B5AE" w14:textId="17E7DA7F" w:rsidR="004A29AC" w:rsidRPr="00A52AEE" w:rsidRDefault="004A29AC" w:rsidP="001923B6">
            <w:pPr>
              <w:jc w:val="right"/>
              <w:rPr>
                <w:rFonts w:eastAsia="Times New Roman"/>
                <w:lang w:eastAsia="en-GB"/>
              </w:rPr>
            </w:pPr>
            <w:r w:rsidRPr="00A52AEE">
              <w:t>835</w:t>
            </w:r>
          </w:p>
        </w:tc>
        <w:tc>
          <w:tcPr>
            <w:tcW w:w="1140" w:type="dxa"/>
            <w:tcBorders>
              <w:top w:val="nil"/>
              <w:left w:val="nil"/>
              <w:bottom w:val="single" w:sz="8" w:space="0" w:color="auto"/>
              <w:right w:val="single" w:sz="8" w:space="0" w:color="auto"/>
            </w:tcBorders>
            <w:shd w:val="clear" w:color="auto" w:fill="auto"/>
            <w:vAlign w:val="center"/>
            <w:hideMark/>
          </w:tcPr>
          <w:p w14:paraId="0A04A3DD" w14:textId="45EA495B" w:rsidR="004A29AC" w:rsidRPr="00A52AEE" w:rsidRDefault="004A29AC" w:rsidP="001923B6">
            <w:pPr>
              <w:jc w:val="right"/>
              <w:rPr>
                <w:rFonts w:eastAsia="Times New Roman"/>
                <w:lang w:eastAsia="en-GB"/>
              </w:rPr>
            </w:pPr>
            <w:r w:rsidRPr="00A52AEE">
              <w:t>825</w:t>
            </w:r>
          </w:p>
        </w:tc>
        <w:tc>
          <w:tcPr>
            <w:tcW w:w="1140" w:type="dxa"/>
            <w:tcBorders>
              <w:top w:val="nil"/>
              <w:left w:val="nil"/>
              <w:bottom w:val="single" w:sz="8" w:space="0" w:color="auto"/>
              <w:right w:val="single" w:sz="8" w:space="0" w:color="auto"/>
            </w:tcBorders>
            <w:shd w:val="clear" w:color="auto" w:fill="auto"/>
            <w:vAlign w:val="center"/>
            <w:hideMark/>
          </w:tcPr>
          <w:p w14:paraId="6F0F0BFB" w14:textId="38C646EE" w:rsidR="004A29AC" w:rsidRPr="00A52AEE" w:rsidRDefault="004A29AC" w:rsidP="001923B6">
            <w:pPr>
              <w:jc w:val="right"/>
              <w:rPr>
                <w:rFonts w:eastAsia="Times New Roman"/>
                <w:lang w:eastAsia="en-GB"/>
              </w:rPr>
            </w:pPr>
            <w:r w:rsidRPr="00A52AEE">
              <w:t>635</w:t>
            </w:r>
          </w:p>
        </w:tc>
        <w:tc>
          <w:tcPr>
            <w:tcW w:w="1102" w:type="dxa"/>
            <w:tcBorders>
              <w:top w:val="nil"/>
              <w:left w:val="nil"/>
              <w:bottom w:val="single" w:sz="8" w:space="0" w:color="auto"/>
              <w:right w:val="single" w:sz="8" w:space="0" w:color="auto"/>
            </w:tcBorders>
            <w:shd w:val="clear" w:color="auto" w:fill="auto"/>
            <w:vAlign w:val="center"/>
            <w:hideMark/>
          </w:tcPr>
          <w:p w14:paraId="2F4B8CF4" w14:textId="5E9FC629" w:rsidR="004A29AC" w:rsidRPr="00A52AEE" w:rsidRDefault="004A29AC" w:rsidP="001923B6">
            <w:pPr>
              <w:jc w:val="right"/>
              <w:rPr>
                <w:rFonts w:eastAsia="Times New Roman"/>
                <w:lang w:eastAsia="en-GB"/>
              </w:rPr>
            </w:pPr>
            <w:r w:rsidRPr="00A52AEE">
              <w:t>-15</w:t>
            </w:r>
          </w:p>
        </w:tc>
      </w:tr>
      <w:tr w:rsidR="004A29AC" w:rsidRPr="00A52AEE" w14:paraId="10AC390D" w14:textId="77777777" w:rsidTr="0056198A">
        <w:trPr>
          <w:trHeight w:val="315"/>
        </w:trPr>
        <w:tc>
          <w:tcPr>
            <w:tcW w:w="475" w:type="dxa"/>
            <w:vMerge/>
            <w:tcBorders>
              <w:top w:val="nil"/>
              <w:left w:val="single" w:sz="8" w:space="0" w:color="auto"/>
              <w:bottom w:val="single" w:sz="8" w:space="0" w:color="000000"/>
              <w:right w:val="single" w:sz="8" w:space="0" w:color="auto"/>
            </w:tcBorders>
            <w:vAlign w:val="center"/>
            <w:hideMark/>
          </w:tcPr>
          <w:p w14:paraId="2ADE1800"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254B81A8" w14:textId="3FCADE4B" w:rsidR="004A29AC" w:rsidRPr="00A52AEE" w:rsidRDefault="004A29AC" w:rsidP="00A52AEE">
            <w:pPr>
              <w:rPr>
                <w:rFonts w:eastAsia="Times New Roman"/>
                <w:lang w:eastAsia="en-GB"/>
              </w:rPr>
            </w:pPr>
            <w:r w:rsidRPr="00A52AEE">
              <w:t>HNC/HND</w:t>
            </w:r>
          </w:p>
        </w:tc>
        <w:tc>
          <w:tcPr>
            <w:tcW w:w="1093" w:type="dxa"/>
            <w:tcBorders>
              <w:top w:val="nil"/>
              <w:left w:val="nil"/>
              <w:bottom w:val="single" w:sz="8" w:space="0" w:color="auto"/>
              <w:right w:val="single" w:sz="8" w:space="0" w:color="auto"/>
            </w:tcBorders>
            <w:shd w:val="clear" w:color="auto" w:fill="auto"/>
            <w:vAlign w:val="center"/>
            <w:hideMark/>
          </w:tcPr>
          <w:p w14:paraId="5CB9DE36" w14:textId="0468C6AB" w:rsidR="004A29AC" w:rsidRPr="00A52AEE" w:rsidRDefault="004A29AC" w:rsidP="001923B6">
            <w:pPr>
              <w:jc w:val="right"/>
              <w:rPr>
                <w:rFonts w:eastAsia="Times New Roman"/>
                <w:lang w:eastAsia="en-GB"/>
              </w:rPr>
            </w:pPr>
            <w:r w:rsidRPr="00A52AEE">
              <w:t>275</w:t>
            </w:r>
          </w:p>
        </w:tc>
        <w:tc>
          <w:tcPr>
            <w:tcW w:w="1140" w:type="dxa"/>
            <w:tcBorders>
              <w:top w:val="nil"/>
              <w:left w:val="nil"/>
              <w:bottom w:val="single" w:sz="8" w:space="0" w:color="auto"/>
              <w:right w:val="single" w:sz="8" w:space="0" w:color="auto"/>
            </w:tcBorders>
            <w:shd w:val="clear" w:color="auto" w:fill="auto"/>
            <w:vAlign w:val="center"/>
            <w:hideMark/>
          </w:tcPr>
          <w:p w14:paraId="618EAD72" w14:textId="32C21D08" w:rsidR="004A29AC" w:rsidRPr="00A52AEE" w:rsidRDefault="004A29AC" w:rsidP="001923B6">
            <w:pPr>
              <w:jc w:val="right"/>
              <w:rPr>
                <w:rFonts w:eastAsia="Times New Roman"/>
                <w:lang w:eastAsia="en-GB"/>
              </w:rPr>
            </w:pPr>
            <w:r w:rsidRPr="00A52AEE">
              <w:t>190</w:t>
            </w:r>
          </w:p>
        </w:tc>
        <w:tc>
          <w:tcPr>
            <w:tcW w:w="1140" w:type="dxa"/>
            <w:tcBorders>
              <w:top w:val="nil"/>
              <w:left w:val="nil"/>
              <w:bottom w:val="single" w:sz="8" w:space="0" w:color="auto"/>
              <w:right w:val="single" w:sz="8" w:space="0" w:color="auto"/>
            </w:tcBorders>
            <w:shd w:val="clear" w:color="auto" w:fill="auto"/>
            <w:vAlign w:val="center"/>
            <w:hideMark/>
          </w:tcPr>
          <w:p w14:paraId="39A0DF42" w14:textId="4FC12A5F" w:rsidR="004A29AC" w:rsidRPr="00A52AEE" w:rsidRDefault="004A29AC" w:rsidP="001923B6">
            <w:pPr>
              <w:jc w:val="right"/>
              <w:rPr>
                <w:rFonts w:eastAsia="Times New Roman"/>
                <w:lang w:eastAsia="en-GB"/>
              </w:rPr>
            </w:pPr>
            <w:r w:rsidRPr="00A52AEE">
              <w:t>175</w:t>
            </w:r>
          </w:p>
        </w:tc>
        <w:tc>
          <w:tcPr>
            <w:tcW w:w="1140" w:type="dxa"/>
            <w:tcBorders>
              <w:top w:val="nil"/>
              <w:left w:val="nil"/>
              <w:bottom w:val="single" w:sz="8" w:space="0" w:color="auto"/>
              <w:right w:val="single" w:sz="8" w:space="0" w:color="auto"/>
            </w:tcBorders>
            <w:shd w:val="clear" w:color="auto" w:fill="auto"/>
            <w:vAlign w:val="center"/>
            <w:hideMark/>
          </w:tcPr>
          <w:p w14:paraId="6BA1AF94" w14:textId="0AEF7A37" w:rsidR="004A29AC" w:rsidRPr="00A52AEE" w:rsidRDefault="004A29AC" w:rsidP="001923B6">
            <w:pPr>
              <w:jc w:val="right"/>
              <w:rPr>
                <w:rFonts w:eastAsia="Times New Roman"/>
                <w:lang w:eastAsia="en-GB"/>
              </w:rPr>
            </w:pPr>
            <w:r w:rsidRPr="00A52AEE">
              <w:t>210</w:t>
            </w:r>
          </w:p>
        </w:tc>
        <w:tc>
          <w:tcPr>
            <w:tcW w:w="1140" w:type="dxa"/>
            <w:tcBorders>
              <w:top w:val="nil"/>
              <w:left w:val="nil"/>
              <w:bottom w:val="single" w:sz="8" w:space="0" w:color="auto"/>
              <w:right w:val="single" w:sz="8" w:space="0" w:color="auto"/>
            </w:tcBorders>
            <w:shd w:val="clear" w:color="auto" w:fill="auto"/>
            <w:vAlign w:val="center"/>
            <w:hideMark/>
          </w:tcPr>
          <w:p w14:paraId="34D9C158" w14:textId="75F7B86A" w:rsidR="004A29AC" w:rsidRPr="00A52AEE" w:rsidRDefault="004A29AC" w:rsidP="001923B6">
            <w:pPr>
              <w:jc w:val="right"/>
              <w:rPr>
                <w:rFonts w:eastAsia="Times New Roman"/>
                <w:lang w:eastAsia="en-GB"/>
              </w:rPr>
            </w:pPr>
            <w:r w:rsidRPr="00A52AEE">
              <w:t>550</w:t>
            </w:r>
          </w:p>
        </w:tc>
        <w:tc>
          <w:tcPr>
            <w:tcW w:w="1102" w:type="dxa"/>
            <w:tcBorders>
              <w:top w:val="nil"/>
              <w:left w:val="nil"/>
              <w:bottom w:val="single" w:sz="8" w:space="0" w:color="auto"/>
              <w:right w:val="single" w:sz="8" w:space="0" w:color="auto"/>
            </w:tcBorders>
            <w:shd w:val="clear" w:color="auto" w:fill="auto"/>
            <w:vAlign w:val="center"/>
            <w:hideMark/>
          </w:tcPr>
          <w:p w14:paraId="20DB1B1F" w14:textId="088F699C" w:rsidR="004A29AC" w:rsidRPr="00A52AEE" w:rsidRDefault="004A29AC" w:rsidP="001923B6">
            <w:pPr>
              <w:jc w:val="right"/>
              <w:rPr>
                <w:rFonts w:eastAsia="Times New Roman"/>
                <w:lang w:eastAsia="en-GB"/>
              </w:rPr>
            </w:pPr>
            <w:r w:rsidRPr="00A52AEE">
              <w:t>275</w:t>
            </w:r>
          </w:p>
        </w:tc>
      </w:tr>
      <w:tr w:rsidR="004A29AC" w:rsidRPr="00A52AEE" w14:paraId="7CFD55A6" w14:textId="77777777" w:rsidTr="0056198A">
        <w:trPr>
          <w:trHeight w:val="315"/>
        </w:trPr>
        <w:tc>
          <w:tcPr>
            <w:tcW w:w="475" w:type="dxa"/>
            <w:vMerge/>
            <w:tcBorders>
              <w:top w:val="nil"/>
              <w:left w:val="single" w:sz="8" w:space="0" w:color="auto"/>
              <w:bottom w:val="single" w:sz="8" w:space="0" w:color="000000"/>
              <w:right w:val="single" w:sz="8" w:space="0" w:color="auto"/>
            </w:tcBorders>
            <w:vAlign w:val="center"/>
            <w:hideMark/>
          </w:tcPr>
          <w:p w14:paraId="3A155175"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5EE2D603" w14:textId="42021B74" w:rsidR="004A29AC" w:rsidRPr="00A52AEE" w:rsidRDefault="004A29AC" w:rsidP="00A52AEE">
            <w:pPr>
              <w:rPr>
                <w:rFonts w:eastAsia="Times New Roman"/>
                <w:lang w:eastAsia="en-GB"/>
              </w:rPr>
            </w:pPr>
            <w:r w:rsidRPr="00A52AEE">
              <w:t>NVQ</w:t>
            </w:r>
          </w:p>
        </w:tc>
        <w:tc>
          <w:tcPr>
            <w:tcW w:w="1093" w:type="dxa"/>
            <w:tcBorders>
              <w:top w:val="nil"/>
              <w:left w:val="nil"/>
              <w:bottom w:val="single" w:sz="8" w:space="0" w:color="auto"/>
              <w:right w:val="single" w:sz="8" w:space="0" w:color="auto"/>
            </w:tcBorders>
            <w:shd w:val="clear" w:color="auto" w:fill="auto"/>
            <w:vAlign w:val="center"/>
            <w:hideMark/>
          </w:tcPr>
          <w:p w14:paraId="3F390922" w14:textId="7569E024" w:rsidR="004A29AC" w:rsidRPr="00A52AEE" w:rsidRDefault="004A29AC" w:rsidP="001923B6">
            <w:pPr>
              <w:jc w:val="right"/>
              <w:rPr>
                <w:rFonts w:eastAsia="Times New Roman"/>
                <w:lang w:eastAsia="en-GB"/>
              </w:rPr>
            </w:pPr>
            <w:r w:rsidRPr="00A52AEE">
              <w:t>200</w:t>
            </w:r>
          </w:p>
        </w:tc>
        <w:tc>
          <w:tcPr>
            <w:tcW w:w="1140" w:type="dxa"/>
            <w:tcBorders>
              <w:top w:val="nil"/>
              <w:left w:val="nil"/>
              <w:bottom w:val="single" w:sz="8" w:space="0" w:color="auto"/>
              <w:right w:val="single" w:sz="8" w:space="0" w:color="auto"/>
            </w:tcBorders>
            <w:shd w:val="clear" w:color="auto" w:fill="auto"/>
            <w:vAlign w:val="center"/>
            <w:hideMark/>
          </w:tcPr>
          <w:p w14:paraId="0A20213D" w14:textId="23990BAF" w:rsidR="004A29AC" w:rsidRPr="00A52AEE" w:rsidRDefault="004A29AC" w:rsidP="001923B6">
            <w:pPr>
              <w:jc w:val="right"/>
              <w:rPr>
                <w:rFonts w:eastAsia="Times New Roman"/>
                <w:lang w:eastAsia="en-GB"/>
              </w:rPr>
            </w:pPr>
            <w:r w:rsidRPr="00A52AEE">
              <w:t>245</w:t>
            </w:r>
          </w:p>
        </w:tc>
        <w:tc>
          <w:tcPr>
            <w:tcW w:w="1140" w:type="dxa"/>
            <w:tcBorders>
              <w:top w:val="nil"/>
              <w:left w:val="nil"/>
              <w:bottom w:val="single" w:sz="8" w:space="0" w:color="auto"/>
              <w:right w:val="single" w:sz="8" w:space="0" w:color="auto"/>
            </w:tcBorders>
            <w:shd w:val="clear" w:color="auto" w:fill="auto"/>
            <w:vAlign w:val="center"/>
            <w:hideMark/>
          </w:tcPr>
          <w:p w14:paraId="0DA7EA5E" w14:textId="68E80F82" w:rsidR="004A29AC" w:rsidRPr="00A52AEE" w:rsidRDefault="004A29AC" w:rsidP="001923B6">
            <w:pPr>
              <w:jc w:val="right"/>
              <w:rPr>
                <w:rFonts w:eastAsia="Times New Roman"/>
                <w:lang w:eastAsia="en-GB"/>
              </w:rPr>
            </w:pPr>
            <w:r w:rsidRPr="00A52AEE">
              <w:t>15</w:t>
            </w:r>
          </w:p>
        </w:tc>
        <w:tc>
          <w:tcPr>
            <w:tcW w:w="1140" w:type="dxa"/>
            <w:tcBorders>
              <w:top w:val="nil"/>
              <w:left w:val="nil"/>
              <w:bottom w:val="single" w:sz="8" w:space="0" w:color="auto"/>
              <w:right w:val="single" w:sz="8" w:space="0" w:color="auto"/>
            </w:tcBorders>
            <w:shd w:val="clear" w:color="auto" w:fill="auto"/>
            <w:vAlign w:val="center"/>
            <w:hideMark/>
          </w:tcPr>
          <w:p w14:paraId="7DD6DD61" w14:textId="26E66C80" w:rsidR="004A29AC" w:rsidRPr="00A52AEE" w:rsidRDefault="004A29AC" w:rsidP="001923B6">
            <w:pPr>
              <w:jc w:val="right"/>
              <w:rPr>
                <w:rFonts w:eastAsia="Times New Roman"/>
                <w:lang w:eastAsia="en-GB"/>
              </w:rPr>
            </w:pPr>
            <w:r w:rsidRPr="00A52AEE">
              <w:t>5</w:t>
            </w:r>
          </w:p>
        </w:tc>
        <w:tc>
          <w:tcPr>
            <w:tcW w:w="1140" w:type="dxa"/>
            <w:tcBorders>
              <w:top w:val="nil"/>
              <w:left w:val="nil"/>
              <w:bottom w:val="single" w:sz="8" w:space="0" w:color="auto"/>
              <w:right w:val="single" w:sz="8" w:space="0" w:color="auto"/>
            </w:tcBorders>
            <w:shd w:val="clear" w:color="auto" w:fill="auto"/>
            <w:vAlign w:val="center"/>
            <w:hideMark/>
          </w:tcPr>
          <w:p w14:paraId="36F7CC26" w14:textId="7331D3AC" w:rsidR="004A29AC" w:rsidRPr="00A52AEE" w:rsidRDefault="004A29AC" w:rsidP="001923B6">
            <w:pPr>
              <w:jc w:val="right"/>
              <w:rPr>
                <w:rFonts w:eastAsia="Times New Roman"/>
                <w:lang w:eastAsia="en-GB"/>
              </w:rPr>
            </w:pPr>
            <w:r w:rsidRPr="00A52AEE">
              <w:t>10</w:t>
            </w:r>
          </w:p>
        </w:tc>
        <w:tc>
          <w:tcPr>
            <w:tcW w:w="1102" w:type="dxa"/>
            <w:tcBorders>
              <w:top w:val="nil"/>
              <w:left w:val="nil"/>
              <w:bottom w:val="single" w:sz="8" w:space="0" w:color="auto"/>
              <w:right w:val="single" w:sz="8" w:space="0" w:color="auto"/>
            </w:tcBorders>
            <w:shd w:val="clear" w:color="auto" w:fill="auto"/>
            <w:vAlign w:val="center"/>
            <w:hideMark/>
          </w:tcPr>
          <w:p w14:paraId="5B5F95A9" w14:textId="5F75E27B" w:rsidR="004A29AC" w:rsidRPr="00A52AEE" w:rsidRDefault="004A29AC" w:rsidP="001923B6">
            <w:pPr>
              <w:jc w:val="right"/>
              <w:rPr>
                <w:rFonts w:eastAsia="Times New Roman"/>
                <w:lang w:eastAsia="en-GB"/>
              </w:rPr>
            </w:pPr>
            <w:r w:rsidRPr="00A52AEE">
              <w:t>-190</w:t>
            </w:r>
          </w:p>
        </w:tc>
      </w:tr>
      <w:tr w:rsidR="004A29AC" w:rsidRPr="00A52AEE" w14:paraId="2AE4E7F7" w14:textId="77777777" w:rsidTr="0056198A">
        <w:trPr>
          <w:trHeight w:val="309"/>
        </w:trPr>
        <w:tc>
          <w:tcPr>
            <w:tcW w:w="475" w:type="dxa"/>
            <w:vMerge/>
            <w:tcBorders>
              <w:top w:val="nil"/>
              <w:left w:val="single" w:sz="8" w:space="0" w:color="auto"/>
              <w:bottom w:val="single" w:sz="8" w:space="0" w:color="000000"/>
              <w:right w:val="single" w:sz="8" w:space="0" w:color="auto"/>
            </w:tcBorders>
            <w:vAlign w:val="center"/>
            <w:hideMark/>
          </w:tcPr>
          <w:p w14:paraId="1DCBB8AB"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2B78393C" w14:textId="3337A49F" w:rsidR="004A29AC" w:rsidRPr="00A52AEE" w:rsidRDefault="004A29AC" w:rsidP="00A52AEE">
            <w:pPr>
              <w:rPr>
                <w:rFonts w:eastAsia="Times New Roman"/>
                <w:lang w:eastAsia="en-GB"/>
              </w:rPr>
            </w:pPr>
            <w:r w:rsidRPr="00A52AEE">
              <w:t>Other Undergraduate</w:t>
            </w:r>
          </w:p>
        </w:tc>
        <w:tc>
          <w:tcPr>
            <w:tcW w:w="1093" w:type="dxa"/>
            <w:tcBorders>
              <w:top w:val="nil"/>
              <w:left w:val="nil"/>
              <w:bottom w:val="single" w:sz="8" w:space="0" w:color="auto"/>
              <w:right w:val="single" w:sz="8" w:space="0" w:color="auto"/>
            </w:tcBorders>
            <w:shd w:val="clear" w:color="auto" w:fill="auto"/>
            <w:vAlign w:val="center"/>
            <w:hideMark/>
          </w:tcPr>
          <w:p w14:paraId="3E3886B8" w14:textId="0D398188" w:rsidR="004A29AC" w:rsidRPr="00A52AEE" w:rsidRDefault="004A29AC" w:rsidP="001923B6">
            <w:pPr>
              <w:jc w:val="right"/>
              <w:rPr>
                <w:rFonts w:eastAsia="Times New Roman"/>
                <w:lang w:eastAsia="en-GB"/>
              </w:rPr>
            </w:pPr>
            <w:r w:rsidRPr="00A52AEE">
              <w:t>1075</w:t>
            </w:r>
          </w:p>
        </w:tc>
        <w:tc>
          <w:tcPr>
            <w:tcW w:w="1140" w:type="dxa"/>
            <w:tcBorders>
              <w:top w:val="nil"/>
              <w:left w:val="nil"/>
              <w:bottom w:val="single" w:sz="8" w:space="0" w:color="auto"/>
              <w:right w:val="single" w:sz="8" w:space="0" w:color="auto"/>
            </w:tcBorders>
            <w:shd w:val="clear" w:color="auto" w:fill="auto"/>
            <w:vAlign w:val="center"/>
            <w:hideMark/>
          </w:tcPr>
          <w:p w14:paraId="1995051B" w14:textId="729FD304" w:rsidR="004A29AC" w:rsidRPr="00A52AEE" w:rsidRDefault="004A29AC" w:rsidP="001923B6">
            <w:pPr>
              <w:jc w:val="right"/>
              <w:rPr>
                <w:rFonts w:eastAsia="Times New Roman"/>
                <w:lang w:eastAsia="en-GB"/>
              </w:rPr>
            </w:pPr>
            <w:r w:rsidRPr="00A52AEE">
              <w:t>1490</w:t>
            </w:r>
          </w:p>
        </w:tc>
        <w:tc>
          <w:tcPr>
            <w:tcW w:w="1140" w:type="dxa"/>
            <w:tcBorders>
              <w:top w:val="nil"/>
              <w:left w:val="nil"/>
              <w:bottom w:val="single" w:sz="8" w:space="0" w:color="auto"/>
              <w:right w:val="single" w:sz="8" w:space="0" w:color="auto"/>
            </w:tcBorders>
            <w:shd w:val="clear" w:color="auto" w:fill="auto"/>
            <w:vAlign w:val="center"/>
            <w:hideMark/>
          </w:tcPr>
          <w:p w14:paraId="04F1A27F" w14:textId="5C0261F4" w:rsidR="004A29AC" w:rsidRPr="00A52AEE" w:rsidRDefault="004A29AC" w:rsidP="001923B6">
            <w:pPr>
              <w:jc w:val="right"/>
              <w:rPr>
                <w:rFonts w:eastAsia="Times New Roman"/>
                <w:lang w:eastAsia="en-GB"/>
              </w:rPr>
            </w:pPr>
            <w:r w:rsidRPr="00A52AEE">
              <w:t>1660</w:t>
            </w:r>
          </w:p>
        </w:tc>
        <w:tc>
          <w:tcPr>
            <w:tcW w:w="1140" w:type="dxa"/>
            <w:tcBorders>
              <w:top w:val="nil"/>
              <w:left w:val="nil"/>
              <w:bottom w:val="single" w:sz="8" w:space="0" w:color="auto"/>
              <w:right w:val="single" w:sz="8" w:space="0" w:color="auto"/>
            </w:tcBorders>
            <w:shd w:val="clear" w:color="auto" w:fill="auto"/>
            <w:vAlign w:val="center"/>
            <w:hideMark/>
          </w:tcPr>
          <w:p w14:paraId="44F392C4" w14:textId="3288D17E" w:rsidR="004A29AC" w:rsidRPr="00A52AEE" w:rsidRDefault="004A29AC" w:rsidP="001923B6">
            <w:pPr>
              <w:jc w:val="right"/>
              <w:rPr>
                <w:rFonts w:eastAsia="Times New Roman"/>
                <w:lang w:eastAsia="en-GB"/>
              </w:rPr>
            </w:pPr>
            <w:r w:rsidRPr="00A52AEE">
              <w:t>1025</w:t>
            </w:r>
          </w:p>
        </w:tc>
        <w:tc>
          <w:tcPr>
            <w:tcW w:w="1140" w:type="dxa"/>
            <w:tcBorders>
              <w:top w:val="nil"/>
              <w:left w:val="nil"/>
              <w:bottom w:val="single" w:sz="8" w:space="0" w:color="auto"/>
              <w:right w:val="single" w:sz="8" w:space="0" w:color="auto"/>
            </w:tcBorders>
            <w:shd w:val="clear" w:color="auto" w:fill="auto"/>
            <w:vAlign w:val="center"/>
            <w:hideMark/>
          </w:tcPr>
          <w:p w14:paraId="4F523E9F" w14:textId="474C418E" w:rsidR="004A29AC" w:rsidRPr="00A52AEE" w:rsidRDefault="004A29AC" w:rsidP="001923B6">
            <w:pPr>
              <w:jc w:val="right"/>
              <w:rPr>
                <w:rFonts w:eastAsia="Times New Roman"/>
                <w:lang w:eastAsia="en-GB"/>
              </w:rPr>
            </w:pPr>
            <w:r w:rsidRPr="00A52AEE">
              <w:t>1450</w:t>
            </w:r>
          </w:p>
        </w:tc>
        <w:tc>
          <w:tcPr>
            <w:tcW w:w="1102" w:type="dxa"/>
            <w:tcBorders>
              <w:top w:val="nil"/>
              <w:left w:val="nil"/>
              <w:bottom w:val="single" w:sz="8" w:space="0" w:color="auto"/>
              <w:right w:val="single" w:sz="8" w:space="0" w:color="auto"/>
            </w:tcBorders>
            <w:shd w:val="clear" w:color="auto" w:fill="auto"/>
            <w:vAlign w:val="center"/>
            <w:hideMark/>
          </w:tcPr>
          <w:p w14:paraId="2139364D" w14:textId="154B0761" w:rsidR="004A29AC" w:rsidRPr="00A52AEE" w:rsidRDefault="007C17F7" w:rsidP="001923B6">
            <w:pPr>
              <w:jc w:val="right"/>
              <w:rPr>
                <w:rFonts w:eastAsia="Times New Roman"/>
                <w:lang w:eastAsia="en-GB"/>
              </w:rPr>
            </w:pPr>
            <w:r>
              <w:t>375</w:t>
            </w:r>
          </w:p>
        </w:tc>
      </w:tr>
      <w:tr w:rsidR="004A29AC" w:rsidRPr="00A52AEE" w14:paraId="0909776E" w14:textId="77777777" w:rsidTr="0056198A">
        <w:trPr>
          <w:trHeight w:val="315"/>
        </w:trPr>
        <w:tc>
          <w:tcPr>
            <w:tcW w:w="47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AA3A6DA" w14:textId="77777777" w:rsidR="004A29AC" w:rsidRPr="004D2866" w:rsidRDefault="004A29AC" w:rsidP="004D2866">
            <w:pPr>
              <w:jc w:val="center"/>
              <w:rPr>
                <w:b/>
                <w:lang w:eastAsia="en-GB"/>
              </w:rPr>
            </w:pPr>
            <w:r w:rsidRPr="004D2866">
              <w:rPr>
                <w:b/>
                <w:lang w:eastAsia="en-GB"/>
              </w:rPr>
              <w:t>HE in FE</w:t>
            </w:r>
          </w:p>
        </w:tc>
        <w:tc>
          <w:tcPr>
            <w:tcW w:w="2350" w:type="dxa"/>
            <w:tcBorders>
              <w:top w:val="nil"/>
              <w:left w:val="nil"/>
              <w:bottom w:val="single" w:sz="8" w:space="0" w:color="auto"/>
              <w:right w:val="single" w:sz="8" w:space="0" w:color="auto"/>
            </w:tcBorders>
            <w:shd w:val="clear" w:color="auto" w:fill="auto"/>
            <w:vAlign w:val="center"/>
            <w:hideMark/>
          </w:tcPr>
          <w:p w14:paraId="6344D4E8" w14:textId="01EFF81F" w:rsidR="004A29AC" w:rsidRPr="00A52AEE" w:rsidRDefault="004A29AC" w:rsidP="00A52AEE">
            <w:pPr>
              <w:rPr>
                <w:rFonts w:eastAsia="Times New Roman"/>
                <w:lang w:eastAsia="en-GB"/>
              </w:rPr>
            </w:pPr>
            <w:r w:rsidRPr="00A52AEE">
              <w:t>First degree</w:t>
            </w:r>
          </w:p>
        </w:tc>
        <w:tc>
          <w:tcPr>
            <w:tcW w:w="1093" w:type="dxa"/>
            <w:tcBorders>
              <w:top w:val="nil"/>
              <w:left w:val="nil"/>
              <w:bottom w:val="single" w:sz="8" w:space="0" w:color="auto"/>
              <w:right w:val="single" w:sz="8" w:space="0" w:color="auto"/>
            </w:tcBorders>
            <w:shd w:val="clear" w:color="auto" w:fill="auto"/>
            <w:vAlign w:val="center"/>
            <w:hideMark/>
          </w:tcPr>
          <w:p w14:paraId="62A8AEB5" w14:textId="39C5E2D2" w:rsidR="004A29AC" w:rsidRPr="00A52AEE" w:rsidRDefault="004A29AC" w:rsidP="001923B6">
            <w:pPr>
              <w:jc w:val="right"/>
              <w:rPr>
                <w:rFonts w:eastAsia="Times New Roman"/>
                <w:lang w:eastAsia="en-GB"/>
              </w:rPr>
            </w:pPr>
            <w:r w:rsidRPr="00A52AEE">
              <w:t>335</w:t>
            </w:r>
          </w:p>
        </w:tc>
        <w:tc>
          <w:tcPr>
            <w:tcW w:w="1140" w:type="dxa"/>
            <w:tcBorders>
              <w:top w:val="nil"/>
              <w:left w:val="nil"/>
              <w:bottom w:val="single" w:sz="8" w:space="0" w:color="auto"/>
              <w:right w:val="single" w:sz="8" w:space="0" w:color="auto"/>
            </w:tcBorders>
            <w:shd w:val="clear" w:color="auto" w:fill="auto"/>
            <w:vAlign w:val="center"/>
            <w:hideMark/>
          </w:tcPr>
          <w:p w14:paraId="7C433B34" w14:textId="1E6258C0" w:rsidR="004A29AC" w:rsidRPr="00A52AEE" w:rsidRDefault="004A29AC" w:rsidP="001923B6">
            <w:pPr>
              <w:jc w:val="right"/>
              <w:rPr>
                <w:rFonts w:eastAsia="Times New Roman"/>
                <w:lang w:eastAsia="en-GB"/>
              </w:rPr>
            </w:pPr>
            <w:r w:rsidRPr="00A52AEE">
              <w:t>305</w:t>
            </w:r>
          </w:p>
        </w:tc>
        <w:tc>
          <w:tcPr>
            <w:tcW w:w="1140" w:type="dxa"/>
            <w:tcBorders>
              <w:top w:val="nil"/>
              <w:left w:val="nil"/>
              <w:bottom w:val="single" w:sz="8" w:space="0" w:color="auto"/>
              <w:right w:val="single" w:sz="8" w:space="0" w:color="auto"/>
            </w:tcBorders>
            <w:shd w:val="clear" w:color="auto" w:fill="auto"/>
            <w:vAlign w:val="center"/>
            <w:hideMark/>
          </w:tcPr>
          <w:p w14:paraId="3A4337D9" w14:textId="440E58E8" w:rsidR="004A29AC" w:rsidRPr="00A52AEE" w:rsidRDefault="004A29AC" w:rsidP="001923B6">
            <w:pPr>
              <w:jc w:val="right"/>
              <w:rPr>
                <w:rFonts w:eastAsia="Times New Roman"/>
                <w:lang w:eastAsia="en-GB"/>
              </w:rPr>
            </w:pPr>
            <w:r w:rsidRPr="00A52AEE">
              <w:t>255</w:t>
            </w:r>
          </w:p>
        </w:tc>
        <w:tc>
          <w:tcPr>
            <w:tcW w:w="1140" w:type="dxa"/>
            <w:tcBorders>
              <w:top w:val="nil"/>
              <w:left w:val="nil"/>
              <w:bottom w:val="single" w:sz="8" w:space="0" w:color="auto"/>
              <w:right w:val="single" w:sz="8" w:space="0" w:color="auto"/>
            </w:tcBorders>
            <w:shd w:val="clear" w:color="auto" w:fill="auto"/>
            <w:vAlign w:val="center"/>
            <w:hideMark/>
          </w:tcPr>
          <w:p w14:paraId="3FC24058" w14:textId="3D9697B5" w:rsidR="004A29AC" w:rsidRPr="00A52AEE" w:rsidRDefault="004A29AC" w:rsidP="001923B6">
            <w:pPr>
              <w:jc w:val="right"/>
              <w:rPr>
                <w:rFonts w:eastAsia="Times New Roman"/>
                <w:lang w:eastAsia="en-GB"/>
              </w:rPr>
            </w:pPr>
            <w:r w:rsidRPr="00A52AEE">
              <w:t>245</w:t>
            </w:r>
          </w:p>
        </w:tc>
        <w:tc>
          <w:tcPr>
            <w:tcW w:w="1140" w:type="dxa"/>
            <w:tcBorders>
              <w:top w:val="nil"/>
              <w:left w:val="nil"/>
              <w:bottom w:val="single" w:sz="8" w:space="0" w:color="auto"/>
              <w:right w:val="single" w:sz="8" w:space="0" w:color="auto"/>
            </w:tcBorders>
            <w:shd w:val="clear" w:color="auto" w:fill="auto"/>
            <w:vAlign w:val="center"/>
            <w:hideMark/>
          </w:tcPr>
          <w:p w14:paraId="1A2B58DF" w14:textId="17AD3009" w:rsidR="004A29AC" w:rsidRPr="00A52AEE" w:rsidRDefault="004A29AC" w:rsidP="001923B6">
            <w:pPr>
              <w:jc w:val="right"/>
              <w:rPr>
                <w:rFonts w:eastAsia="Times New Roman"/>
                <w:lang w:eastAsia="en-GB"/>
              </w:rPr>
            </w:pPr>
            <w:r w:rsidRPr="00A52AEE">
              <w:t>380</w:t>
            </w:r>
          </w:p>
        </w:tc>
        <w:tc>
          <w:tcPr>
            <w:tcW w:w="1102" w:type="dxa"/>
            <w:tcBorders>
              <w:top w:val="nil"/>
              <w:left w:val="nil"/>
              <w:bottom w:val="single" w:sz="8" w:space="0" w:color="auto"/>
              <w:right w:val="single" w:sz="8" w:space="0" w:color="auto"/>
            </w:tcBorders>
            <w:shd w:val="clear" w:color="auto" w:fill="auto"/>
            <w:vAlign w:val="center"/>
            <w:hideMark/>
          </w:tcPr>
          <w:p w14:paraId="0BFD21E1" w14:textId="47CFC48F" w:rsidR="004A29AC" w:rsidRPr="00A52AEE" w:rsidRDefault="004A29AC" w:rsidP="001923B6">
            <w:pPr>
              <w:jc w:val="right"/>
              <w:rPr>
                <w:rFonts w:eastAsia="Times New Roman"/>
                <w:lang w:eastAsia="en-GB"/>
              </w:rPr>
            </w:pPr>
            <w:r w:rsidRPr="00A52AEE">
              <w:t>45</w:t>
            </w:r>
          </w:p>
        </w:tc>
      </w:tr>
      <w:tr w:rsidR="004A29AC" w:rsidRPr="00A52AEE" w14:paraId="0CC0B2C8" w14:textId="77777777" w:rsidTr="0056198A">
        <w:trPr>
          <w:trHeight w:val="360"/>
        </w:trPr>
        <w:tc>
          <w:tcPr>
            <w:tcW w:w="475" w:type="dxa"/>
            <w:vMerge/>
            <w:tcBorders>
              <w:top w:val="nil"/>
              <w:left w:val="single" w:sz="8" w:space="0" w:color="auto"/>
              <w:bottom w:val="single" w:sz="8" w:space="0" w:color="000000"/>
              <w:right w:val="single" w:sz="8" w:space="0" w:color="auto"/>
            </w:tcBorders>
            <w:vAlign w:val="center"/>
            <w:hideMark/>
          </w:tcPr>
          <w:p w14:paraId="4B375D66"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2606F2DD" w14:textId="103FB793" w:rsidR="004A29AC" w:rsidRPr="00A52AEE" w:rsidRDefault="004A29AC" w:rsidP="00A52AEE">
            <w:pPr>
              <w:rPr>
                <w:rFonts w:eastAsia="Times New Roman"/>
                <w:lang w:eastAsia="en-GB"/>
              </w:rPr>
            </w:pPr>
            <w:r w:rsidRPr="00A52AEE">
              <w:t>Foundation degree</w:t>
            </w:r>
          </w:p>
        </w:tc>
        <w:tc>
          <w:tcPr>
            <w:tcW w:w="1093" w:type="dxa"/>
            <w:tcBorders>
              <w:top w:val="nil"/>
              <w:left w:val="nil"/>
              <w:bottom w:val="single" w:sz="8" w:space="0" w:color="auto"/>
              <w:right w:val="single" w:sz="8" w:space="0" w:color="auto"/>
            </w:tcBorders>
            <w:shd w:val="clear" w:color="auto" w:fill="auto"/>
            <w:vAlign w:val="center"/>
            <w:hideMark/>
          </w:tcPr>
          <w:p w14:paraId="739FD5D5" w14:textId="734A8D41" w:rsidR="004A29AC" w:rsidRPr="00A52AEE" w:rsidRDefault="004A29AC" w:rsidP="001923B6">
            <w:pPr>
              <w:jc w:val="right"/>
              <w:rPr>
                <w:rFonts w:eastAsia="Times New Roman"/>
                <w:lang w:eastAsia="en-GB"/>
              </w:rPr>
            </w:pPr>
            <w:r w:rsidRPr="00A52AEE">
              <w:t>310</w:t>
            </w:r>
          </w:p>
        </w:tc>
        <w:tc>
          <w:tcPr>
            <w:tcW w:w="1140" w:type="dxa"/>
            <w:tcBorders>
              <w:top w:val="nil"/>
              <w:left w:val="nil"/>
              <w:bottom w:val="single" w:sz="8" w:space="0" w:color="auto"/>
              <w:right w:val="single" w:sz="8" w:space="0" w:color="auto"/>
            </w:tcBorders>
            <w:shd w:val="clear" w:color="auto" w:fill="auto"/>
            <w:vAlign w:val="center"/>
            <w:hideMark/>
          </w:tcPr>
          <w:p w14:paraId="55DB4C81" w14:textId="11642C9D" w:rsidR="004A29AC" w:rsidRPr="00A52AEE" w:rsidRDefault="004A29AC" w:rsidP="001923B6">
            <w:pPr>
              <w:jc w:val="right"/>
              <w:rPr>
                <w:rFonts w:eastAsia="Times New Roman"/>
                <w:lang w:eastAsia="en-GB"/>
              </w:rPr>
            </w:pPr>
            <w:r w:rsidRPr="00A52AEE">
              <w:t>320</w:t>
            </w:r>
          </w:p>
        </w:tc>
        <w:tc>
          <w:tcPr>
            <w:tcW w:w="1140" w:type="dxa"/>
            <w:tcBorders>
              <w:top w:val="nil"/>
              <w:left w:val="nil"/>
              <w:bottom w:val="single" w:sz="8" w:space="0" w:color="auto"/>
              <w:right w:val="single" w:sz="8" w:space="0" w:color="auto"/>
            </w:tcBorders>
            <w:shd w:val="clear" w:color="auto" w:fill="auto"/>
            <w:vAlign w:val="center"/>
            <w:hideMark/>
          </w:tcPr>
          <w:p w14:paraId="5912E214" w14:textId="4713BC41" w:rsidR="004A29AC" w:rsidRPr="00A52AEE" w:rsidRDefault="004A29AC" w:rsidP="001923B6">
            <w:pPr>
              <w:jc w:val="right"/>
              <w:rPr>
                <w:rFonts w:eastAsia="Times New Roman"/>
                <w:lang w:eastAsia="en-GB"/>
              </w:rPr>
            </w:pPr>
            <w:r w:rsidRPr="00A52AEE">
              <w:t>390</w:t>
            </w:r>
          </w:p>
        </w:tc>
        <w:tc>
          <w:tcPr>
            <w:tcW w:w="1140" w:type="dxa"/>
            <w:tcBorders>
              <w:top w:val="nil"/>
              <w:left w:val="nil"/>
              <w:bottom w:val="single" w:sz="8" w:space="0" w:color="auto"/>
              <w:right w:val="single" w:sz="8" w:space="0" w:color="auto"/>
            </w:tcBorders>
            <w:shd w:val="clear" w:color="auto" w:fill="auto"/>
            <w:vAlign w:val="center"/>
            <w:hideMark/>
          </w:tcPr>
          <w:p w14:paraId="447804B6" w14:textId="71B702EC" w:rsidR="004A29AC" w:rsidRPr="00A52AEE" w:rsidRDefault="004A29AC" w:rsidP="001923B6">
            <w:pPr>
              <w:jc w:val="right"/>
              <w:rPr>
                <w:rFonts w:eastAsia="Times New Roman"/>
                <w:lang w:eastAsia="en-GB"/>
              </w:rPr>
            </w:pPr>
            <w:r w:rsidRPr="00A52AEE">
              <w:t>435</w:t>
            </w:r>
          </w:p>
        </w:tc>
        <w:tc>
          <w:tcPr>
            <w:tcW w:w="1140" w:type="dxa"/>
            <w:tcBorders>
              <w:top w:val="nil"/>
              <w:left w:val="nil"/>
              <w:bottom w:val="single" w:sz="8" w:space="0" w:color="auto"/>
              <w:right w:val="single" w:sz="8" w:space="0" w:color="auto"/>
            </w:tcBorders>
            <w:shd w:val="clear" w:color="auto" w:fill="auto"/>
            <w:vAlign w:val="center"/>
            <w:hideMark/>
          </w:tcPr>
          <w:p w14:paraId="4B59A617" w14:textId="097C6963" w:rsidR="004A29AC" w:rsidRPr="00A52AEE" w:rsidRDefault="004A29AC" w:rsidP="001923B6">
            <w:pPr>
              <w:jc w:val="right"/>
              <w:rPr>
                <w:rFonts w:eastAsia="Times New Roman"/>
                <w:lang w:eastAsia="en-GB"/>
              </w:rPr>
            </w:pPr>
            <w:r w:rsidRPr="00A52AEE">
              <w:t>340</w:t>
            </w:r>
          </w:p>
        </w:tc>
        <w:tc>
          <w:tcPr>
            <w:tcW w:w="1102" w:type="dxa"/>
            <w:tcBorders>
              <w:top w:val="nil"/>
              <w:left w:val="nil"/>
              <w:bottom w:val="single" w:sz="8" w:space="0" w:color="auto"/>
              <w:right w:val="single" w:sz="8" w:space="0" w:color="auto"/>
            </w:tcBorders>
            <w:shd w:val="clear" w:color="auto" w:fill="auto"/>
            <w:vAlign w:val="center"/>
            <w:hideMark/>
          </w:tcPr>
          <w:p w14:paraId="49459061" w14:textId="2FEF7C79" w:rsidR="004A29AC" w:rsidRPr="00A52AEE" w:rsidRDefault="004A29AC" w:rsidP="001923B6">
            <w:pPr>
              <w:jc w:val="right"/>
              <w:rPr>
                <w:rFonts w:eastAsia="Times New Roman"/>
                <w:lang w:eastAsia="en-GB"/>
              </w:rPr>
            </w:pPr>
            <w:r w:rsidRPr="00A52AEE">
              <w:t>30</w:t>
            </w:r>
          </w:p>
        </w:tc>
      </w:tr>
      <w:tr w:rsidR="004A29AC" w:rsidRPr="00A52AEE" w14:paraId="37F6739E" w14:textId="77777777" w:rsidTr="0056198A">
        <w:trPr>
          <w:trHeight w:val="315"/>
        </w:trPr>
        <w:tc>
          <w:tcPr>
            <w:tcW w:w="475" w:type="dxa"/>
            <w:vMerge/>
            <w:tcBorders>
              <w:top w:val="nil"/>
              <w:left w:val="single" w:sz="8" w:space="0" w:color="auto"/>
              <w:bottom w:val="single" w:sz="8" w:space="0" w:color="000000"/>
              <w:right w:val="single" w:sz="8" w:space="0" w:color="auto"/>
            </w:tcBorders>
            <w:vAlign w:val="center"/>
            <w:hideMark/>
          </w:tcPr>
          <w:p w14:paraId="57975874"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64294403" w14:textId="7F8E84F7" w:rsidR="004A29AC" w:rsidRPr="00A52AEE" w:rsidRDefault="004A29AC" w:rsidP="00A52AEE">
            <w:pPr>
              <w:rPr>
                <w:rFonts w:eastAsia="Times New Roman"/>
                <w:lang w:eastAsia="en-GB"/>
              </w:rPr>
            </w:pPr>
            <w:r w:rsidRPr="00A52AEE">
              <w:t>HNC/HND</w:t>
            </w:r>
          </w:p>
        </w:tc>
        <w:tc>
          <w:tcPr>
            <w:tcW w:w="1093" w:type="dxa"/>
            <w:tcBorders>
              <w:top w:val="nil"/>
              <w:left w:val="nil"/>
              <w:bottom w:val="single" w:sz="8" w:space="0" w:color="auto"/>
              <w:right w:val="single" w:sz="8" w:space="0" w:color="auto"/>
            </w:tcBorders>
            <w:shd w:val="clear" w:color="auto" w:fill="auto"/>
            <w:vAlign w:val="center"/>
            <w:hideMark/>
          </w:tcPr>
          <w:p w14:paraId="1E231A2F" w14:textId="43247DC6" w:rsidR="004A29AC" w:rsidRPr="00A52AEE" w:rsidRDefault="004A29AC" w:rsidP="001923B6">
            <w:pPr>
              <w:jc w:val="right"/>
              <w:rPr>
                <w:rFonts w:eastAsia="Times New Roman"/>
                <w:lang w:eastAsia="en-GB"/>
              </w:rPr>
            </w:pPr>
            <w:r w:rsidRPr="00A52AEE">
              <w:t>120</w:t>
            </w:r>
          </w:p>
        </w:tc>
        <w:tc>
          <w:tcPr>
            <w:tcW w:w="1140" w:type="dxa"/>
            <w:tcBorders>
              <w:top w:val="nil"/>
              <w:left w:val="nil"/>
              <w:bottom w:val="single" w:sz="8" w:space="0" w:color="auto"/>
              <w:right w:val="single" w:sz="8" w:space="0" w:color="auto"/>
            </w:tcBorders>
            <w:shd w:val="clear" w:color="auto" w:fill="auto"/>
            <w:vAlign w:val="center"/>
            <w:hideMark/>
          </w:tcPr>
          <w:p w14:paraId="43B0308D" w14:textId="36ED4ED9" w:rsidR="004A29AC" w:rsidRPr="00A52AEE" w:rsidRDefault="004A29AC" w:rsidP="001923B6">
            <w:pPr>
              <w:jc w:val="right"/>
              <w:rPr>
                <w:rFonts w:eastAsia="Times New Roman"/>
                <w:lang w:eastAsia="en-GB"/>
              </w:rPr>
            </w:pPr>
            <w:r w:rsidRPr="00A52AEE">
              <w:t>100</w:t>
            </w:r>
          </w:p>
        </w:tc>
        <w:tc>
          <w:tcPr>
            <w:tcW w:w="1140" w:type="dxa"/>
            <w:tcBorders>
              <w:top w:val="nil"/>
              <w:left w:val="nil"/>
              <w:bottom w:val="single" w:sz="8" w:space="0" w:color="auto"/>
              <w:right w:val="single" w:sz="8" w:space="0" w:color="auto"/>
            </w:tcBorders>
            <w:shd w:val="clear" w:color="auto" w:fill="auto"/>
            <w:vAlign w:val="center"/>
            <w:hideMark/>
          </w:tcPr>
          <w:p w14:paraId="594362E5" w14:textId="3A056D19" w:rsidR="004A29AC" w:rsidRPr="00A52AEE" w:rsidRDefault="004A29AC" w:rsidP="001923B6">
            <w:pPr>
              <w:jc w:val="right"/>
              <w:rPr>
                <w:rFonts w:eastAsia="Times New Roman"/>
                <w:lang w:eastAsia="en-GB"/>
              </w:rPr>
            </w:pPr>
            <w:r w:rsidRPr="00A52AEE">
              <w:t>90</w:t>
            </w:r>
          </w:p>
        </w:tc>
        <w:tc>
          <w:tcPr>
            <w:tcW w:w="1140" w:type="dxa"/>
            <w:tcBorders>
              <w:top w:val="nil"/>
              <w:left w:val="nil"/>
              <w:bottom w:val="single" w:sz="8" w:space="0" w:color="auto"/>
              <w:right w:val="single" w:sz="8" w:space="0" w:color="auto"/>
            </w:tcBorders>
            <w:shd w:val="clear" w:color="auto" w:fill="auto"/>
            <w:vAlign w:val="center"/>
            <w:hideMark/>
          </w:tcPr>
          <w:p w14:paraId="0935C496" w14:textId="49DC1866" w:rsidR="004A29AC" w:rsidRPr="00A52AEE" w:rsidRDefault="004A29AC" w:rsidP="001923B6">
            <w:pPr>
              <w:jc w:val="right"/>
              <w:rPr>
                <w:rFonts w:eastAsia="Times New Roman"/>
                <w:lang w:eastAsia="en-GB"/>
              </w:rPr>
            </w:pPr>
            <w:r w:rsidRPr="00A52AEE">
              <w:t>120</w:t>
            </w:r>
          </w:p>
        </w:tc>
        <w:tc>
          <w:tcPr>
            <w:tcW w:w="1140" w:type="dxa"/>
            <w:tcBorders>
              <w:top w:val="nil"/>
              <w:left w:val="nil"/>
              <w:bottom w:val="single" w:sz="8" w:space="0" w:color="auto"/>
              <w:right w:val="single" w:sz="8" w:space="0" w:color="auto"/>
            </w:tcBorders>
            <w:shd w:val="clear" w:color="auto" w:fill="auto"/>
            <w:vAlign w:val="center"/>
            <w:hideMark/>
          </w:tcPr>
          <w:p w14:paraId="6EC3565A" w14:textId="03062B5F" w:rsidR="004A29AC" w:rsidRPr="00A52AEE" w:rsidRDefault="004A29AC" w:rsidP="001923B6">
            <w:pPr>
              <w:jc w:val="right"/>
              <w:rPr>
                <w:rFonts w:eastAsia="Times New Roman"/>
                <w:lang w:eastAsia="en-GB"/>
              </w:rPr>
            </w:pPr>
            <w:r w:rsidRPr="00A52AEE">
              <w:t>490</w:t>
            </w:r>
          </w:p>
        </w:tc>
        <w:tc>
          <w:tcPr>
            <w:tcW w:w="1102" w:type="dxa"/>
            <w:tcBorders>
              <w:top w:val="nil"/>
              <w:left w:val="nil"/>
              <w:bottom w:val="single" w:sz="8" w:space="0" w:color="auto"/>
              <w:right w:val="single" w:sz="8" w:space="0" w:color="auto"/>
            </w:tcBorders>
            <w:shd w:val="clear" w:color="auto" w:fill="auto"/>
            <w:vAlign w:val="center"/>
            <w:hideMark/>
          </w:tcPr>
          <w:p w14:paraId="56D4ACCF" w14:textId="7434E6CA" w:rsidR="004A29AC" w:rsidRPr="00A52AEE" w:rsidRDefault="004A29AC" w:rsidP="001923B6">
            <w:pPr>
              <w:jc w:val="right"/>
              <w:rPr>
                <w:rFonts w:eastAsia="Times New Roman"/>
                <w:lang w:eastAsia="en-GB"/>
              </w:rPr>
            </w:pPr>
            <w:r w:rsidRPr="00A52AEE">
              <w:t>370</w:t>
            </w:r>
          </w:p>
        </w:tc>
      </w:tr>
      <w:tr w:rsidR="004A29AC" w:rsidRPr="00A52AEE" w14:paraId="2402B47F" w14:textId="77777777" w:rsidTr="0056198A">
        <w:trPr>
          <w:trHeight w:val="315"/>
        </w:trPr>
        <w:tc>
          <w:tcPr>
            <w:tcW w:w="475" w:type="dxa"/>
            <w:vMerge/>
            <w:tcBorders>
              <w:top w:val="nil"/>
              <w:left w:val="single" w:sz="8" w:space="0" w:color="auto"/>
              <w:bottom w:val="single" w:sz="8" w:space="0" w:color="000000"/>
              <w:right w:val="single" w:sz="8" w:space="0" w:color="auto"/>
            </w:tcBorders>
            <w:vAlign w:val="center"/>
            <w:hideMark/>
          </w:tcPr>
          <w:p w14:paraId="04BE35E4"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102615DE" w14:textId="4C9DC596" w:rsidR="004A29AC" w:rsidRPr="00A52AEE" w:rsidRDefault="004A29AC" w:rsidP="00A52AEE">
            <w:pPr>
              <w:rPr>
                <w:rFonts w:eastAsia="Times New Roman"/>
                <w:lang w:eastAsia="en-GB"/>
              </w:rPr>
            </w:pPr>
            <w:r w:rsidRPr="00A52AEE">
              <w:t>NVQ</w:t>
            </w:r>
          </w:p>
        </w:tc>
        <w:tc>
          <w:tcPr>
            <w:tcW w:w="1093" w:type="dxa"/>
            <w:tcBorders>
              <w:top w:val="nil"/>
              <w:left w:val="nil"/>
              <w:bottom w:val="single" w:sz="8" w:space="0" w:color="auto"/>
              <w:right w:val="single" w:sz="8" w:space="0" w:color="auto"/>
            </w:tcBorders>
            <w:shd w:val="clear" w:color="auto" w:fill="auto"/>
            <w:vAlign w:val="center"/>
            <w:hideMark/>
          </w:tcPr>
          <w:p w14:paraId="2021954E" w14:textId="510B72D2" w:rsidR="004A29AC" w:rsidRPr="00A52AEE" w:rsidRDefault="004A29AC" w:rsidP="001923B6">
            <w:pPr>
              <w:jc w:val="right"/>
              <w:rPr>
                <w:rFonts w:eastAsia="Times New Roman"/>
                <w:lang w:eastAsia="en-GB"/>
              </w:rPr>
            </w:pPr>
            <w:r w:rsidRPr="00A52AEE">
              <w:t>200</w:t>
            </w:r>
          </w:p>
        </w:tc>
        <w:tc>
          <w:tcPr>
            <w:tcW w:w="1140" w:type="dxa"/>
            <w:tcBorders>
              <w:top w:val="nil"/>
              <w:left w:val="nil"/>
              <w:bottom w:val="single" w:sz="8" w:space="0" w:color="auto"/>
              <w:right w:val="single" w:sz="8" w:space="0" w:color="auto"/>
            </w:tcBorders>
            <w:shd w:val="clear" w:color="auto" w:fill="auto"/>
            <w:vAlign w:val="center"/>
            <w:hideMark/>
          </w:tcPr>
          <w:p w14:paraId="436998E4" w14:textId="3175700D" w:rsidR="004A29AC" w:rsidRPr="00A52AEE" w:rsidRDefault="004A29AC" w:rsidP="001923B6">
            <w:pPr>
              <w:jc w:val="right"/>
              <w:rPr>
                <w:rFonts w:eastAsia="Times New Roman"/>
                <w:lang w:eastAsia="en-GB"/>
              </w:rPr>
            </w:pPr>
            <w:r w:rsidRPr="00A52AEE">
              <w:t>245</w:t>
            </w:r>
          </w:p>
        </w:tc>
        <w:tc>
          <w:tcPr>
            <w:tcW w:w="1140" w:type="dxa"/>
            <w:tcBorders>
              <w:top w:val="nil"/>
              <w:left w:val="nil"/>
              <w:bottom w:val="single" w:sz="8" w:space="0" w:color="auto"/>
              <w:right w:val="single" w:sz="8" w:space="0" w:color="auto"/>
            </w:tcBorders>
            <w:shd w:val="clear" w:color="auto" w:fill="auto"/>
            <w:vAlign w:val="center"/>
            <w:hideMark/>
          </w:tcPr>
          <w:p w14:paraId="451B4E93" w14:textId="36B8BFA3" w:rsidR="004A29AC" w:rsidRPr="00A52AEE" w:rsidRDefault="004A29AC" w:rsidP="001923B6">
            <w:pPr>
              <w:jc w:val="right"/>
              <w:rPr>
                <w:rFonts w:eastAsia="Times New Roman"/>
                <w:lang w:eastAsia="en-GB"/>
              </w:rPr>
            </w:pPr>
            <w:r w:rsidRPr="00A52AEE">
              <w:t>15</w:t>
            </w:r>
          </w:p>
        </w:tc>
        <w:tc>
          <w:tcPr>
            <w:tcW w:w="1140" w:type="dxa"/>
            <w:tcBorders>
              <w:top w:val="nil"/>
              <w:left w:val="nil"/>
              <w:bottom w:val="single" w:sz="8" w:space="0" w:color="auto"/>
              <w:right w:val="single" w:sz="8" w:space="0" w:color="auto"/>
            </w:tcBorders>
            <w:shd w:val="clear" w:color="auto" w:fill="auto"/>
            <w:vAlign w:val="center"/>
            <w:hideMark/>
          </w:tcPr>
          <w:p w14:paraId="43A23EE2" w14:textId="5CAD9E4C" w:rsidR="004A29AC" w:rsidRPr="00A52AEE" w:rsidRDefault="004A29AC" w:rsidP="001923B6">
            <w:pPr>
              <w:jc w:val="right"/>
              <w:rPr>
                <w:rFonts w:eastAsia="Times New Roman"/>
                <w:lang w:eastAsia="en-GB"/>
              </w:rPr>
            </w:pPr>
            <w:r w:rsidRPr="00A52AEE">
              <w:t>5</w:t>
            </w:r>
          </w:p>
        </w:tc>
        <w:tc>
          <w:tcPr>
            <w:tcW w:w="1140" w:type="dxa"/>
            <w:tcBorders>
              <w:top w:val="nil"/>
              <w:left w:val="nil"/>
              <w:bottom w:val="single" w:sz="8" w:space="0" w:color="auto"/>
              <w:right w:val="single" w:sz="8" w:space="0" w:color="auto"/>
            </w:tcBorders>
            <w:shd w:val="clear" w:color="auto" w:fill="auto"/>
            <w:vAlign w:val="center"/>
            <w:hideMark/>
          </w:tcPr>
          <w:p w14:paraId="42534A01" w14:textId="64B40D9D" w:rsidR="004A29AC" w:rsidRPr="00A52AEE" w:rsidRDefault="004A29AC" w:rsidP="001923B6">
            <w:pPr>
              <w:jc w:val="right"/>
              <w:rPr>
                <w:rFonts w:eastAsia="Times New Roman"/>
                <w:lang w:eastAsia="en-GB"/>
              </w:rPr>
            </w:pPr>
            <w:r w:rsidRPr="00A52AEE">
              <w:t>10</w:t>
            </w:r>
          </w:p>
        </w:tc>
        <w:tc>
          <w:tcPr>
            <w:tcW w:w="1102" w:type="dxa"/>
            <w:tcBorders>
              <w:top w:val="nil"/>
              <w:left w:val="nil"/>
              <w:bottom w:val="single" w:sz="8" w:space="0" w:color="auto"/>
              <w:right w:val="single" w:sz="8" w:space="0" w:color="auto"/>
            </w:tcBorders>
            <w:shd w:val="clear" w:color="auto" w:fill="auto"/>
            <w:vAlign w:val="center"/>
            <w:hideMark/>
          </w:tcPr>
          <w:p w14:paraId="104AE368" w14:textId="12261AD3" w:rsidR="004A29AC" w:rsidRPr="00A52AEE" w:rsidRDefault="004A29AC" w:rsidP="001923B6">
            <w:pPr>
              <w:jc w:val="right"/>
              <w:rPr>
                <w:rFonts w:eastAsia="Times New Roman"/>
                <w:lang w:eastAsia="en-GB"/>
              </w:rPr>
            </w:pPr>
            <w:r w:rsidRPr="00A52AEE">
              <w:t>-190</w:t>
            </w:r>
          </w:p>
        </w:tc>
      </w:tr>
      <w:tr w:rsidR="004A29AC" w:rsidRPr="00A52AEE" w14:paraId="0E29DE23" w14:textId="77777777" w:rsidTr="0056198A">
        <w:trPr>
          <w:trHeight w:val="163"/>
        </w:trPr>
        <w:tc>
          <w:tcPr>
            <w:tcW w:w="475" w:type="dxa"/>
            <w:vMerge/>
            <w:tcBorders>
              <w:top w:val="nil"/>
              <w:left w:val="single" w:sz="8" w:space="0" w:color="auto"/>
              <w:bottom w:val="single" w:sz="8" w:space="0" w:color="000000"/>
              <w:right w:val="single" w:sz="8" w:space="0" w:color="auto"/>
            </w:tcBorders>
            <w:vAlign w:val="center"/>
            <w:hideMark/>
          </w:tcPr>
          <w:p w14:paraId="16D329F5" w14:textId="77777777" w:rsidR="004A29AC" w:rsidRPr="004D2866" w:rsidRDefault="004A29AC" w:rsidP="004D2866">
            <w:pPr>
              <w:jc w:val="center"/>
              <w:rPr>
                <w:b/>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3DFD49DC" w14:textId="53CA8ACD" w:rsidR="004A29AC" w:rsidRPr="00A52AEE" w:rsidRDefault="004A29AC" w:rsidP="00A52AEE">
            <w:pPr>
              <w:rPr>
                <w:rFonts w:eastAsia="Times New Roman"/>
                <w:lang w:eastAsia="en-GB"/>
              </w:rPr>
            </w:pPr>
            <w:r w:rsidRPr="00A52AEE">
              <w:t>Other Undergraduate</w:t>
            </w:r>
          </w:p>
        </w:tc>
        <w:tc>
          <w:tcPr>
            <w:tcW w:w="1093" w:type="dxa"/>
            <w:tcBorders>
              <w:top w:val="nil"/>
              <w:left w:val="nil"/>
              <w:bottom w:val="single" w:sz="8" w:space="0" w:color="auto"/>
              <w:right w:val="single" w:sz="8" w:space="0" w:color="auto"/>
            </w:tcBorders>
            <w:shd w:val="clear" w:color="auto" w:fill="auto"/>
            <w:vAlign w:val="center"/>
            <w:hideMark/>
          </w:tcPr>
          <w:p w14:paraId="39075D0E" w14:textId="38DA7A3C" w:rsidR="004A29AC" w:rsidRPr="00A52AEE" w:rsidRDefault="004A29AC" w:rsidP="001923B6">
            <w:pPr>
              <w:jc w:val="right"/>
              <w:rPr>
                <w:rFonts w:eastAsia="Times New Roman"/>
                <w:lang w:eastAsia="en-GB"/>
              </w:rPr>
            </w:pPr>
            <w:r w:rsidRPr="00A52AEE">
              <w:t>180</w:t>
            </w:r>
          </w:p>
        </w:tc>
        <w:tc>
          <w:tcPr>
            <w:tcW w:w="1140" w:type="dxa"/>
            <w:tcBorders>
              <w:top w:val="nil"/>
              <w:left w:val="nil"/>
              <w:bottom w:val="single" w:sz="8" w:space="0" w:color="auto"/>
              <w:right w:val="single" w:sz="8" w:space="0" w:color="auto"/>
            </w:tcBorders>
            <w:shd w:val="clear" w:color="auto" w:fill="auto"/>
            <w:vAlign w:val="center"/>
            <w:hideMark/>
          </w:tcPr>
          <w:p w14:paraId="6A89BDA5" w14:textId="26DC1567" w:rsidR="004A29AC" w:rsidRPr="00A52AEE" w:rsidRDefault="004A29AC" w:rsidP="001923B6">
            <w:pPr>
              <w:jc w:val="right"/>
              <w:rPr>
                <w:rFonts w:eastAsia="Times New Roman"/>
                <w:lang w:eastAsia="en-GB"/>
              </w:rPr>
            </w:pPr>
            <w:r w:rsidRPr="00A52AEE">
              <w:t>650</w:t>
            </w:r>
          </w:p>
        </w:tc>
        <w:tc>
          <w:tcPr>
            <w:tcW w:w="1140" w:type="dxa"/>
            <w:tcBorders>
              <w:top w:val="nil"/>
              <w:left w:val="nil"/>
              <w:bottom w:val="single" w:sz="8" w:space="0" w:color="auto"/>
              <w:right w:val="single" w:sz="8" w:space="0" w:color="auto"/>
            </w:tcBorders>
            <w:shd w:val="clear" w:color="auto" w:fill="auto"/>
            <w:vAlign w:val="center"/>
            <w:hideMark/>
          </w:tcPr>
          <w:p w14:paraId="413D61CC" w14:textId="50417A7E" w:rsidR="004A29AC" w:rsidRPr="00A52AEE" w:rsidRDefault="004A29AC" w:rsidP="001923B6">
            <w:pPr>
              <w:jc w:val="right"/>
              <w:rPr>
                <w:rFonts w:eastAsia="Times New Roman"/>
                <w:lang w:eastAsia="en-GB"/>
              </w:rPr>
            </w:pPr>
            <w:r w:rsidRPr="00A52AEE">
              <w:t>965</w:t>
            </w:r>
          </w:p>
        </w:tc>
        <w:tc>
          <w:tcPr>
            <w:tcW w:w="1140" w:type="dxa"/>
            <w:tcBorders>
              <w:top w:val="nil"/>
              <w:left w:val="nil"/>
              <w:bottom w:val="single" w:sz="8" w:space="0" w:color="auto"/>
              <w:right w:val="single" w:sz="8" w:space="0" w:color="auto"/>
            </w:tcBorders>
            <w:shd w:val="clear" w:color="auto" w:fill="auto"/>
            <w:vAlign w:val="center"/>
            <w:hideMark/>
          </w:tcPr>
          <w:p w14:paraId="6ADD9670" w14:textId="0DED7A6F" w:rsidR="004A29AC" w:rsidRPr="00A52AEE" w:rsidRDefault="004A29AC" w:rsidP="001923B6">
            <w:pPr>
              <w:jc w:val="right"/>
              <w:rPr>
                <w:rFonts w:eastAsia="Times New Roman"/>
                <w:lang w:eastAsia="en-GB"/>
              </w:rPr>
            </w:pPr>
            <w:r w:rsidRPr="00A52AEE">
              <w:t>760</w:t>
            </w:r>
          </w:p>
        </w:tc>
        <w:tc>
          <w:tcPr>
            <w:tcW w:w="1140" w:type="dxa"/>
            <w:tcBorders>
              <w:top w:val="nil"/>
              <w:left w:val="nil"/>
              <w:bottom w:val="single" w:sz="8" w:space="0" w:color="auto"/>
              <w:right w:val="single" w:sz="8" w:space="0" w:color="auto"/>
            </w:tcBorders>
            <w:shd w:val="clear" w:color="auto" w:fill="auto"/>
            <w:vAlign w:val="center"/>
            <w:hideMark/>
          </w:tcPr>
          <w:p w14:paraId="51E143E4" w14:textId="15FE4BE9" w:rsidR="004A29AC" w:rsidRPr="00A52AEE" w:rsidRDefault="004A29AC" w:rsidP="001923B6">
            <w:pPr>
              <w:jc w:val="right"/>
              <w:rPr>
                <w:rFonts w:eastAsia="Times New Roman"/>
                <w:lang w:eastAsia="en-GB"/>
              </w:rPr>
            </w:pPr>
            <w:r w:rsidRPr="00A52AEE">
              <w:t>1280</w:t>
            </w:r>
          </w:p>
        </w:tc>
        <w:tc>
          <w:tcPr>
            <w:tcW w:w="1102" w:type="dxa"/>
            <w:tcBorders>
              <w:top w:val="nil"/>
              <w:left w:val="nil"/>
              <w:bottom w:val="single" w:sz="8" w:space="0" w:color="auto"/>
              <w:right w:val="single" w:sz="8" w:space="0" w:color="auto"/>
            </w:tcBorders>
            <w:shd w:val="clear" w:color="auto" w:fill="auto"/>
            <w:vAlign w:val="center"/>
            <w:hideMark/>
          </w:tcPr>
          <w:p w14:paraId="49F66FBF" w14:textId="033E86EC" w:rsidR="004A29AC" w:rsidRPr="00A52AEE" w:rsidRDefault="004A29AC" w:rsidP="001923B6">
            <w:pPr>
              <w:jc w:val="right"/>
              <w:rPr>
                <w:rFonts w:eastAsia="Times New Roman"/>
                <w:lang w:eastAsia="en-GB"/>
              </w:rPr>
            </w:pPr>
            <w:r w:rsidRPr="00A52AEE">
              <w:t>1100</w:t>
            </w:r>
          </w:p>
        </w:tc>
      </w:tr>
      <w:tr w:rsidR="004A29AC" w:rsidRPr="00A52AEE" w14:paraId="3FFB629F" w14:textId="77777777" w:rsidTr="0056198A">
        <w:trPr>
          <w:trHeight w:val="315"/>
        </w:trPr>
        <w:tc>
          <w:tcPr>
            <w:tcW w:w="47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73B9FD5" w14:textId="77777777" w:rsidR="004A29AC" w:rsidRPr="004D2866" w:rsidRDefault="004A29AC" w:rsidP="004D2866">
            <w:pPr>
              <w:jc w:val="center"/>
              <w:rPr>
                <w:b/>
                <w:lang w:eastAsia="en-GB"/>
              </w:rPr>
            </w:pPr>
            <w:r w:rsidRPr="004D2866">
              <w:rPr>
                <w:b/>
                <w:lang w:eastAsia="en-GB"/>
              </w:rPr>
              <w:t>University</w:t>
            </w:r>
          </w:p>
        </w:tc>
        <w:tc>
          <w:tcPr>
            <w:tcW w:w="2350" w:type="dxa"/>
            <w:tcBorders>
              <w:top w:val="nil"/>
              <w:left w:val="nil"/>
              <w:bottom w:val="single" w:sz="8" w:space="0" w:color="auto"/>
              <w:right w:val="single" w:sz="8" w:space="0" w:color="auto"/>
            </w:tcBorders>
            <w:shd w:val="clear" w:color="auto" w:fill="auto"/>
            <w:vAlign w:val="center"/>
            <w:hideMark/>
          </w:tcPr>
          <w:p w14:paraId="456F9448" w14:textId="4BDFDA42" w:rsidR="004A29AC" w:rsidRPr="00A52AEE" w:rsidRDefault="004A29AC" w:rsidP="00A52AEE">
            <w:pPr>
              <w:rPr>
                <w:rFonts w:eastAsia="Times New Roman"/>
                <w:lang w:eastAsia="en-GB"/>
              </w:rPr>
            </w:pPr>
            <w:r w:rsidRPr="00A52AEE">
              <w:t>First degree</w:t>
            </w:r>
          </w:p>
        </w:tc>
        <w:tc>
          <w:tcPr>
            <w:tcW w:w="1093" w:type="dxa"/>
            <w:tcBorders>
              <w:top w:val="nil"/>
              <w:left w:val="nil"/>
              <w:bottom w:val="single" w:sz="8" w:space="0" w:color="auto"/>
              <w:right w:val="single" w:sz="8" w:space="0" w:color="auto"/>
            </w:tcBorders>
            <w:shd w:val="clear" w:color="auto" w:fill="auto"/>
            <w:vAlign w:val="center"/>
            <w:hideMark/>
          </w:tcPr>
          <w:p w14:paraId="64986931" w14:textId="5047CA0D" w:rsidR="004A29AC" w:rsidRPr="00A52AEE" w:rsidRDefault="004A29AC" w:rsidP="001923B6">
            <w:pPr>
              <w:jc w:val="right"/>
              <w:rPr>
                <w:rFonts w:eastAsia="Times New Roman"/>
                <w:lang w:eastAsia="en-GB"/>
              </w:rPr>
            </w:pPr>
            <w:r w:rsidRPr="00A52AEE">
              <w:t>15015</w:t>
            </w:r>
          </w:p>
        </w:tc>
        <w:tc>
          <w:tcPr>
            <w:tcW w:w="1140" w:type="dxa"/>
            <w:tcBorders>
              <w:top w:val="nil"/>
              <w:left w:val="nil"/>
              <w:bottom w:val="single" w:sz="8" w:space="0" w:color="auto"/>
              <w:right w:val="single" w:sz="8" w:space="0" w:color="auto"/>
            </w:tcBorders>
            <w:shd w:val="clear" w:color="auto" w:fill="auto"/>
            <w:vAlign w:val="center"/>
            <w:hideMark/>
          </w:tcPr>
          <w:p w14:paraId="4608713D" w14:textId="638E9659" w:rsidR="004A29AC" w:rsidRPr="00A52AEE" w:rsidRDefault="004A29AC" w:rsidP="001923B6">
            <w:pPr>
              <w:jc w:val="right"/>
              <w:rPr>
                <w:rFonts w:eastAsia="Times New Roman"/>
                <w:lang w:eastAsia="en-GB"/>
              </w:rPr>
            </w:pPr>
            <w:r w:rsidRPr="00A52AEE">
              <w:t>14585</w:t>
            </w:r>
          </w:p>
        </w:tc>
        <w:tc>
          <w:tcPr>
            <w:tcW w:w="1140" w:type="dxa"/>
            <w:tcBorders>
              <w:top w:val="nil"/>
              <w:left w:val="nil"/>
              <w:bottom w:val="single" w:sz="8" w:space="0" w:color="auto"/>
              <w:right w:val="single" w:sz="8" w:space="0" w:color="auto"/>
            </w:tcBorders>
            <w:shd w:val="clear" w:color="auto" w:fill="auto"/>
            <w:vAlign w:val="center"/>
            <w:hideMark/>
          </w:tcPr>
          <w:p w14:paraId="4CED1557" w14:textId="349BAF4A" w:rsidR="004A29AC" w:rsidRPr="00A52AEE" w:rsidRDefault="004A29AC" w:rsidP="001923B6">
            <w:pPr>
              <w:jc w:val="right"/>
              <w:rPr>
                <w:rFonts w:eastAsia="Times New Roman"/>
                <w:lang w:eastAsia="en-GB"/>
              </w:rPr>
            </w:pPr>
            <w:r w:rsidRPr="00A52AEE">
              <w:t>15055</w:t>
            </w:r>
          </w:p>
        </w:tc>
        <w:tc>
          <w:tcPr>
            <w:tcW w:w="1140" w:type="dxa"/>
            <w:tcBorders>
              <w:top w:val="nil"/>
              <w:left w:val="nil"/>
              <w:bottom w:val="single" w:sz="8" w:space="0" w:color="auto"/>
              <w:right w:val="single" w:sz="8" w:space="0" w:color="auto"/>
            </w:tcBorders>
            <w:shd w:val="clear" w:color="auto" w:fill="auto"/>
            <w:vAlign w:val="center"/>
            <w:hideMark/>
          </w:tcPr>
          <w:p w14:paraId="3E587ED3" w14:textId="4ED62E4B" w:rsidR="004A29AC" w:rsidRPr="00A52AEE" w:rsidRDefault="004A29AC" w:rsidP="001923B6">
            <w:pPr>
              <w:jc w:val="right"/>
              <w:rPr>
                <w:rFonts w:eastAsia="Times New Roman"/>
                <w:lang w:eastAsia="en-GB"/>
              </w:rPr>
            </w:pPr>
            <w:r w:rsidRPr="00A52AEE">
              <w:t>16115</w:t>
            </w:r>
          </w:p>
        </w:tc>
        <w:tc>
          <w:tcPr>
            <w:tcW w:w="1140" w:type="dxa"/>
            <w:tcBorders>
              <w:top w:val="nil"/>
              <w:left w:val="nil"/>
              <w:bottom w:val="single" w:sz="8" w:space="0" w:color="auto"/>
              <w:right w:val="single" w:sz="8" w:space="0" w:color="auto"/>
            </w:tcBorders>
            <w:shd w:val="clear" w:color="auto" w:fill="auto"/>
            <w:vAlign w:val="center"/>
            <w:hideMark/>
          </w:tcPr>
          <w:p w14:paraId="640644C9" w14:textId="601542BF" w:rsidR="004A29AC" w:rsidRPr="00A52AEE" w:rsidRDefault="004A29AC" w:rsidP="001923B6">
            <w:pPr>
              <w:jc w:val="right"/>
              <w:rPr>
                <w:rFonts w:eastAsia="Times New Roman"/>
                <w:lang w:eastAsia="en-GB"/>
              </w:rPr>
            </w:pPr>
            <w:r w:rsidRPr="00A52AEE">
              <w:t>14685</w:t>
            </w:r>
          </w:p>
        </w:tc>
        <w:tc>
          <w:tcPr>
            <w:tcW w:w="1102" w:type="dxa"/>
            <w:tcBorders>
              <w:top w:val="nil"/>
              <w:left w:val="nil"/>
              <w:bottom w:val="single" w:sz="8" w:space="0" w:color="auto"/>
              <w:right w:val="single" w:sz="8" w:space="0" w:color="auto"/>
            </w:tcBorders>
            <w:shd w:val="clear" w:color="auto" w:fill="auto"/>
            <w:vAlign w:val="center"/>
            <w:hideMark/>
          </w:tcPr>
          <w:p w14:paraId="5F89AE95" w14:textId="0416AC43" w:rsidR="004A29AC" w:rsidRPr="00A52AEE" w:rsidRDefault="004A29AC" w:rsidP="001923B6">
            <w:pPr>
              <w:jc w:val="right"/>
              <w:rPr>
                <w:rFonts w:eastAsia="Times New Roman"/>
                <w:lang w:eastAsia="en-GB"/>
              </w:rPr>
            </w:pPr>
            <w:r w:rsidRPr="00A52AEE">
              <w:t>-330</w:t>
            </w:r>
          </w:p>
        </w:tc>
      </w:tr>
      <w:tr w:rsidR="004A29AC" w:rsidRPr="00A52AEE" w14:paraId="276D0437" w14:textId="77777777" w:rsidTr="0056198A">
        <w:trPr>
          <w:trHeight w:val="257"/>
        </w:trPr>
        <w:tc>
          <w:tcPr>
            <w:tcW w:w="475" w:type="dxa"/>
            <w:vMerge/>
            <w:tcBorders>
              <w:top w:val="nil"/>
              <w:left w:val="single" w:sz="8" w:space="0" w:color="auto"/>
              <w:bottom w:val="single" w:sz="8" w:space="0" w:color="000000"/>
              <w:right w:val="single" w:sz="8" w:space="0" w:color="auto"/>
            </w:tcBorders>
            <w:vAlign w:val="center"/>
            <w:hideMark/>
          </w:tcPr>
          <w:p w14:paraId="2A033518" w14:textId="77777777" w:rsidR="004A29AC" w:rsidRPr="00A52AEE" w:rsidRDefault="004A29AC" w:rsidP="00A52AEE">
            <w:pPr>
              <w:rPr>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5818B08F" w14:textId="166039F7" w:rsidR="004A29AC" w:rsidRPr="00A52AEE" w:rsidRDefault="004A29AC" w:rsidP="00A52AEE">
            <w:pPr>
              <w:rPr>
                <w:rFonts w:eastAsia="Times New Roman"/>
                <w:lang w:eastAsia="en-GB"/>
              </w:rPr>
            </w:pPr>
            <w:r w:rsidRPr="00A52AEE">
              <w:t>Foundation degree</w:t>
            </w:r>
          </w:p>
        </w:tc>
        <w:tc>
          <w:tcPr>
            <w:tcW w:w="1093" w:type="dxa"/>
            <w:tcBorders>
              <w:top w:val="nil"/>
              <w:left w:val="nil"/>
              <w:bottom w:val="single" w:sz="8" w:space="0" w:color="auto"/>
              <w:right w:val="single" w:sz="8" w:space="0" w:color="auto"/>
            </w:tcBorders>
            <w:shd w:val="clear" w:color="auto" w:fill="auto"/>
            <w:vAlign w:val="center"/>
            <w:hideMark/>
          </w:tcPr>
          <w:p w14:paraId="463A4BCB" w14:textId="03FAD05F" w:rsidR="004A29AC" w:rsidRPr="00A52AEE" w:rsidRDefault="004A29AC" w:rsidP="001923B6">
            <w:pPr>
              <w:jc w:val="right"/>
              <w:rPr>
                <w:rFonts w:eastAsia="Times New Roman"/>
                <w:lang w:eastAsia="en-GB"/>
              </w:rPr>
            </w:pPr>
            <w:r w:rsidRPr="00A52AEE">
              <w:t>340</w:t>
            </w:r>
          </w:p>
        </w:tc>
        <w:tc>
          <w:tcPr>
            <w:tcW w:w="1140" w:type="dxa"/>
            <w:tcBorders>
              <w:top w:val="nil"/>
              <w:left w:val="nil"/>
              <w:bottom w:val="single" w:sz="8" w:space="0" w:color="auto"/>
              <w:right w:val="single" w:sz="8" w:space="0" w:color="auto"/>
            </w:tcBorders>
            <w:shd w:val="clear" w:color="auto" w:fill="auto"/>
            <w:vAlign w:val="center"/>
            <w:hideMark/>
          </w:tcPr>
          <w:p w14:paraId="457A8F86" w14:textId="70C489A1" w:rsidR="004A29AC" w:rsidRPr="00A52AEE" w:rsidRDefault="004A29AC" w:rsidP="001923B6">
            <w:pPr>
              <w:jc w:val="right"/>
              <w:rPr>
                <w:rFonts w:eastAsia="Times New Roman"/>
                <w:lang w:eastAsia="en-GB"/>
              </w:rPr>
            </w:pPr>
            <w:r w:rsidRPr="00A52AEE">
              <w:t>435</w:t>
            </w:r>
          </w:p>
        </w:tc>
        <w:tc>
          <w:tcPr>
            <w:tcW w:w="1140" w:type="dxa"/>
            <w:tcBorders>
              <w:top w:val="nil"/>
              <w:left w:val="nil"/>
              <w:bottom w:val="single" w:sz="8" w:space="0" w:color="auto"/>
              <w:right w:val="single" w:sz="8" w:space="0" w:color="auto"/>
            </w:tcBorders>
            <w:shd w:val="clear" w:color="auto" w:fill="auto"/>
            <w:vAlign w:val="center"/>
            <w:hideMark/>
          </w:tcPr>
          <w:p w14:paraId="09E0ED49" w14:textId="52772477" w:rsidR="004A29AC" w:rsidRPr="00A52AEE" w:rsidRDefault="004A29AC" w:rsidP="001923B6">
            <w:pPr>
              <w:jc w:val="right"/>
              <w:rPr>
                <w:rFonts w:eastAsia="Times New Roman"/>
                <w:lang w:eastAsia="en-GB"/>
              </w:rPr>
            </w:pPr>
            <w:r w:rsidRPr="00A52AEE">
              <w:t>450</w:t>
            </w:r>
          </w:p>
        </w:tc>
        <w:tc>
          <w:tcPr>
            <w:tcW w:w="1140" w:type="dxa"/>
            <w:tcBorders>
              <w:top w:val="nil"/>
              <w:left w:val="nil"/>
              <w:bottom w:val="single" w:sz="8" w:space="0" w:color="auto"/>
              <w:right w:val="single" w:sz="8" w:space="0" w:color="auto"/>
            </w:tcBorders>
            <w:shd w:val="clear" w:color="auto" w:fill="auto"/>
            <w:vAlign w:val="center"/>
            <w:hideMark/>
          </w:tcPr>
          <w:p w14:paraId="14FBC8B0" w14:textId="13FAFEF7" w:rsidR="004A29AC" w:rsidRPr="00A52AEE" w:rsidRDefault="004A29AC" w:rsidP="001923B6">
            <w:pPr>
              <w:jc w:val="right"/>
              <w:rPr>
                <w:rFonts w:eastAsia="Times New Roman"/>
                <w:lang w:eastAsia="en-GB"/>
              </w:rPr>
            </w:pPr>
            <w:r w:rsidRPr="00A52AEE">
              <w:t>390</w:t>
            </w:r>
          </w:p>
        </w:tc>
        <w:tc>
          <w:tcPr>
            <w:tcW w:w="1140" w:type="dxa"/>
            <w:tcBorders>
              <w:top w:val="nil"/>
              <w:left w:val="nil"/>
              <w:bottom w:val="single" w:sz="8" w:space="0" w:color="auto"/>
              <w:right w:val="single" w:sz="8" w:space="0" w:color="auto"/>
            </w:tcBorders>
            <w:shd w:val="clear" w:color="auto" w:fill="auto"/>
            <w:vAlign w:val="center"/>
            <w:hideMark/>
          </w:tcPr>
          <w:p w14:paraId="1A4EC023" w14:textId="5D7E0512" w:rsidR="004A29AC" w:rsidRPr="00A52AEE" w:rsidRDefault="004A29AC" w:rsidP="001923B6">
            <w:pPr>
              <w:jc w:val="right"/>
              <w:rPr>
                <w:rFonts w:eastAsia="Times New Roman"/>
                <w:lang w:eastAsia="en-GB"/>
              </w:rPr>
            </w:pPr>
            <w:r w:rsidRPr="00A52AEE">
              <w:t>290</w:t>
            </w:r>
          </w:p>
        </w:tc>
        <w:tc>
          <w:tcPr>
            <w:tcW w:w="1102" w:type="dxa"/>
            <w:tcBorders>
              <w:top w:val="nil"/>
              <w:left w:val="nil"/>
              <w:bottom w:val="single" w:sz="8" w:space="0" w:color="auto"/>
              <w:right w:val="single" w:sz="8" w:space="0" w:color="auto"/>
            </w:tcBorders>
            <w:shd w:val="clear" w:color="auto" w:fill="auto"/>
            <w:vAlign w:val="center"/>
            <w:hideMark/>
          </w:tcPr>
          <w:p w14:paraId="5A2DBB08" w14:textId="6CDE3061" w:rsidR="004A29AC" w:rsidRPr="00A52AEE" w:rsidRDefault="004A29AC" w:rsidP="001923B6">
            <w:pPr>
              <w:jc w:val="right"/>
              <w:rPr>
                <w:rFonts w:eastAsia="Times New Roman"/>
                <w:lang w:eastAsia="en-GB"/>
              </w:rPr>
            </w:pPr>
            <w:r w:rsidRPr="00A52AEE">
              <w:t>-50</w:t>
            </w:r>
          </w:p>
        </w:tc>
      </w:tr>
      <w:tr w:rsidR="004A29AC" w:rsidRPr="00A52AEE" w14:paraId="55F59774" w14:textId="77777777" w:rsidTr="0056198A">
        <w:trPr>
          <w:trHeight w:val="315"/>
        </w:trPr>
        <w:tc>
          <w:tcPr>
            <w:tcW w:w="475" w:type="dxa"/>
            <w:vMerge/>
            <w:tcBorders>
              <w:top w:val="nil"/>
              <w:left w:val="single" w:sz="8" w:space="0" w:color="auto"/>
              <w:bottom w:val="single" w:sz="8" w:space="0" w:color="000000"/>
              <w:right w:val="single" w:sz="8" w:space="0" w:color="auto"/>
            </w:tcBorders>
            <w:vAlign w:val="center"/>
            <w:hideMark/>
          </w:tcPr>
          <w:p w14:paraId="1C477172" w14:textId="77777777" w:rsidR="004A29AC" w:rsidRPr="00A52AEE" w:rsidRDefault="004A29AC" w:rsidP="00A52AEE">
            <w:pPr>
              <w:rPr>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7BD7F67B" w14:textId="5D02251C" w:rsidR="004A29AC" w:rsidRPr="00A52AEE" w:rsidRDefault="004A29AC" w:rsidP="00A52AEE">
            <w:pPr>
              <w:rPr>
                <w:rFonts w:eastAsia="Times New Roman"/>
                <w:lang w:eastAsia="en-GB"/>
              </w:rPr>
            </w:pPr>
            <w:r w:rsidRPr="00A52AEE">
              <w:t>HNC/HND</w:t>
            </w:r>
          </w:p>
        </w:tc>
        <w:tc>
          <w:tcPr>
            <w:tcW w:w="1093" w:type="dxa"/>
            <w:tcBorders>
              <w:top w:val="nil"/>
              <w:left w:val="nil"/>
              <w:bottom w:val="single" w:sz="8" w:space="0" w:color="auto"/>
              <w:right w:val="single" w:sz="8" w:space="0" w:color="auto"/>
            </w:tcBorders>
            <w:shd w:val="clear" w:color="auto" w:fill="auto"/>
            <w:vAlign w:val="center"/>
            <w:hideMark/>
          </w:tcPr>
          <w:p w14:paraId="2717C53F" w14:textId="33761AAE" w:rsidR="004A29AC" w:rsidRPr="00A52AEE" w:rsidRDefault="004A29AC" w:rsidP="001923B6">
            <w:pPr>
              <w:jc w:val="right"/>
              <w:rPr>
                <w:rFonts w:eastAsia="Times New Roman"/>
                <w:lang w:eastAsia="en-GB"/>
              </w:rPr>
            </w:pPr>
            <w:r w:rsidRPr="00A52AEE">
              <w:t>155</w:t>
            </w:r>
          </w:p>
        </w:tc>
        <w:tc>
          <w:tcPr>
            <w:tcW w:w="1140" w:type="dxa"/>
            <w:tcBorders>
              <w:top w:val="nil"/>
              <w:left w:val="nil"/>
              <w:bottom w:val="single" w:sz="8" w:space="0" w:color="auto"/>
              <w:right w:val="single" w:sz="8" w:space="0" w:color="auto"/>
            </w:tcBorders>
            <w:shd w:val="clear" w:color="auto" w:fill="auto"/>
            <w:vAlign w:val="center"/>
            <w:hideMark/>
          </w:tcPr>
          <w:p w14:paraId="55F6BF67" w14:textId="3BC0C4C1" w:rsidR="004A29AC" w:rsidRPr="00A52AEE" w:rsidRDefault="004A29AC" w:rsidP="001923B6">
            <w:pPr>
              <w:jc w:val="right"/>
              <w:rPr>
                <w:rFonts w:eastAsia="Times New Roman"/>
                <w:lang w:eastAsia="en-GB"/>
              </w:rPr>
            </w:pPr>
            <w:r w:rsidRPr="00A52AEE">
              <w:t>85</w:t>
            </w:r>
          </w:p>
        </w:tc>
        <w:tc>
          <w:tcPr>
            <w:tcW w:w="1140" w:type="dxa"/>
            <w:tcBorders>
              <w:top w:val="nil"/>
              <w:left w:val="nil"/>
              <w:bottom w:val="single" w:sz="8" w:space="0" w:color="auto"/>
              <w:right w:val="single" w:sz="8" w:space="0" w:color="auto"/>
            </w:tcBorders>
            <w:shd w:val="clear" w:color="auto" w:fill="auto"/>
            <w:vAlign w:val="center"/>
            <w:hideMark/>
          </w:tcPr>
          <w:p w14:paraId="7619B120" w14:textId="200F20D4" w:rsidR="004A29AC" w:rsidRPr="00A52AEE" w:rsidRDefault="004A29AC" w:rsidP="001923B6">
            <w:pPr>
              <w:jc w:val="right"/>
              <w:rPr>
                <w:rFonts w:eastAsia="Times New Roman"/>
                <w:lang w:eastAsia="en-GB"/>
              </w:rPr>
            </w:pPr>
            <w:r w:rsidRPr="00A52AEE">
              <w:t>85</w:t>
            </w:r>
          </w:p>
        </w:tc>
        <w:tc>
          <w:tcPr>
            <w:tcW w:w="1140" w:type="dxa"/>
            <w:tcBorders>
              <w:top w:val="nil"/>
              <w:left w:val="nil"/>
              <w:bottom w:val="single" w:sz="8" w:space="0" w:color="auto"/>
              <w:right w:val="single" w:sz="8" w:space="0" w:color="auto"/>
            </w:tcBorders>
            <w:shd w:val="clear" w:color="auto" w:fill="auto"/>
            <w:vAlign w:val="center"/>
            <w:hideMark/>
          </w:tcPr>
          <w:p w14:paraId="52AD093E" w14:textId="4D4F0C26" w:rsidR="004A29AC" w:rsidRPr="00A52AEE" w:rsidRDefault="004A29AC" w:rsidP="001923B6">
            <w:pPr>
              <w:jc w:val="right"/>
              <w:rPr>
                <w:rFonts w:eastAsia="Times New Roman"/>
                <w:lang w:eastAsia="en-GB"/>
              </w:rPr>
            </w:pPr>
            <w:r w:rsidRPr="00A52AEE">
              <w:t>90</w:t>
            </w:r>
          </w:p>
        </w:tc>
        <w:tc>
          <w:tcPr>
            <w:tcW w:w="1140" w:type="dxa"/>
            <w:tcBorders>
              <w:top w:val="nil"/>
              <w:left w:val="nil"/>
              <w:bottom w:val="single" w:sz="8" w:space="0" w:color="auto"/>
              <w:right w:val="single" w:sz="8" w:space="0" w:color="auto"/>
            </w:tcBorders>
            <w:shd w:val="clear" w:color="auto" w:fill="auto"/>
            <w:vAlign w:val="center"/>
            <w:hideMark/>
          </w:tcPr>
          <w:p w14:paraId="534869A9" w14:textId="3464F722" w:rsidR="004A29AC" w:rsidRPr="00A52AEE" w:rsidRDefault="004A29AC" w:rsidP="001923B6">
            <w:pPr>
              <w:jc w:val="right"/>
              <w:rPr>
                <w:rFonts w:eastAsia="Times New Roman"/>
                <w:lang w:eastAsia="en-GB"/>
              </w:rPr>
            </w:pPr>
            <w:r w:rsidRPr="00A52AEE">
              <w:t>60</w:t>
            </w:r>
          </w:p>
        </w:tc>
        <w:tc>
          <w:tcPr>
            <w:tcW w:w="1102" w:type="dxa"/>
            <w:tcBorders>
              <w:top w:val="nil"/>
              <w:left w:val="nil"/>
              <w:bottom w:val="single" w:sz="8" w:space="0" w:color="auto"/>
              <w:right w:val="single" w:sz="8" w:space="0" w:color="auto"/>
            </w:tcBorders>
            <w:shd w:val="clear" w:color="auto" w:fill="auto"/>
            <w:vAlign w:val="center"/>
            <w:hideMark/>
          </w:tcPr>
          <w:p w14:paraId="1C0A65F1" w14:textId="0DD328C2" w:rsidR="004A29AC" w:rsidRPr="00A52AEE" w:rsidRDefault="004A29AC" w:rsidP="001923B6">
            <w:pPr>
              <w:jc w:val="right"/>
              <w:rPr>
                <w:rFonts w:eastAsia="Times New Roman"/>
                <w:lang w:eastAsia="en-GB"/>
              </w:rPr>
            </w:pPr>
            <w:r w:rsidRPr="00A52AEE">
              <w:t>-95</w:t>
            </w:r>
          </w:p>
        </w:tc>
      </w:tr>
      <w:tr w:rsidR="004A29AC" w:rsidRPr="00A52AEE" w14:paraId="2FB6DEE6" w14:textId="77777777" w:rsidTr="0056198A">
        <w:trPr>
          <w:trHeight w:val="209"/>
        </w:trPr>
        <w:tc>
          <w:tcPr>
            <w:tcW w:w="475" w:type="dxa"/>
            <w:vMerge/>
            <w:tcBorders>
              <w:top w:val="nil"/>
              <w:left w:val="single" w:sz="8" w:space="0" w:color="auto"/>
              <w:bottom w:val="single" w:sz="8" w:space="0" w:color="000000"/>
              <w:right w:val="single" w:sz="8" w:space="0" w:color="auto"/>
            </w:tcBorders>
            <w:vAlign w:val="center"/>
            <w:hideMark/>
          </w:tcPr>
          <w:p w14:paraId="49C0333A" w14:textId="77777777" w:rsidR="004A29AC" w:rsidRPr="00A52AEE" w:rsidRDefault="004A29AC" w:rsidP="00A52AEE">
            <w:pPr>
              <w:rPr>
                <w:lang w:eastAsia="en-GB"/>
              </w:rPr>
            </w:pPr>
          </w:p>
        </w:tc>
        <w:tc>
          <w:tcPr>
            <w:tcW w:w="2350" w:type="dxa"/>
            <w:tcBorders>
              <w:top w:val="nil"/>
              <w:left w:val="nil"/>
              <w:bottom w:val="single" w:sz="8" w:space="0" w:color="auto"/>
              <w:right w:val="single" w:sz="8" w:space="0" w:color="auto"/>
            </w:tcBorders>
            <w:shd w:val="clear" w:color="auto" w:fill="auto"/>
            <w:vAlign w:val="center"/>
            <w:hideMark/>
          </w:tcPr>
          <w:p w14:paraId="6D7A1C19" w14:textId="42B2298A" w:rsidR="004A29AC" w:rsidRPr="00A52AEE" w:rsidRDefault="004A29AC" w:rsidP="00A52AEE">
            <w:pPr>
              <w:rPr>
                <w:rFonts w:eastAsia="Times New Roman"/>
                <w:lang w:eastAsia="en-GB"/>
              </w:rPr>
            </w:pPr>
            <w:r w:rsidRPr="00A52AEE">
              <w:t>Other undergraduate</w:t>
            </w:r>
          </w:p>
        </w:tc>
        <w:tc>
          <w:tcPr>
            <w:tcW w:w="1093" w:type="dxa"/>
            <w:tcBorders>
              <w:top w:val="nil"/>
              <w:left w:val="nil"/>
              <w:bottom w:val="single" w:sz="8" w:space="0" w:color="auto"/>
              <w:right w:val="single" w:sz="8" w:space="0" w:color="auto"/>
            </w:tcBorders>
            <w:shd w:val="clear" w:color="auto" w:fill="auto"/>
            <w:vAlign w:val="center"/>
            <w:hideMark/>
          </w:tcPr>
          <w:p w14:paraId="0094D7BB" w14:textId="6C71EB0F" w:rsidR="004A29AC" w:rsidRPr="00A52AEE" w:rsidRDefault="004A29AC" w:rsidP="001923B6">
            <w:pPr>
              <w:jc w:val="right"/>
              <w:rPr>
                <w:rFonts w:eastAsia="Times New Roman"/>
                <w:lang w:eastAsia="en-GB"/>
              </w:rPr>
            </w:pPr>
            <w:r w:rsidRPr="00A52AEE">
              <w:t>895</w:t>
            </w:r>
          </w:p>
        </w:tc>
        <w:tc>
          <w:tcPr>
            <w:tcW w:w="1140" w:type="dxa"/>
            <w:tcBorders>
              <w:top w:val="nil"/>
              <w:left w:val="nil"/>
              <w:bottom w:val="single" w:sz="8" w:space="0" w:color="auto"/>
              <w:right w:val="single" w:sz="8" w:space="0" w:color="auto"/>
            </w:tcBorders>
            <w:shd w:val="clear" w:color="auto" w:fill="auto"/>
            <w:vAlign w:val="center"/>
            <w:hideMark/>
          </w:tcPr>
          <w:p w14:paraId="6924E318" w14:textId="466D9043" w:rsidR="004A29AC" w:rsidRPr="00A52AEE" w:rsidRDefault="004A29AC" w:rsidP="001923B6">
            <w:pPr>
              <w:jc w:val="right"/>
              <w:rPr>
                <w:rFonts w:eastAsia="Times New Roman"/>
                <w:lang w:eastAsia="en-GB"/>
              </w:rPr>
            </w:pPr>
            <w:r w:rsidRPr="00A52AEE">
              <w:t>840</w:t>
            </w:r>
          </w:p>
        </w:tc>
        <w:tc>
          <w:tcPr>
            <w:tcW w:w="1140" w:type="dxa"/>
            <w:tcBorders>
              <w:top w:val="nil"/>
              <w:left w:val="nil"/>
              <w:bottom w:val="single" w:sz="8" w:space="0" w:color="auto"/>
              <w:right w:val="single" w:sz="8" w:space="0" w:color="auto"/>
            </w:tcBorders>
            <w:shd w:val="clear" w:color="auto" w:fill="auto"/>
            <w:vAlign w:val="center"/>
            <w:hideMark/>
          </w:tcPr>
          <w:p w14:paraId="4728F878" w14:textId="7789FAC5" w:rsidR="004A29AC" w:rsidRPr="00A52AEE" w:rsidRDefault="004A29AC" w:rsidP="001923B6">
            <w:pPr>
              <w:jc w:val="right"/>
              <w:rPr>
                <w:rFonts w:eastAsia="Times New Roman"/>
                <w:lang w:eastAsia="en-GB"/>
              </w:rPr>
            </w:pPr>
            <w:r w:rsidRPr="00A52AEE">
              <w:t>695</w:t>
            </w:r>
          </w:p>
        </w:tc>
        <w:tc>
          <w:tcPr>
            <w:tcW w:w="1140" w:type="dxa"/>
            <w:tcBorders>
              <w:top w:val="nil"/>
              <w:left w:val="nil"/>
              <w:bottom w:val="single" w:sz="8" w:space="0" w:color="auto"/>
              <w:right w:val="single" w:sz="8" w:space="0" w:color="auto"/>
            </w:tcBorders>
            <w:shd w:val="clear" w:color="auto" w:fill="auto"/>
            <w:vAlign w:val="center"/>
            <w:hideMark/>
          </w:tcPr>
          <w:p w14:paraId="09D0F65A" w14:textId="044E1FD7" w:rsidR="004A29AC" w:rsidRPr="00A52AEE" w:rsidRDefault="004A29AC" w:rsidP="001923B6">
            <w:pPr>
              <w:jc w:val="right"/>
              <w:rPr>
                <w:rFonts w:eastAsia="Times New Roman"/>
                <w:lang w:eastAsia="en-GB"/>
              </w:rPr>
            </w:pPr>
            <w:r w:rsidRPr="00A52AEE">
              <w:t>265</w:t>
            </w:r>
          </w:p>
        </w:tc>
        <w:tc>
          <w:tcPr>
            <w:tcW w:w="1140" w:type="dxa"/>
            <w:tcBorders>
              <w:top w:val="nil"/>
              <w:left w:val="nil"/>
              <w:bottom w:val="single" w:sz="8" w:space="0" w:color="auto"/>
              <w:right w:val="single" w:sz="8" w:space="0" w:color="auto"/>
            </w:tcBorders>
            <w:shd w:val="clear" w:color="auto" w:fill="auto"/>
            <w:vAlign w:val="center"/>
            <w:hideMark/>
          </w:tcPr>
          <w:p w14:paraId="30879D9C" w14:textId="5475FCF7" w:rsidR="004A29AC" w:rsidRPr="00A52AEE" w:rsidRDefault="004A29AC" w:rsidP="001923B6">
            <w:pPr>
              <w:jc w:val="right"/>
              <w:rPr>
                <w:rFonts w:eastAsia="Times New Roman"/>
                <w:lang w:eastAsia="en-GB"/>
              </w:rPr>
            </w:pPr>
            <w:r w:rsidRPr="00A52AEE">
              <w:t>170</w:t>
            </w:r>
          </w:p>
        </w:tc>
        <w:tc>
          <w:tcPr>
            <w:tcW w:w="1102" w:type="dxa"/>
            <w:tcBorders>
              <w:top w:val="nil"/>
              <w:left w:val="nil"/>
              <w:bottom w:val="single" w:sz="8" w:space="0" w:color="auto"/>
              <w:right w:val="single" w:sz="8" w:space="0" w:color="auto"/>
            </w:tcBorders>
            <w:shd w:val="clear" w:color="auto" w:fill="auto"/>
            <w:vAlign w:val="center"/>
            <w:hideMark/>
          </w:tcPr>
          <w:p w14:paraId="5DB62503" w14:textId="527ABAAF" w:rsidR="004A29AC" w:rsidRPr="00A52AEE" w:rsidRDefault="004A29AC" w:rsidP="001923B6">
            <w:pPr>
              <w:jc w:val="right"/>
              <w:rPr>
                <w:rFonts w:eastAsia="Times New Roman"/>
                <w:lang w:eastAsia="en-GB"/>
              </w:rPr>
            </w:pPr>
            <w:r w:rsidRPr="00A52AEE">
              <w:t>-725</w:t>
            </w:r>
          </w:p>
        </w:tc>
      </w:tr>
    </w:tbl>
    <w:p w14:paraId="27A2565C" w14:textId="77777777" w:rsidR="00860170" w:rsidRPr="00A52AEE" w:rsidRDefault="00860170" w:rsidP="00A52AEE"/>
    <w:p w14:paraId="4D36184E" w14:textId="05AC2493" w:rsidR="00D705C6" w:rsidRPr="00A52AEE" w:rsidRDefault="00593BBA" w:rsidP="008D527A">
      <w:pPr>
        <w:pStyle w:val="Heading2"/>
      </w:pPr>
      <w:bookmarkStart w:id="121" w:name="_Toc429151337"/>
      <w:r w:rsidRPr="00A52AEE">
        <w:t>5.13</w:t>
      </w:r>
      <w:r w:rsidRPr="00A52AEE">
        <w:tab/>
      </w:r>
      <w:r w:rsidR="001923B6">
        <w:tab/>
      </w:r>
      <w:r w:rsidR="00D705C6" w:rsidRPr="00A52AEE">
        <w:t>HE progression and mode</w:t>
      </w:r>
      <w:r w:rsidR="00CB50A9" w:rsidRPr="00A52AEE">
        <w:t xml:space="preserve"> of study</w:t>
      </w:r>
      <w:bookmarkEnd w:id="121"/>
    </w:p>
    <w:p w14:paraId="2F4F44CC" w14:textId="77343E51" w:rsidR="00D705C6" w:rsidRPr="00A52AEE" w:rsidRDefault="00FB73A4" w:rsidP="00A52AEE">
      <w:r w:rsidRPr="00A52AEE">
        <w:t>Around 3</w:t>
      </w:r>
      <w:r w:rsidR="00D705C6" w:rsidRPr="00A52AEE">
        <w:t xml:space="preserve">% of </w:t>
      </w:r>
      <w:r w:rsidR="00842186" w:rsidRPr="00A52AEE">
        <w:t>student</w:t>
      </w:r>
      <w:r w:rsidR="00D705C6" w:rsidRPr="00A52AEE">
        <w:t xml:space="preserve">s who progress to prescribed HE study on a part-time basis although the chart below shows that a much higher proportion of mature </w:t>
      </w:r>
      <w:r w:rsidR="00842186" w:rsidRPr="00A52AEE">
        <w:t>student</w:t>
      </w:r>
      <w:r w:rsidR="00D705C6" w:rsidRPr="00A52AEE">
        <w:t>s study on a part-time ba</w:t>
      </w:r>
      <w:r w:rsidR="0021637B" w:rsidRPr="00A52AEE">
        <w:t>sis. Most students studying non-</w:t>
      </w:r>
      <w:r w:rsidR="00D705C6" w:rsidRPr="00A52AEE">
        <w:t>prescribed HE will be studying on a part-time basis.</w:t>
      </w:r>
    </w:p>
    <w:p w14:paraId="09116560" w14:textId="77777777" w:rsidR="001923B6" w:rsidRDefault="001923B6" w:rsidP="00A52AEE"/>
    <w:p w14:paraId="5F7BA34A" w14:textId="26BDED6C" w:rsidR="00D705C6" w:rsidRPr="001923B6" w:rsidRDefault="00D705C6" w:rsidP="00A52AEE">
      <w:pPr>
        <w:rPr>
          <w:b/>
        </w:rPr>
      </w:pPr>
      <w:r w:rsidRPr="001923B6">
        <w:rPr>
          <w:b/>
        </w:rPr>
        <w:t xml:space="preserve">Figure </w:t>
      </w:r>
      <w:r w:rsidR="007E698B" w:rsidRPr="001923B6">
        <w:rPr>
          <w:b/>
        </w:rPr>
        <w:t>6</w:t>
      </w:r>
      <w:r w:rsidR="00D2390D" w:rsidRPr="001923B6">
        <w:rPr>
          <w:b/>
        </w:rPr>
        <w:t>:</w:t>
      </w:r>
      <w:r w:rsidR="007E698B" w:rsidRPr="001923B6">
        <w:rPr>
          <w:b/>
        </w:rPr>
        <w:t xml:space="preserve"> Mode and HE study</w:t>
      </w:r>
    </w:p>
    <w:p w14:paraId="353977CA" w14:textId="77777777" w:rsidR="001923B6" w:rsidRPr="00A52AEE" w:rsidRDefault="001923B6" w:rsidP="00A52AEE"/>
    <w:p w14:paraId="531E3561" w14:textId="1051AAB8" w:rsidR="00D705C6" w:rsidRPr="00A52AEE" w:rsidRDefault="00D705C6" w:rsidP="00A52AEE">
      <w:r w:rsidRPr="00A52AEE">
        <w:rPr>
          <w:noProof/>
          <w:lang w:eastAsia="en-GB"/>
        </w:rPr>
        <w:drawing>
          <wp:inline distT="0" distB="0" distL="0" distR="0" wp14:anchorId="280F0360" wp14:editId="528F9F56">
            <wp:extent cx="5705475" cy="2590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53176" cy="2612461"/>
                    </a:xfrm>
                    <a:prstGeom prst="rect">
                      <a:avLst/>
                    </a:prstGeom>
                  </pic:spPr>
                </pic:pic>
              </a:graphicData>
            </a:graphic>
          </wp:inline>
        </w:drawing>
      </w:r>
    </w:p>
    <w:p w14:paraId="25ADB2FB" w14:textId="77777777" w:rsidR="00F342FD" w:rsidRDefault="00F342FD" w:rsidP="00A52AEE">
      <w:pPr>
        <w:rPr>
          <w:lang w:eastAsia="en-GB"/>
        </w:rPr>
      </w:pPr>
    </w:p>
    <w:p w14:paraId="68157958" w14:textId="5883FC83" w:rsidR="00FB73A4" w:rsidRPr="00A52AEE" w:rsidRDefault="00FB73A4" w:rsidP="00A52AEE">
      <w:pPr>
        <w:rPr>
          <w:lang w:eastAsia="en-GB"/>
        </w:rPr>
      </w:pPr>
      <w:r w:rsidRPr="00A52AEE">
        <w:rPr>
          <w:lang w:eastAsia="en-GB"/>
        </w:rPr>
        <w:t xml:space="preserve">The chart above illustrates the small proportion of the </w:t>
      </w:r>
      <w:r w:rsidR="0076166E" w:rsidRPr="00A52AEE">
        <w:rPr>
          <w:lang w:eastAsia="en-GB"/>
        </w:rPr>
        <w:t>London</w:t>
      </w:r>
      <w:r w:rsidRPr="00A52AEE">
        <w:rPr>
          <w:lang w:eastAsia="en-GB"/>
        </w:rPr>
        <w:t xml:space="preserve"> college cohort who progress onto </w:t>
      </w:r>
      <w:r w:rsidR="00CB50A9" w:rsidRPr="00A52AEE">
        <w:rPr>
          <w:lang w:eastAsia="en-GB"/>
        </w:rPr>
        <w:t xml:space="preserve">part-time </w:t>
      </w:r>
      <w:r w:rsidRPr="00A52AEE">
        <w:rPr>
          <w:lang w:eastAsia="en-GB"/>
        </w:rPr>
        <w:t xml:space="preserve">HE where only 3% of entrants </w:t>
      </w:r>
      <w:r w:rsidR="008469C0" w:rsidRPr="00A52AEE">
        <w:rPr>
          <w:lang w:eastAsia="en-GB"/>
        </w:rPr>
        <w:t>of HE entrants are studyi</w:t>
      </w:r>
      <w:r w:rsidR="00B03413">
        <w:rPr>
          <w:lang w:eastAsia="en-GB"/>
        </w:rPr>
        <w:t>ng on a part-time basis and in T</w:t>
      </w:r>
      <w:r w:rsidR="008469C0" w:rsidRPr="00A52AEE">
        <w:rPr>
          <w:lang w:eastAsia="en-GB"/>
        </w:rPr>
        <w:t>able 2</w:t>
      </w:r>
      <w:r w:rsidR="00B03413">
        <w:rPr>
          <w:lang w:eastAsia="en-GB"/>
        </w:rPr>
        <w:t>9</w:t>
      </w:r>
      <w:r w:rsidR="008469C0" w:rsidRPr="00A52AEE">
        <w:rPr>
          <w:lang w:eastAsia="en-GB"/>
        </w:rPr>
        <w:t xml:space="preserve"> we can see in number terms the decline in part-time entrants to prescribed HE across the cohorts.</w:t>
      </w:r>
    </w:p>
    <w:p w14:paraId="639D2472" w14:textId="77777777" w:rsidR="008469C0" w:rsidRPr="00A52AEE" w:rsidRDefault="008469C0" w:rsidP="00A52AEE">
      <w:pPr>
        <w:rPr>
          <w:lang w:eastAsia="en-GB"/>
        </w:rPr>
      </w:pPr>
    </w:p>
    <w:p w14:paraId="7AF210BC" w14:textId="4AB644F0" w:rsidR="00FB73A4" w:rsidRPr="00F342FD" w:rsidRDefault="00FB73A4" w:rsidP="00A52AEE">
      <w:pPr>
        <w:rPr>
          <w:b/>
          <w:lang w:eastAsia="en-GB"/>
        </w:rPr>
      </w:pPr>
      <w:r w:rsidRPr="00F342FD">
        <w:rPr>
          <w:b/>
          <w:lang w:eastAsia="en-GB"/>
        </w:rPr>
        <w:t>Table 2</w:t>
      </w:r>
      <w:r w:rsidR="0022142D">
        <w:rPr>
          <w:b/>
          <w:lang w:eastAsia="en-GB"/>
        </w:rPr>
        <w:t>9</w:t>
      </w:r>
      <w:r w:rsidR="00CB50A9" w:rsidRPr="00F342FD">
        <w:rPr>
          <w:b/>
          <w:lang w:eastAsia="en-GB"/>
        </w:rPr>
        <w:t>:</w:t>
      </w:r>
      <w:r w:rsidR="007E698B" w:rsidRPr="00F342FD">
        <w:rPr>
          <w:b/>
          <w:lang w:eastAsia="en-GB"/>
        </w:rPr>
        <w:t xml:space="preserve"> </w:t>
      </w:r>
      <w:r w:rsidRPr="00F342FD">
        <w:rPr>
          <w:b/>
          <w:lang w:eastAsia="en-GB"/>
        </w:rPr>
        <w:t xml:space="preserve">showing numbers entering prescribed HE by mode for five FE </w:t>
      </w:r>
      <w:r w:rsidR="0021637B" w:rsidRPr="00F342FD">
        <w:rPr>
          <w:b/>
          <w:lang w:eastAsia="en-GB"/>
        </w:rPr>
        <w:t>Level</w:t>
      </w:r>
      <w:r w:rsidRPr="00F342FD">
        <w:rPr>
          <w:b/>
          <w:lang w:eastAsia="en-GB"/>
        </w:rPr>
        <w:t xml:space="preserve"> 3 cohorts</w:t>
      </w:r>
    </w:p>
    <w:p w14:paraId="59B9F0AA" w14:textId="77777777" w:rsidR="00CB50A9" w:rsidRPr="00A52AEE" w:rsidRDefault="00CB50A9" w:rsidP="00A52AEE">
      <w:pPr>
        <w:rPr>
          <w:lang w:eastAsia="en-GB"/>
        </w:rPr>
      </w:pPr>
    </w:p>
    <w:tbl>
      <w:tblPr>
        <w:tblW w:w="420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4"/>
        <w:gridCol w:w="1397"/>
        <w:gridCol w:w="1382"/>
        <w:gridCol w:w="1573"/>
      </w:tblGrid>
      <w:tr w:rsidR="00D2390D" w:rsidRPr="00F342FD" w14:paraId="0D8F419C" w14:textId="77777777" w:rsidTr="00CB50A9">
        <w:trPr>
          <w:trHeight w:val="300"/>
        </w:trPr>
        <w:tc>
          <w:tcPr>
            <w:tcW w:w="2292" w:type="pct"/>
            <w:vMerge w:val="restart"/>
            <w:shd w:val="clear" w:color="auto" w:fill="1F4E79" w:themeFill="accent1" w:themeFillShade="80"/>
            <w:noWrap/>
            <w:vAlign w:val="center"/>
          </w:tcPr>
          <w:p w14:paraId="460FB333" w14:textId="6333BD68" w:rsidR="00FB73A4" w:rsidRPr="00F342FD" w:rsidRDefault="00FB73A4" w:rsidP="00F342FD">
            <w:pPr>
              <w:rPr>
                <w:b/>
                <w:color w:val="FFFFFF" w:themeColor="background1"/>
                <w:lang w:eastAsia="en-GB"/>
              </w:rPr>
            </w:pPr>
            <w:r w:rsidRPr="00F342FD">
              <w:rPr>
                <w:b/>
                <w:color w:val="FFFFFF" w:themeColor="background1"/>
                <w:lang w:eastAsia="en-GB"/>
              </w:rPr>
              <w:t>Level 3 cohort year</w:t>
            </w:r>
          </w:p>
        </w:tc>
        <w:tc>
          <w:tcPr>
            <w:tcW w:w="2708" w:type="pct"/>
            <w:gridSpan w:val="3"/>
            <w:shd w:val="clear" w:color="auto" w:fill="1F4E79" w:themeFill="accent1" w:themeFillShade="80"/>
            <w:noWrap/>
            <w:vAlign w:val="center"/>
          </w:tcPr>
          <w:p w14:paraId="3C5B1707" w14:textId="4ACE3D73" w:rsidR="00FB73A4" w:rsidRPr="00F342FD" w:rsidRDefault="00FB73A4" w:rsidP="00F342FD">
            <w:pPr>
              <w:jc w:val="center"/>
              <w:rPr>
                <w:b/>
                <w:color w:val="FFFFFF" w:themeColor="background1"/>
                <w:lang w:eastAsia="en-GB"/>
              </w:rPr>
            </w:pPr>
            <w:r w:rsidRPr="00F342FD">
              <w:rPr>
                <w:b/>
                <w:color w:val="FFFFFF" w:themeColor="background1"/>
                <w:lang w:eastAsia="en-GB"/>
              </w:rPr>
              <w:t>Prescribed HE entrants</w:t>
            </w:r>
          </w:p>
        </w:tc>
      </w:tr>
      <w:tr w:rsidR="00D2390D" w:rsidRPr="00F342FD" w14:paraId="283E2CF8" w14:textId="77777777" w:rsidTr="00CB50A9">
        <w:trPr>
          <w:trHeight w:val="300"/>
        </w:trPr>
        <w:tc>
          <w:tcPr>
            <w:tcW w:w="2292" w:type="pct"/>
            <w:vMerge/>
            <w:shd w:val="clear" w:color="auto" w:fill="1F4E79" w:themeFill="accent1" w:themeFillShade="80"/>
            <w:noWrap/>
            <w:vAlign w:val="center"/>
            <w:hideMark/>
          </w:tcPr>
          <w:p w14:paraId="6E1BA715" w14:textId="32F10403" w:rsidR="00FB73A4" w:rsidRPr="00F342FD" w:rsidRDefault="00FB73A4" w:rsidP="00F342FD">
            <w:pPr>
              <w:jc w:val="center"/>
              <w:rPr>
                <w:b/>
                <w:color w:val="FFFFFF" w:themeColor="background1"/>
                <w:lang w:eastAsia="en-GB"/>
              </w:rPr>
            </w:pPr>
          </w:p>
        </w:tc>
        <w:tc>
          <w:tcPr>
            <w:tcW w:w="869" w:type="pct"/>
            <w:shd w:val="clear" w:color="auto" w:fill="1F4E79" w:themeFill="accent1" w:themeFillShade="80"/>
            <w:noWrap/>
            <w:vAlign w:val="center"/>
            <w:hideMark/>
          </w:tcPr>
          <w:p w14:paraId="35E5C931" w14:textId="77777777" w:rsidR="00FB73A4" w:rsidRPr="00F342FD" w:rsidRDefault="00FB73A4" w:rsidP="00F342FD">
            <w:pPr>
              <w:jc w:val="center"/>
              <w:rPr>
                <w:b/>
                <w:color w:val="FFFFFF" w:themeColor="background1"/>
                <w:lang w:eastAsia="en-GB"/>
              </w:rPr>
            </w:pPr>
            <w:r w:rsidRPr="00F342FD">
              <w:rPr>
                <w:b/>
                <w:color w:val="FFFFFF" w:themeColor="background1"/>
                <w:lang w:eastAsia="en-GB"/>
              </w:rPr>
              <w:t>Full-time</w:t>
            </w:r>
          </w:p>
        </w:tc>
        <w:tc>
          <w:tcPr>
            <w:tcW w:w="860" w:type="pct"/>
            <w:shd w:val="clear" w:color="auto" w:fill="1F4E79" w:themeFill="accent1" w:themeFillShade="80"/>
            <w:noWrap/>
            <w:vAlign w:val="center"/>
            <w:hideMark/>
          </w:tcPr>
          <w:p w14:paraId="4B641A51" w14:textId="77777777" w:rsidR="00FB73A4" w:rsidRPr="00F342FD" w:rsidRDefault="00FB73A4" w:rsidP="00F342FD">
            <w:pPr>
              <w:jc w:val="center"/>
              <w:rPr>
                <w:b/>
                <w:color w:val="FFFFFF" w:themeColor="background1"/>
                <w:lang w:eastAsia="en-GB"/>
              </w:rPr>
            </w:pPr>
            <w:r w:rsidRPr="00F342FD">
              <w:rPr>
                <w:b/>
                <w:color w:val="FFFFFF" w:themeColor="background1"/>
                <w:lang w:eastAsia="en-GB"/>
              </w:rPr>
              <w:t>Part-time</w:t>
            </w:r>
          </w:p>
        </w:tc>
        <w:tc>
          <w:tcPr>
            <w:tcW w:w="979" w:type="pct"/>
            <w:shd w:val="clear" w:color="auto" w:fill="1F4E79" w:themeFill="accent1" w:themeFillShade="80"/>
            <w:noWrap/>
            <w:vAlign w:val="center"/>
            <w:hideMark/>
          </w:tcPr>
          <w:p w14:paraId="5A527422" w14:textId="77777777" w:rsidR="00FB73A4" w:rsidRPr="00F342FD" w:rsidRDefault="00FB73A4" w:rsidP="00F342FD">
            <w:pPr>
              <w:jc w:val="center"/>
              <w:rPr>
                <w:b/>
                <w:color w:val="FFFFFF" w:themeColor="background1"/>
                <w:lang w:eastAsia="en-GB"/>
              </w:rPr>
            </w:pPr>
            <w:r w:rsidRPr="00F342FD">
              <w:rPr>
                <w:b/>
                <w:color w:val="FFFFFF" w:themeColor="background1"/>
                <w:lang w:eastAsia="en-GB"/>
              </w:rPr>
              <w:t>Sandwich</w:t>
            </w:r>
          </w:p>
        </w:tc>
      </w:tr>
      <w:tr w:rsidR="00FB73A4" w:rsidRPr="00A52AEE" w14:paraId="252659D2" w14:textId="77777777" w:rsidTr="00CB50A9">
        <w:trPr>
          <w:trHeight w:val="300"/>
        </w:trPr>
        <w:tc>
          <w:tcPr>
            <w:tcW w:w="2292" w:type="pct"/>
            <w:shd w:val="clear" w:color="auto" w:fill="auto"/>
            <w:noWrap/>
            <w:vAlign w:val="bottom"/>
            <w:hideMark/>
          </w:tcPr>
          <w:p w14:paraId="74500028" w14:textId="65184B5A" w:rsidR="00FB73A4" w:rsidRPr="00A52AEE" w:rsidRDefault="00FB73A4" w:rsidP="00A52AEE">
            <w:pPr>
              <w:rPr>
                <w:lang w:eastAsia="en-GB"/>
              </w:rPr>
            </w:pPr>
            <w:r w:rsidRPr="00A52AEE">
              <w:rPr>
                <w:lang w:eastAsia="en-GB"/>
              </w:rPr>
              <w:t>2007-08 into HE 2008-09</w:t>
            </w:r>
          </w:p>
        </w:tc>
        <w:tc>
          <w:tcPr>
            <w:tcW w:w="869" w:type="pct"/>
            <w:shd w:val="clear" w:color="auto" w:fill="auto"/>
            <w:noWrap/>
            <w:vAlign w:val="bottom"/>
            <w:hideMark/>
          </w:tcPr>
          <w:p w14:paraId="3C22E51C" w14:textId="77777777" w:rsidR="00FB73A4" w:rsidRPr="00A52AEE" w:rsidRDefault="00FB73A4" w:rsidP="009A2373">
            <w:pPr>
              <w:jc w:val="right"/>
              <w:rPr>
                <w:lang w:eastAsia="en-GB"/>
              </w:rPr>
            </w:pPr>
            <w:r w:rsidRPr="00A52AEE">
              <w:rPr>
                <w:lang w:eastAsia="en-GB"/>
              </w:rPr>
              <w:t>14920</w:t>
            </w:r>
          </w:p>
        </w:tc>
        <w:tc>
          <w:tcPr>
            <w:tcW w:w="860" w:type="pct"/>
            <w:shd w:val="clear" w:color="auto" w:fill="auto"/>
            <w:noWrap/>
            <w:vAlign w:val="bottom"/>
            <w:hideMark/>
          </w:tcPr>
          <w:p w14:paraId="21BC3046" w14:textId="77777777" w:rsidR="00FB73A4" w:rsidRPr="00A52AEE" w:rsidRDefault="00FB73A4" w:rsidP="009A2373">
            <w:pPr>
              <w:jc w:val="right"/>
              <w:rPr>
                <w:lang w:eastAsia="en-GB"/>
              </w:rPr>
            </w:pPr>
            <w:r w:rsidRPr="00A52AEE">
              <w:rPr>
                <w:lang w:eastAsia="en-GB"/>
              </w:rPr>
              <w:t>790</w:t>
            </w:r>
          </w:p>
        </w:tc>
        <w:tc>
          <w:tcPr>
            <w:tcW w:w="979" w:type="pct"/>
            <w:shd w:val="clear" w:color="auto" w:fill="auto"/>
            <w:noWrap/>
            <w:vAlign w:val="bottom"/>
            <w:hideMark/>
          </w:tcPr>
          <w:p w14:paraId="4B94C3BF" w14:textId="4CA9FA6A" w:rsidR="00FB73A4" w:rsidRPr="00A52AEE" w:rsidRDefault="00FB73A4" w:rsidP="009A2373">
            <w:pPr>
              <w:jc w:val="right"/>
              <w:rPr>
                <w:lang w:eastAsia="en-GB"/>
              </w:rPr>
            </w:pPr>
            <w:r w:rsidRPr="00A52AEE">
              <w:rPr>
                <w:lang w:eastAsia="en-GB"/>
              </w:rPr>
              <w:t>1620</w:t>
            </w:r>
          </w:p>
        </w:tc>
      </w:tr>
      <w:tr w:rsidR="00FB73A4" w:rsidRPr="00A52AEE" w14:paraId="594C46CC" w14:textId="77777777" w:rsidTr="00CB50A9">
        <w:trPr>
          <w:trHeight w:val="300"/>
        </w:trPr>
        <w:tc>
          <w:tcPr>
            <w:tcW w:w="2292" w:type="pct"/>
            <w:shd w:val="clear" w:color="auto" w:fill="auto"/>
            <w:noWrap/>
            <w:vAlign w:val="bottom"/>
            <w:hideMark/>
          </w:tcPr>
          <w:p w14:paraId="4B508230" w14:textId="700FAF15" w:rsidR="00FB73A4" w:rsidRPr="00A52AEE" w:rsidRDefault="00FB73A4" w:rsidP="00A52AEE">
            <w:pPr>
              <w:rPr>
                <w:lang w:eastAsia="en-GB"/>
              </w:rPr>
            </w:pPr>
            <w:r w:rsidRPr="00A52AEE">
              <w:rPr>
                <w:lang w:eastAsia="en-GB"/>
              </w:rPr>
              <w:t>2008-09 into HE 2009-10</w:t>
            </w:r>
          </w:p>
        </w:tc>
        <w:tc>
          <w:tcPr>
            <w:tcW w:w="869" w:type="pct"/>
            <w:shd w:val="clear" w:color="auto" w:fill="auto"/>
            <w:noWrap/>
            <w:vAlign w:val="bottom"/>
            <w:hideMark/>
          </w:tcPr>
          <w:p w14:paraId="6A9F4E6A" w14:textId="7579273A" w:rsidR="00FB73A4" w:rsidRPr="00A52AEE" w:rsidRDefault="00FB73A4" w:rsidP="009A2373">
            <w:pPr>
              <w:jc w:val="right"/>
              <w:rPr>
                <w:lang w:eastAsia="en-GB"/>
              </w:rPr>
            </w:pPr>
            <w:r w:rsidRPr="00A52AEE">
              <w:rPr>
                <w:lang w:eastAsia="en-GB"/>
              </w:rPr>
              <w:t>14530</w:t>
            </w:r>
          </w:p>
        </w:tc>
        <w:tc>
          <w:tcPr>
            <w:tcW w:w="860" w:type="pct"/>
            <w:shd w:val="clear" w:color="auto" w:fill="auto"/>
            <w:noWrap/>
            <w:vAlign w:val="bottom"/>
            <w:hideMark/>
          </w:tcPr>
          <w:p w14:paraId="7C9036AF" w14:textId="178523B0" w:rsidR="00FB73A4" w:rsidRPr="00A52AEE" w:rsidRDefault="00FB73A4" w:rsidP="009A2373">
            <w:pPr>
              <w:jc w:val="right"/>
              <w:rPr>
                <w:lang w:eastAsia="en-GB"/>
              </w:rPr>
            </w:pPr>
            <w:r w:rsidRPr="00A52AEE">
              <w:rPr>
                <w:lang w:eastAsia="en-GB"/>
              </w:rPr>
              <w:t>700</w:t>
            </w:r>
          </w:p>
        </w:tc>
        <w:tc>
          <w:tcPr>
            <w:tcW w:w="979" w:type="pct"/>
            <w:shd w:val="clear" w:color="auto" w:fill="auto"/>
            <w:noWrap/>
            <w:vAlign w:val="bottom"/>
            <w:hideMark/>
          </w:tcPr>
          <w:p w14:paraId="438ED348" w14:textId="70BB587F" w:rsidR="00FB73A4" w:rsidRPr="00A52AEE" w:rsidRDefault="00FB73A4" w:rsidP="009A2373">
            <w:pPr>
              <w:jc w:val="right"/>
              <w:rPr>
                <w:lang w:eastAsia="en-GB"/>
              </w:rPr>
            </w:pPr>
            <w:r w:rsidRPr="00A52AEE">
              <w:rPr>
                <w:lang w:eastAsia="en-GB"/>
              </w:rPr>
              <w:t>1605</w:t>
            </w:r>
          </w:p>
        </w:tc>
      </w:tr>
      <w:tr w:rsidR="00FB73A4" w:rsidRPr="00A52AEE" w14:paraId="72040451" w14:textId="77777777" w:rsidTr="00CB50A9">
        <w:trPr>
          <w:trHeight w:val="300"/>
        </w:trPr>
        <w:tc>
          <w:tcPr>
            <w:tcW w:w="2292" w:type="pct"/>
            <w:shd w:val="clear" w:color="auto" w:fill="auto"/>
            <w:noWrap/>
            <w:vAlign w:val="bottom"/>
            <w:hideMark/>
          </w:tcPr>
          <w:p w14:paraId="5E44F18D" w14:textId="478B4CE1" w:rsidR="00FB73A4" w:rsidRPr="00A52AEE" w:rsidRDefault="00FB73A4" w:rsidP="00A52AEE">
            <w:pPr>
              <w:rPr>
                <w:lang w:eastAsia="en-GB"/>
              </w:rPr>
            </w:pPr>
            <w:r w:rsidRPr="00A52AEE">
              <w:rPr>
                <w:lang w:eastAsia="en-GB"/>
              </w:rPr>
              <w:t>2009-10 into HE 2010-11</w:t>
            </w:r>
          </w:p>
        </w:tc>
        <w:tc>
          <w:tcPr>
            <w:tcW w:w="869" w:type="pct"/>
            <w:shd w:val="clear" w:color="auto" w:fill="auto"/>
            <w:noWrap/>
            <w:vAlign w:val="bottom"/>
            <w:hideMark/>
          </w:tcPr>
          <w:p w14:paraId="15F38837" w14:textId="78D69297" w:rsidR="00FB73A4" w:rsidRPr="00A52AEE" w:rsidRDefault="00FB73A4" w:rsidP="009A2373">
            <w:pPr>
              <w:jc w:val="right"/>
              <w:rPr>
                <w:lang w:eastAsia="en-GB"/>
              </w:rPr>
            </w:pPr>
            <w:r w:rsidRPr="00A52AEE">
              <w:rPr>
                <w:lang w:eastAsia="en-GB"/>
              </w:rPr>
              <w:t>15120</w:t>
            </w:r>
          </w:p>
        </w:tc>
        <w:tc>
          <w:tcPr>
            <w:tcW w:w="860" w:type="pct"/>
            <w:shd w:val="clear" w:color="auto" w:fill="auto"/>
            <w:noWrap/>
            <w:vAlign w:val="bottom"/>
            <w:hideMark/>
          </w:tcPr>
          <w:p w14:paraId="3ABD5F3A" w14:textId="27AAB1B6" w:rsidR="00FB73A4" w:rsidRPr="00A52AEE" w:rsidRDefault="00FB73A4" w:rsidP="009A2373">
            <w:pPr>
              <w:jc w:val="right"/>
              <w:rPr>
                <w:lang w:eastAsia="en-GB"/>
              </w:rPr>
            </w:pPr>
            <w:r w:rsidRPr="00A52AEE">
              <w:rPr>
                <w:lang w:eastAsia="en-GB"/>
              </w:rPr>
              <w:t>585</w:t>
            </w:r>
          </w:p>
        </w:tc>
        <w:tc>
          <w:tcPr>
            <w:tcW w:w="979" w:type="pct"/>
            <w:shd w:val="clear" w:color="auto" w:fill="auto"/>
            <w:noWrap/>
            <w:vAlign w:val="bottom"/>
            <w:hideMark/>
          </w:tcPr>
          <w:p w14:paraId="0DFB0539" w14:textId="310B6638" w:rsidR="00FB73A4" w:rsidRPr="00A52AEE" w:rsidRDefault="00FB73A4" w:rsidP="009A2373">
            <w:pPr>
              <w:jc w:val="right"/>
              <w:rPr>
                <w:lang w:eastAsia="en-GB"/>
              </w:rPr>
            </w:pPr>
            <w:r w:rsidRPr="00A52AEE">
              <w:rPr>
                <w:lang w:eastAsia="en-GB"/>
              </w:rPr>
              <w:t>1490</w:t>
            </w:r>
          </w:p>
        </w:tc>
      </w:tr>
      <w:tr w:rsidR="00FB73A4" w:rsidRPr="00A52AEE" w14:paraId="2896F249" w14:textId="77777777" w:rsidTr="00CB50A9">
        <w:trPr>
          <w:trHeight w:val="300"/>
        </w:trPr>
        <w:tc>
          <w:tcPr>
            <w:tcW w:w="2292" w:type="pct"/>
            <w:shd w:val="clear" w:color="auto" w:fill="auto"/>
            <w:noWrap/>
            <w:vAlign w:val="bottom"/>
            <w:hideMark/>
          </w:tcPr>
          <w:p w14:paraId="1F268280" w14:textId="461136B8" w:rsidR="00FB73A4" w:rsidRPr="00A52AEE" w:rsidRDefault="00FB73A4" w:rsidP="00A52AEE">
            <w:pPr>
              <w:rPr>
                <w:lang w:eastAsia="en-GB"/>
              </w:rPr>
            </w:pPr>
            <w:r w:rsidRPr="00A52AEE">
              <w:rPr>
                <w:lang w:eastAsia="en-GB"/>
              </w:rPr>
              <w:t>2010-11 into HE 2011-12</w:t>
            </w:r>
          </w:p>
        </w:tc>
        <w:tc>
          <w:tcPr>
            <w:tcW w:w="869" w:type="pct"/>
            <w:shd w:val="clear" w:color="auto" w:fill="auto"/>
            <w:noWrap/>
            <w:vAlign w:val="bottom"/>
            <w:hideMark/>
          </w:tcPr>
          <w:p w14:paraId="236931B5" w14:textId="7A48A343" w:rsidR="00FB73A4" w:rsidRPr="00A52AEE" w:rsidRDefault="00FB73A4" w:rsidP="009A2373">
            <w:pPr>
              <w:jc w:val="right"/>
              <w:rPr>
                <w:lang w:eastAsia="en-GB"/>
              </w:rPr>
            </w:pPr>
            <w:r w:rsidRPr="00A52AEE">
              <w:rPr>
                <w:lang w:eastAsia="en-GB"/>
              </w:rPr>
              <w:t>15500</w:t>
            </w:r>
          </w:p>
        </w:tc>
        <w:tc>
          <w:tcPr>
            <w:tcW w:w="860" w:type="pct"/>
            <w:shd w:val="clear" w:color="auto" w:fill="auto"/>
            <w:noWrap/>
            <w:vAlign w:val="bottom"/>
            <w:hideMark/>
          </w:tcPr>
          <w:p w14:paraId="15A4B1FE" w14:textId="245058DA" w:rsidR="00FB73A4" w:rsidRPr="00A52AEE" w:rsidRDefault="00FB73A4" w:rsidP="009A2373">
            <w:pPr>
              <w:jc w:val="right"/>
              <w:rPr>
                <w:lang w:eastAsia="en-GB"/>
              </w:rPr>
            </w:pPr>
            <w:r w:rsidRPr="00A52AEE">
              <w:rPr>
                <w:lang w:eastAsia="en-GB"/>
              </w:rPr>
              <w:t>570</w:t>
            </w:r>
          </w:p>
        </w:tc>
        <w:tc>
          <w:tcPr>
            <w:tcW w:w="979" w:type="pct"/>
            <w:shd w:val="clear" w:color="auto" w:fill="auto"/>
            <w:noWrap/>
            <w:vAlign w:val="bottom"/>
            <w:hideMark/>
          </w:tcPr>
          <w:p w14:paraId="6A4D0A74" w14:textId="1A9D4E29" w:rsidR="00FB73A4" w:rsidRPr="00A52AEE" w:rsidRDefault="00FB73A4" w:rsidP="009A2373">
            <w:pPr>
              <w:jc w:val="right"/>
              <w:rPr>
                <w:lang w:eastAsia="en-GB"/>
              </w:rPr>
            </w:pPr>
            <w:r w:rsidRPr="00A52AEE">
              <w:rPr>
                <w:lang w:eastAsia="en-GB"/>
              </w:rPr>
              <w:t>1610</w:t>
            </w:r>
          </w:p>
        </w:tc>
      </w:tr>
      <w:tr w:rsidR="00FB73A4" w:rsidRPr="00A52AEE" w14:paraId="7BE69E05" w14:textId="77777777" w:rsidTr="00CB50A9">
        <w:trPr>
          <w:trHeight w:val="300"/>
        </w:trPr>
        <w:tc>
          <w:tcPr>
            <w:tcW w:w="2292" w:type="pct"/>
            <w:shd w:val="clear" w:color="auto" w:fill="auto"/>
            <w:noWrap/>
            <w:vAlign w:val="bottom"/>
            <w:hideMark/>
          </w:tcPr>
          <w:p w14:paraId="41D9B4CF" w14:textId="1D6D08AA" w:rsidR="00FB73A4" w:rsidRPr="00A52AEE" w:rsidRDefault="00FB73A4" w:rsidP="00A52AEE">
            <w:pPr>
              <w:rPr>
                <w:lang w:eastAsia="en-GB"/>
              </w:rPr>
            </w:pPr>
            <w:r w:rsidRPr="00A52AEE">
              <w:rPr>
                <w:lang w:eastAsia="en-GB"/>
              </w:rPr>
              <w:t>2011-12 into HE 2012-13</w:t>
            </w:r>
          </w:p>
        </w:tc>
        <w:tc>
          <w:tcPr>
            <w:tcW w:w="869" w:type="pct"/>
            <w:shd w:val="clear" w:color="auto" w:fill="auto"/>
            <w:noWrap/>
            <w:vAlign w:val="bottom"/>
            <w:hideMark/>
          </w:tcPr>
          <w:p w14:paraId="57FA3E51" w14:textId="77777777" w:rsidR="00FB73A4" w:rsidRPr="00A52AEE" w:rsidRDefault="00FB73A4" w:rsidP="009A2373">
            <w:pPr>
              <w:jc w:val="right"/>
              <w:rPr>
                <w:lang w:eastAsia="en-GB"/>
              </w:rPr>
            </w:pPr>
            <w:r w:rsidRPr="00A52AEE">
              <w:rPr>
                <w:lang w:eastAsia="en-GB"/>
              </w:rPr>
              <w:t>13975</w:t>
            </w:r>
          </w:p>
        </w:tc>
        <w:tc>
          <w:tcPr>
            <w:tcW w:w="860" w:type="pct"/>
            <w:shd w:val="clear" w:color="auto" w:fill="auto"/>
            <w:noWrap/>
            <w:vAlign w:val="bottom"/>
            <w:hideMark/>
          </w:tcPr>
          <w:p w14:paraId="36359074" w14:textId="36ECE4C1" w:rsidR="00FB73A4" w:rsidRPr="00A52AEE" w:rsidRDefault="00FB73A4" w:rsidP="009A2373">
            <w:pPr>
              <w:jc w:val="right"/>
              <w:rPr>
                <w:lang w:eastAsia="en-GB"/>
              </w:rPr>
            </w:pPr>
            <w:r w:rsidRPr="00A52AEE">
              <w:rPr>
                <w:lang w:eastAsia="en-GB"/>
              </w:rPr>
              <w:t>255</w:t>
            </w:r>
          </w:p>
        </w:tc>
        <w:tc>
          <w:tcPr>
            <w:tcW w:w="979" w:type="pct"/>
            <w:shd w:val="clear" w:color="auto" w:fill="auto"/>
            <w:noWrap/>
            <w:vAlign w:val="bottom"/>
            <w:hideMark/>
          </w:tcPr>
          <w:p w14:paraId="3FF3829D" w14:textId="77777777" w:rsidR="00FB73A4" w:rsidRPr="00A52AEE" w:rsidRDefault="00FB73A4" w:rsidP="009A2373">
            <w:pPr>
              <w:jc w:val="right"/>
              <w:rPr>
                <w:lang w:eastAsia="en-GB"/>
              </w:rPr>
            </w:pPr>
            <w:r w:rsidRPr="00A52AEE">
              <w:rPr>
                <w:lang w:eastAsia="en-GB"/>
              </w:rPr>
              <w:t>1475</w:t>
            </w:r>
          </w:p>
        </w:tc>
      </w:tr>
      <w:tr w:rsidR="00FB73A4" w:rsidRPr="00F342FD" w14:paraId="709CD073" w14:textId="77777777" w:rsidTr="00CB50A9">
        <w:trPr>
          <w:trHeight w:val="300"/>
        </w:trPr>
        <w:tc>
          <w:tcPr>
            <w:tcW w:w="2292" w:type="pct"/>
            <w:shd w:val="clear" w:color="auto" w:fill="FFFFFF" w:themeFill="background1"/>
            <w:noWrap/>
            <w:vAlign w:val="bottom"/>
            <w:hideMark/>
          </w:tcPr>
          <w:p w14:paraId="59490F9D" w14:textId="36984BDA" w:rsidR="00FB73A4" w:rsidRPr="00F342FD" w:rsidRDefault="00FB73A4" w:rsidP="00A52AEE">
            <w:pPr>
              <w:rPr>
                <w:b/>
                <w:lang w:eastAsia="en-GB"/>
              </w:rPr>
            </w:pPr>
            <w:r w:rsidRPr="00F342FD">
              <w:rPr>
                <w:b/>
                <w:lang w:eastAsia="en-GB"/>
              </w:rPr>
              <w:t>Total</w:t>
            </w:r>
          </w:p>
        </w:tc>
        <w:tc>
          <w:tcPr>
            <w:tcW w:w="869" w:type="pct"/>
            <w:shd w:val="clear" w:color="auto" w:fill="FFFFFF" w:themeFill="background1"/>
            <w:noWrap/>
            <w:vAlign w:val="bottom"/>
            <w:hideMark/>
          </w:tcPr>
          <w:p w14:paraId="62E8E628" w14:textId="64B020B2" w:rsidR="00FB73A4" w:rsidRPr="00F342FD" w:rsidRDefault="007C17F7" w:rsidP="009A2373">
            <w:pPr>
              <w:jc w:val="right"/>
              <w:rPr>
                <w:b/>
                <w:lang w:eastAsia="en-GB"/>
              </w:rPr>
            </w:pPr>
            <w:r>
              <w:rPr>
                <w:b/>
                <w:lang w:eastAsia="en-GB"/>
              </w:rPr>
              <w:fldChar w:fldCharType="begin"/>
            </w:r>
            <w:r>
              <w:rPr>
                <w:b/>
                <w:lang w:eastAsia="en-GB"/>
              </w:rPr>
              <w:instrText xml:space="preserve"> =SUM(ABOVE) </w:instrText>
            </w:r>
            <w:r>
              <w:rPr>
                <w:b/>
                <w:lang w:eastAsia="en-GB"/>
              </w:rPr>
              <w:fldChar w:fldCharType="separate"/>
            </w:r>
            <w:r>
              <w:rPr>
                <w:b/>
                <w:noProof/>
                <w:lang w:eastAsia="en-GB"/>
              </w:rPr>
              <w:t>74045</w:t>
            </w:r>
            <w:r>
              <w:rPr>
                <w:b/>
                <w:lang w:eastAsia="en-GB"/>
              </w:rPr>
              <w:fldChar w:fldCharType="end"/>
            </w:r>
          </w:p>
        </w:tc>
        <w:tc>
          <w:tcPr>
            <w:tcW w:w="860" w:type="pct"/>
            <w:shd w:val="clear" w:color="auto" w:fill="FFFFFF" w:themeFill="background1"/>
            <w:noWrap/>
            <w:vAlign w:val="bottom"/>
            <w:hideMark/>
          </w:tcPr>
          <w:p w14:paraId="1BD26A7E" w14:textId="7DD73A4A" w:rsidR="00FB73A4" w:rsidRPr="00F342FD" w:rsidRDefault="007C17F7" w:rsidP="009A2373">
            <w:pPr>
              <w:jc w:val="right"/>
              <w:rPr>
                <w:b/>
                <w:lang w:eastAsia="en-GB"/>
              </w:rPr>
            </w:pPr>
            <w:r>
              <w:rPr>
                <w:b/>
                <w:lang w:eastAsia="en-GB"/>
              </w:rPr>
              <w:fldChar w:fldCharType="begin"/>
            </w:r>
            <w:r>
              <w:rPr>
                <w:b/>
                <w:lang w:eastAsia="en-GB"/>
              </w:rPr>
              <w:instrText xml:space="preserve"> =SUM(ABOVE) </w:instrText>
            </w:r>
            <w:r>
              <w:rPr>
                <w:b/>
                <w:lang w:eastAsia="en-GB"/>
              </w:rPr>
              <w:fldChar w:fldCharType="separate"/>
            </w:r>
            <w:r>
              <w:rPr>
                <w:b/>
                <w:noProof/>
                <w:lang w:eastAsia="en-GB"/>
              </w:rPr>
              <w:t>2900</w:t>
            </w:r>
            <w:r>
              <w:rPr>
                <w:b/>
                <w:lang w:eastAsia="en-GB"/>
              </w:rPr>
              <w:fldChar w:fldCharType="end"/>
            </w:r>
          </w:p>
        </w:tc>
        <w:tc>
          <w:tcPr>
            <w:tcW w:w="979" w:type="pct"/>
            <w:shd w:val="clear" w:color="auto" w:fill="FFFFFF" w:themeFill="background1"/>
            <w:noWrap/>
            <w:vAlign w:val="bottom"/>
            <w:hideMark/>
          </w:tcPr>
          <w:p w14:paraId="724C3511" w14:textId="79240CC6" w:rsidR="00FB73A4" w:rsidRPr="00F342FD" w:rsidRDefault="00FB73A4" w:rsidP="009A2373">
            <w:pPr>
              <w:jc w:val="right"/>
              <w:rPr>
                <w:b/>
                <w:lang w:eastAsia="en-GB"/>
              </w:rPr>
            </w:pPr>
            <w:r w:rsidRPr="00F342FD">
              <w:rPr>
                <w:b/>
                <w:lang w:eastAsia="en-GB"/>
              </w:rPr>
              <w:t>7800</w:t>
            </w:r>
          </w:p>
        </w:tc>
      </w:tr>
    </w:tbl>
    <w:p w14:paraId="48BCA841" w14:textId="77777777" w:rsidR="007C17F7" w:rsidRDefault="007C17F7" w:rsidP="007C17F7">
      <w:r>
        <w:t xml:space="preserve">* Percentages have been rounded </w:t>
      </w:r>
    </w:p>
    <w:p w14:paraId="58F14118" w14:textId="77777777" w:rsidR="00FB73A4" w:rsidRPr="00A52AEE" w:rsidRDefault="00FB73A4" w:rsidP="00A52AEE">
      <w:pPr>
        <w:rPr>
          <w:lang w:eastAsia="en-GB"/>
        </w:rPr>
      </w:pPr>
    </w:p>
    <w:p w14:paraId="20231B3E" w14:textId="0A8694B1" w:rsidR="00165CF8" w:rsidRPr="00A52AEE" w:rsidRDefault="00165CF8" w:rsidP="00A52AEE">
      <w:pPr>
        <w:rPr>
          <w:lang w:eastAsia="en-GB"/>
        </w:rPr>
      </w:pPr>
      <w:r w:rsidRPr="00A52AEE">
        <w:rPr>
          <w:lang w:eastAsia="en-GB"/>
        </w:rPr>
        <w:t>Students studying at First Degree level are more likely to be studying full-time whereas students at other undergraduate level are nearly as likely to be studying part-time as full-time.</w:t>
      </w:r>
    </w:p>
    <w:p w14:paraId="3FB2D02B" w14:textId="77777777" w:rsidR="00165CF8" w:rsidRPr="00A52AEE" w:rsidRDefault="00165CF8" w:rsidP="00A52AEE">
      <w:pPr>
        <w:rPr>
          <w:lang w:eastAsia="en-GB"/>
        </w:rPr>
      </w:pPr>
    </w:p>
    <w:p w14:paraId="49E8D624" w14:textId="06425E10" w:rsidR="00165CF8" w:rsidRPr="00F342FD" w:rsidRDefault="0022142D" w:rsidP="00A52AEE">
      <w:pPr>
        <w:rPr>
          <w:b/>
          <w:lang w:eastAsia="en-GB"/>
        </w:rPr>
      </w:pPr>
      <w:r>
        <w:rPr>
          <w:b/>
          <w:lang w:eastAsia="en-GB"/>
        </w:rPr>
        <w:t>Table 30</w:t>
      </w:r>
      <w:r w:rsidR="00CB50A9" w:rsidRPr="00F342FD">
        <w:rPr>
          <w:b/>
          <w:lang w:eastAsia="en-GB"/>
        </w:rPr>
        <w:t>:</w:t>
      </w:r>
      <w:r w:rsidR="00165CF8" w:rsidRPr="00F342FD">
        <w:rPr>
          <w:b/>
          <w:lang w:eastAsia="en-GB"/>
        </w:rPr>
        <w:t xml:space="preserve"> HE level and mode of study in HE (prescribed HE only)</w:t>
      </w:r>
    </w:p>
    <w:p w14:paraId="449EE3BF" w14:textId="77777777" w:rsidR="00CB50A9" w:rsidRPr="00A52AEE" w:rsidRDefault="00CB50A9" w:rsidP="00A52AEE">
      <w:pPr>
        <w:rPr>
          <w:lang w:eastAsia="en-GB"/>
        </w:rPr>
      </w:pPr>
    </w:p>
    <w:tbl>
      <w:tblPr>
        <w:tblW w:w="9268" w:type="dxa"/>
        <w:tblInd w:w="113" w:type="dxa"/>
        <w:tblLook w:val="04A0" w:firstRow="1" w:lastRow="0" w:firstColumn="1" w:lastColumn="0" w:noHBand="0" w:noVBand="1"/>
      </w:tblPr>
      <w:tblGrid>
        <w:gridCol w:w="2547"/>
        <w:gridCol w:w="1170"/>
        <w:gridCol w:w="1098"/>
        <w:gridCol w:w="1134"/>
        <w:gridCol w:w="1134"/>
        <w:gridCol w:w="1134"/>
        <w:gridCol w:w="1051"/>
      </w:tblGrid>
      <w:tr w:rsidR="00CB50A9" w:rsidRPr="00F342FD" w14:paraId="7155EFFA" w14:textId="77777777" w:rsidTr="006E189D">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3C370336" w14:textId="77777777" w:rsidR="00CB50A9" w:rsidRPr="00F342FD" w:rsidRDefault="00CB50A9" w:rsidP="00F342FD">
            <w:pPr>
              <w:jc w:val="center"/>
              <w:rPr>
                <w:b/>
                <w:color w:val="FFFFFF" w:themeColor="background1"/>
                <w:lang w:eastAsia="en-GB"/>
              </w:rPr>
            </w:pPr>
          </w:p>
          <w:p w14:paraId="5D8E6EA1" w14:textId="77777777" w:rsidR="00CB50A9" w:rsidRPr="00F342FD" w:rsidRDefault="00CB50A9" w:rsidP="00F342FD">
            <w:pPr>
              <w:rPr>
                <w:b/>
                <w:color w:val="FFFFFF" w:themeColor="background1"/>
                <w:lang w:eastAsia="en-GB"/>
              </w:rPr>
            </w:pPr>
            <w:r w:rsidRPr="00F342FD">
              <w:rPr>
                <w:b/>
                <w:color w:val="FFFFFF" w:themeColor="background1"/>
                <w:lang w:eastAsia="en-GB"/>
              </w:rPr>
              <w:t>HE level</w:t>
            </w:r>
          </w:p>
          <w:p w14:paraId="13580669" w14:textId="77777777" w:rsidR="00CB50A9" w:rsidRPr="00F342FD" w:rsidRDefault="00CB50A9" w:rsidP="00F342FD">
            <w:pPr>
              <w:jc w:val="center"/>
              <w:rPr>
                <w:b/>
                <w:color w:val="FFFFFF" w:themeColor="background1"/>
                <w:lang w:eastAsia="en-GB"/>
              </w:rPr>
            </w:pPr>
          </w:p>
        </w:tc>
        <w:tc>
          <w:tcPr>
            <w:tcW w:w="1170"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2FA977A" w14:textId="4C8905DD" w:rsidR="00CB50A9" w:rsidRPr="00F342FD" w:rsidRDefault="00CB50A9" w:rsidP="00F342FD">
            <w:pPr>
              <w:jc w:val="center"/>
              <w:rPr>
                <w:b/>
                <w:color w:val="FFFFFF" w:themeColor="background1"/>
                <w:lang w:eastAsia="en-GB"/>
              </w:rPr>
            </w:pPr>
            <w:r w:rsidRPr="00F342FD">
              <w:rPr>
                <w:b/>
                <w:color w:val="FFFFFF" w:themeColor="background1"/>
                <w:lang w:eastAsia="en-GB"/>
              </w:rPr>
              <w:t>Mode</w:t>
            </w:r>
          </w:p>
        </w:tc>
        <w:tc>
          <w:tcPr>
            <w:tcW w:w="1098" w:type="dxa"/>
            <w:tcBorders>
              <w:top w:val="single" w:sz="4" w:space="0" w:color="auto"/>
              <w:left w:val="nil"/>
              <w:bottom w:val="single" w:sz="4" w:space="0" w:color="auto"/>
              <w:right w:val="single" w:sz="4" w:space="0" w:color="auto"/>
            </w:tcBorders>
            <w:shd w:val="clear" w:color="auto" w:fill="1F4E79" w:themeFill="accent1" w:themeFillShade="80"/>
            <w:noWrap/>
            <w:vAlign w:val="center"/>
          </w:tcPr>
          <w:p w14:paraId="5291F90A" w14:textId="45DCCA9B" w:rsidR="00CB50A9" w:rsidRPr="00F342FD" w:rsidRDefault="00CB50A9" w:rsidP="00F342FD">
            <w:pPr>
              <w:jc w:val="center"/>
              <w:rPr>
                <w:b/>
                <w:color w:val="FFFFFF" w:themeColor="background1"/>
                <w:lang w:eastAsia="en-GB"/>
              </w:rPr>
            </w:pPr>
            <w:r w:rsidRPr="00F342FD">
              <w:rPr>
                <w:b/>
                <w:color w:val="FFFFFF" w:themeColor="background1"/>
                <w:lang w:eastAsia="en-GB"/>
              </w:rPr>
              <w:t>2008-09</w:t>
            </w:r>
          </w:p>
        </w:tc>
        <w:tc>
          <w:tcPr>
            <w:tcW w:w="1134" w:type="dxa"/>
            <w:tcBorders>
              <w:top w:val="single" w:sz="4" w:space="0" w:color="auto"/>
              <w:left w:val="nil"/>
              <w:bottom w:val="single" w:sz="4" w:space="0" w:color="auto"/>
              <w:right w:val="single" w:sz="4" w:space="0" w:color="auto"/>
            </w:tcBorders>
            <w:shd w:val="clear" w:color="auto" w:fill="1F4E79" w:themeFill="accent1" w:themeFillShade="80"/>
            <w:noWrap/>
            <w:vAlign w:val="center"/>
          </w:tcPr>
          <w:p w14:paraId="450BC6AE" w14:textId="425568E3" w:rsidR="00CB50A9" w:rsidRPr="00F342FD" w:rsidRDefault="00CB50A9" w:rsidP="00F342FD">
            <w:pPr>
              <w:jc w:val="center"/>
              <w:rPr>
                <w:b/>
                <w:color w:val="FFFFFF" w:themeColor="background1"/>
                <w:lang w:eastAsia="en-GB"/>
              </w:rPr>
            </w:pPr>
            <w:r w:rsidRPr="00F342FD">
              <w:rPr>
                <w:b/>
                <w:color w:val="FFFFFF" w:themeColor="background1"/>
                <w:lang w:eastAsia="en-GB"/>
              </w:rPr>
              <w:t>2009-10</w:t>
            </w:r>
          </w:p>
        </w:tc>
        <w:tc>
          <w:tcPr>
            <w:tcW w:w="1134" w:type="dxa"/>
            <w:tcBorders>
              <w:top w:val="single" w:sz="4" w:space="0" w:color="auto"/>
              <w:left w:val="nil"/>
              <w:bottom w:val="single" w:sz="4" w:space="0" w:color="auto"/>
              <w:right w:val="single" w:sz="4" w:space="0" w:color="auto"/>
            </w:tcBorders>
            <w:shd w:val="clear" w:color="auto" w:fill="1F4E79" w:themeFill="accent1" w:themeFillShade="80"/>
            <w:noWrap/>
            <w:vAlign w:val="center"/>
          </w:tcPr>
          <w:p w14:paraId="6FD1D713" w14:textId="61A5985E" w:rsidR="00CB50A9" w:rsidRPr="00F342FD" w:rsidRDefault="00CB50A9" w:rsidP="00F342FD">
            <w:pPr>
              <w:jc w:val="center"/>
              <w:rPr>
                <w:b/>
                <w:color w:val="FFFFFF" w:themeColor="background1"/>
                <w:lang w:eastAsia="en-GB"/>
              </w:rPr>
            </w:pPr>
            <w:r w:rsidRPr="00F342FD">
              <w:rPr>
                <w:b/>
                <w:color w:val="FFFFFF" w:themeColor="background1"/>
                <w:lang w:eastAsia="en-GB"/>
              </w:rPr>
              <w:t>2010-11</w:t>
            </w:r>
          </w:p>
        </w:tc>
        <w:tc>
          <w:tcPr>
            <w:tcW w:w="1134" w:type="dxa"/>
            <w:tcBorders>
              <w:top w:val="single" w:sz="4" w:space="0" w:color="auto"/>
              <w:left w:val="nil"/>
              <w:bottom w:val="single" w:sz="4" w:space="0" w:color="auto"/>
              <w:right w:val="single" w:sz="4" w:space="0" w:color="auto"/>
            </w:tcBorders>
            <w:shd w:val="clear" w:color="auto" w:fill="1F4E79" w:themeFill="accent1" w:themeFillShade="80"/>
            <w:noWrap/>
            <w:vAlign w:val="center"/>
          </w:tcPr>
          <w:p w14:paraId="6034FA3F" w14:textId="28D32810" w:rsidR="00CB50A9" w:rsidRPr="00F342FD" w:rsidRDefault="00CB50A9" w:rsidP="00F342FD">
            <w:pPr>
              <w:jc w:val="center"/>
              <w:rPr>
                <w:b/>
                <w:color w:val="FFFFFF" w:themeColor="background1"/>
                <w:lang w:eastAsia="en-GB"/>
              </w:rPr>
            </w:pPr>
            <w:r w:rsidRPr="00F342FD">
              <w:rPr>
                <w:b/>
                <w:color w:val="FFFFFF" w:themeColor="background1"/>
                <w:lang w:eastAsia="en-GB"/>
              </w:rPr>
              <w:t>2011-12</w:t>
            </w:r>
          </w:p>
        </w:tc>
        <w:tc>
          <w:tcPr>
            <w:tcW w:w="1051" w:type="dxa"/>
            <w:tcBorders>
              <w:top w:val="single" w:sz="4" w:space="0" w:color="auto"/>
              <w:left w:val="nil"/>
              <w:bottom w:val="single" w:sz="4" w:space="0" w:color="auto"/>
              <w:right w:val="single" w:sz="4" w:space="0" w:color="auto"/>
            </w:tcBorders>
            <w:shd w:val="clear" w:color="auto" w:fill="1F4E79" w:themeFill="accent1" w:themeFillShade="80"/>
            <w:noWrap/>
            <w:vAlign w:val="center"/>
          </w:tcPr>
          <w:p w14:paraId="6B7136F3" w14:textId="47B4C674" w:rsidR="00CB50A9" w:rsidRPr="00F342FD" w:rsidRDefault="00CB50A9" w:rsidP="00F342FD">
            <w:pPr>
              <w:jc w:val="center"/>
              <w:rPr>
                <w:b/>
                <w:color w:val="FFFFFF" w:themeColor="background1"/>
                <w:lang w:eastAsia="en-GB"/>
              </w:rPr>
            </w:pPr>
            <w:r w:rsidRPr="00F342FD">
              <w:rPr>
                <w:b/>
                <w:color w:val="FFFFFF" w:themeColor="background1"/>
                <w:lang w:eastAsia="en-GB"/>
              </w:rPr>
              <w:t>2011-12</w:t>
            </w:r>
          </w:p>
        </w:tc>
      </w:tr>
      <w:tr w:rsidR="00CB50A9" w:rsidRPr="00A52AEE" w14:paraId="007EF9EB" w14:textId="77777777" w:rsidTr="00CB50A9">
        <w:trPr>
          <w:trHeight w:val="30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432A6" w14:textId="33F88D54" w:rsidR="00CB50A9" w:rsidRPr="0022142D" w:rsidRDefault="002F1965" w:rsidP="00A52AEE">
            <w:pPr>
              <w:rPr>
                <w:b/>
                <w:lang w:eastAsia="en-GB"/>
              </w:rPr>
            </w:pPr>
            <w:r>
              <w:rPr>
                <w:b/>
                <w:lang w:eastAsia="en-GB"/>
              </w:rPr>
              <w:t>First degree</w:t>
            </w:r>
          </w:p>
        </w:tc>
        <w:tc>
          <w:tcPr>
            <w:tcW w:w="1170" w:type="dxa"/>
            <w:tcBorders>
              <w:top w:val="nil"/>
              <w:left w:val="nil"/>
              <w:bottom w:val="single" w:sz="4" w:space="0" w:color="auto"/>
              <w:right w:val="single" w:sz="4" w:space="0" w:color="auto"/>
            </w:tcBorders>
            <w:shd w:val="clear" w:color="auto" w:fill="auto"/>
            <w:noWrap/>
            <w:vAlign w:val="center"/>
            <w:hideMark/>
          </w:tcPr>
          <w:p w14:paraId="3577C247" w14:textId="77777777" w:rsidR="00CB50A9" w:rsidRPr="00A52AEE" w:rsidRDefault="00CB50A9" w:rsidP="00A52AEE">
            <w:pPr>
              <w:rPr>
                <w:lang w:eastAsia="en-GB"/>
              </w:rPr>
            </w:pPr>
            <w:r w:rsidRPr="00A52AEE">
              <w:rPr>
                <w:lang w:eastAsia="en-GB"/>
              </w:rPr>
              <w:t>Full-time</w:t>
            </w:r>
          </w:p>
        </w:tc>
        <w:tc>
          <w:tcPr>
            <w:tcW w:w="1098" w:type="dxa"/>
            <w:tcBorders>
              <w:top w:val="nil"/>
              <w:left w:val="nil"/>
              <w:bottom w:val="single" w:sz="4" w:space="0" w:color="auto"/>
              <w:right w:val="single" w:sz="4" w:space="0" w:color="auto"/>
            </w:tcBorders>
            <w:shd w:val="clear" w:color="auto" w:fill="auto"/>
            <w:noWrap/>
            <w:vAlign w:val="center"/>
            <w:hideMark/>
          </w:tcPr>
          <w:p w14:paraId="4E64EB91" w14:textId="77777777" w:rsidR="00CB50A9" w:rsidRPr="00A52AEE" w:rsidRDefault="00CB50A9" w:rsidP="00F342FD">
            <w:pPr>
              <w:jc w:val="right"/>
              <w:rPr>
                <w:lang w:eastAsia="en-GB"/>
              </w:rPr>
            </w:pPr>
            <w:r w:rsidRPr="00A52AEE">
              <w:rPr>
                <w:lang w:eastAsia="en-GB"/>
              </w:rPr>
              <w:t>87%</w:t>
            </w:r>
          </w:p>
        </w:tc>
        <w:tc>
          <w:tcPr>
            <w:tcW w:w="1134" w:type="dxa"/>
            <w:tcBorders>
              <w:top w:val="nil"/>
              <w:left w:val="nil"/>
              <w:bottom w:val="single" w:sz="4" w:space="0" w:color="auto"/>
              <w:right w:val="single" w:sz="4" w:space="0" w:color="auto"/>
            </w:tcBorders>
            <w:shd w:val="clear" w:color="auto" w:fill="auto"/>
            <w:noWrap/>
            <w:vAlign w:val="center"/>
            <w:hideMark/>
          </w:tcPr>
          <w:p w14:paraId="10AE0859" w14:textId="77777777" w:rsidR="00CB50A9" w:rsidRPr="00A52AEE" w:rsidRDefault="00CB50A9" w:rsidP="00F342FD">
            <w:pPr>
              <w:jc w:val="right"/>
              <w:rPr>
                <w:lang w:eastAsia="en-GB"/>
              </w:rPr>
            </w:pPr>
            <w:r w:rsidRPr="00A52AEE">
              <w:rPr>
                <w:lang w:eastAsia="en-GB"/>
              </w:rPr>
              <w:t>87%</w:t>
            </w:r>
          </w:p>
        </w:tc>
        <w:tc>
          <w:tcPr>
            <w:tcW w:w="1134" w:type="dxa"/>
            <w:tcBorders>
              <w:top w:val="nil"/>
              <w:left w:val="nil"/>
              <w:bottom w:val="single" w:sz="4" w:space="0" w:color="auto"/>
              <w:right w:val="single" w:sz="4" w:space="0" w:color="auto"/>
            </w:tcBorders>
            <w:shd w:val="clear" w:color="auto" w:fill="auto"/>
            <w:noWrap/>
            <w:vAlign w:val="center"/>
            <w:hideMark/>
          </w:tcPr>
          <w:p w14:paraId="7F82FCAB" w14:textId="77777777" w:rsidR="00CB50A9" w:rsidRPr="00A52AEE" w:rsidRDefault="00CB50A9" w:rsidP="00F342FD">
            <w:pPr>
              <w:jc w:val="right"/>
              <w:rPr>
                <w:lang w:eastAsia="en-GB"/>
              </w:rPr>
            </w:pPr>
            <w:r w:rsidRPr="00A52AEE">
              <w:rPr>
                <w:lang w:eastAsia="en-GB"/>
              </w:rPr>
              <w:t>89%</w:t>
            </w:r>
          </w:p>
        </w:tc>
        <w:tc>
          <w:tcPr>
            <w:tcW w:w="1134" w:type="dxa"/>
            <w:tcBorders>
              <w:top w:val="nil"/>
              <w:left w:val="nil"/>
              <w:bottom w:val="single" w:sz="4" w:space="0" w:color="auto"/>
              <w:right w:val="single" w:sz="4" w:space="0" w:color="auto"/>
            </w:tcBorders>
            <w:shd w:val="clear" w:color="auto" w:fill="auto"/>
            <w:noWrap/>
            <w:vAlign w:val="center"/>
            <w:hideMark/>
          </w:tcPr>
          <w:p w14:paraId="5F24311E" w14:textId="77777777" w:rsidR="00CB50A9" w:rsidRPr="00A52AEE" w:rsidRDefault="00CB50A9" w:rsidP="00F342FD">
            <w:pPr>
              <w:jc w:val="right"/>
              <w:rPr>
                <w:lang w:eastAsia="en-GB"/>
              </w:rPr>
            </w:pPr>
            <w:r w:rsidRPr="00A52AEE">
              <w:rPr>
                <w:lang w:eastAsia="en-GB"/>
              </w:rPr>
              <w:t>89%</w:t>
            </w:r>
          </w:p>
        </w:tc>
        <w:tc>
          <w:tcPr>
            <w:tcW w:w="1051" w:type="dxa"/>
            <w:tcBorders>
              <w:top w:val="nil"/>
              <w:left w:val="nil"/>
              <w:bottom w:val="single" w:sz="4" w:space="0" w:color="auto"/>
              <w:right w:val="single" w:sz="4" w:space="0" w:color="auto"/>
            </w:tcBorders>
            <w:shd w:val="clear" w:color="auto" w:fill="auto"/>
            <w:noWrap/>
            <w:vAlign w:val="center"/>
            <w:hideMark/>
          </w:tcPr>
          <w:p w14:paraId="0A7D35A0" w14:textId="77777777" w:rsidR="00CB50A9" w:rsidRPr="00A52AEE" w:rsidRDefault="00CB50A9" w:rsidP="00F342FD">
            <w:pPr>
              <w:jc w:val="right"/>
              <w:rPr>
                <w:lang w:eastAsia="en-GB"/>
              </w:rPr>
            </w:pPr>
            <w:r w:rsidRPr="00A52AEE">
              <w:rPr>
                <w:lang w:eastAsia="en-GB"/>
              </w:rPr>
              <w:t>90%</w:t>
            </w:r>
          </w:p>
        </w:tc>
      </w:tr>
      <w:tr w:rsidR="00CB50A9" w:rsidRPr="00A52AEE" w14:paraId="6BB57308"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22466817"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02140B49" w14:textId="77777777" w:rsidR="00CB50A9" w:rsidRPr="00A52AEE" w:rsidRDefault="00CB50A9" w:rsidP="00A52AEE">
            <w:pPr>
              <w:rPr>
                <w:lang w:eastAsia="en-GB"/>
              </w:rPr>
            </w:pPr>
            <w:r w:rsidRPr="00A52AEE">
              <w:rPr>
                <w:lang w:eastAsia="en-GB"/>
              </w:rPr>
              <w:t>Part-time</w:t>
            </w:r>
          </w:p>
        </w:tc>
        <w:tc>
          <w:tcPr>
            <w:tcW w:w="1098" w:type="dxa"/>
            <w:tcBorders>
              <w:top w:val="nil"/>
              <w:left w:val="nil"/>
              <w:bottom w:val="single" w:sz="4" w:space="0" w:color="auto"/>
              <w:right w:val="single" w:sz="4" w:space="0" w:color="auto"/>
            </w:tcBorders>
            <w:shd w:val="clear" w:color="auto" w:fill="auto"/>
            <w:noWrap/>
            <w:vAlign w:val="center"/>
            <w:hideMark/>
          </w:tcPr>
          <w:p w14:paraId="56018EBA" w14:textId="77777777" w:rsidR="00CB50A9" w:rsidRPr="00A52AEE" w:rsidRDefault="00CB50A9" w:rsidP="00F342FD">
            <w:pPr>
              <w:jc w:val="right"/>
              <w:rPr>
                <w:lang w:eastAsia="en-GB"/>
              </w:rPr>
            </w:pPr>
            <w:r w:rsidRPr="00A52AEE">
              <w:rPr>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4CD554C" w14:textId="77777777" w:rsidR="00CB50A9" w:rsidRPr="00A52AEE" w:rsidRDefault="00CB50A9" w:rsidP="00F342FD">
            <w:pPr>
              <w:jc w:val="right"/>
              <w:rPr>
                <w:lang w:eastAsia="en-GB"/>
              </w:rPr>
            </w:pPr>
            <w:r w:rsidRPr="00A52AEE">
              <w:rPr>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244DFDA2" w14:textId="77777777" w:rsidR="00CB50A9" w:rsidRPr="00A52AEE" w:rsidRDefault="00CB50A9" w:rsidP="00F342FD">
            <w:pPr>
              <w:jc w:val="right"/>
              <w:rPr>
                <w:lang w:eastAsia="en-GB"/>
              </w:rPr>
            </w:pPr>
            <w:r w:rsidRPr="00A52AEE">
              <w:rPr>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5F07EC18" w14:textId="77777777" w:rsidR="00CB50A9" w:rsidRPr="00A52AEE" w:rsidRDefault="00CB50A9" w:rsidP="00F342FD">
            <w:pPr>
              <w:jc w:val="right"/>
              <w:rPr>
                <w:lang w:eastAsia="en-GB"/>
              </w:rPr>
            </w:pPr>
            <w:r w:rsidRPr="00A52AEE">
              <w:rPr>
                <w:lang w:eastAsia="en-GB"/>
              </w:rPr>
              <w:t>2%</w:t>
            </w:r>
          </w:p>
        </w:tc>
        <w:tc>
          <w:tcPr>
            <w:tcW w:w="1051" w:type="dxa"/>
            <w:tcBorders>
              <w:top w:val="nil"/>
              <w:left w:val="nil"/>
              <w:bottom w:val="single" w:sz="4" w:space="0" w:color="auto"/>
              <w:right w:val="single" w:sz="4" w:space="0" w:color="auto"/>
            </w:tcBorders>
            <w:shd w:val="clear" w:color="auto" w:fill="auto"/>
            <w:noWrap/>
            <w:vAlign w:val="center"/>
            <w:hideMark/>
          </w:tcPr>
          <w:p w14:paraId="4DF9300E" w14:textId="77777777" w:rsidR="00CB50A9" w:rsidRPr="00A52AEE" w:rsidRDefault="00CB50A9" w:rsidP="00F342FD">
            <w:pPr>
              <w:jc w:val="right"/>
              <w:rPr>
                <w:lang w:eastAsia="en-GB"/>
              </w:rPr>
            </w:pPr>
            <w:r w:rsidRPr="00A52AEE">
              <w:rPr>
                <w:lang w:eastAsia="en-GB"/>
              </w:rPr>
              <w:t>1%</w:t>
            </w:r>
          </w:p>
        </w:tc>
      </w:tr>
      <w:tr w:rsidR="00CB50A9" w:rsidRPr="00A52AEE" w14:paraId="3F14B22A"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2B0AF3F7"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5E3E2086" w14:textId="77777777" w:rsidR="00CB50A9" w:rsidRPr="00A52AEE" w:rsidRDefault="00CB50A9" w:rsidP="00A52AEE">
            <w:pPr>
              <w:rPr>
                <w:lang w:eastAsia="en-GB"/>
              </w:rPr>
            </w:pPr>
            <w:r w:rsidRPr="00A52AEE">
              <w:rPr>
                <w:lang w:eastAsia="en-GB"/>
              </w:rPr>
              <w:t>Sandwich</w:t>
            </w:r>
          </w:p>
        </w:tc>
        <w:tc>
          <w:tcPr>
            <w:tcW w:w="1098" w:type="dxa"/>
            <w:tcBorders>
              <w:top w:val="nil"/>
              <w:left w:val="nil"/>
              <w:bottom w:val="single" w:sz="4" w:space="0" w:color="auto"/>
              <w:right w:val="single" w:sz="4" w:space="0" w:color="auto"/>
            </w:tcBorders>
            <w:shd w:val="clear" w:color="auto" w:fill="auto"/>
            <w:noWrap/>
            <w:vAlign w:val="center"/>
            <w:hideMark/>
          </w:tcPr>
          <w:p w14:paraId="10728DB3" w14:textId="77777777" w:rsidR="00CB50A9" w:rsidRPr="00A52AEE" w:rsidRDefault="00CB50A9" w:rsidP="00F342FD">
            <w:pPr>
              <w:jc w:val="right"/>
              <w:rPr>
                <w:lang w:eastAsia="en-GB"/>
              </w:rPr>
            </w:pPr>
            <w:r w:rsidRPr="00A52AEE">
              <w:rPr>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B2B76A" w14:textId="77777777" w:rsidR="00CB50A9" w:rsidRPr="00A52AEE" w:rsidRDefault="00CB50A9" w:rsidP="00F342FD">
            <w:pPr>
              <w:jc w:val="right"/>
              <w:rPr>
                <w:lang w:eastAsia="en-GB"/>
              </w:rPr>
            </w:pPr>
            <w:r w:rsidRPr="00A52AEE">
              <w:rPr>
                <w:lang w:eastAsia="en-GB"/>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4331782" w14:textId="77777777" w:rsidR="00CB50A9" w:rsidRPr="00A52AEE" w:rsidRDefault="00CB50A9" w:rsidP="00F342FD">
            <w:pPr>
              <w:jc w:val="right"/>
              <w:rPr>
                <w:lang w:eastAsia="en-GB"/>
              </w:rPr>
            </w:pPr>
            <w:r w:rsidRPr="00A52AEE">
              <w:rPr>
                <w:lang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14:paraId="371979F8" w14:textId="77777777" w:rsidR="00CB50A9" w:rsidRPr="00A52AEE" w:rsidRDefault="00CB50A9" w:rsidP="00F342FD">
            <w:pPr>
              <w:jc w:val="right"/>
              <w:rPr>
                <w:lang w:eastAsia="en-GB"/>
              </w:rPr>
            </w:pPr>
            <w:r w:rsidRPr="00A52AEE">
              <w:rPr>
                <w:lang w:eastAsia="en-GB"/>
              </w:rPr>
              <w:t>9%</w:t>
            </w:r>
          </w:p>
        </w:tc>
        <w:tc>
          <w:tcPr>
            <w:tcW w:w="1051" w:type="dxa"/>
            <w:tcBorders>
              <w:top w:val="nil"/>
              <w:left w:val="nil"/>
              <w:bottom w:val="single" w:sz="4" w:space="0" w:color="auto"/>
              <w:right w:val="single" w:sz="4" w:space="0" w:color="auto"/>
            </w:tcBorders>
            <w:shd w:val="clear" w:color="auto" w:fill="auto"/>
            <w:noWrap/>
            <w:vAlign w:val="center"/>
            <w:hideMark/>
          </w:tcPr>
          <w:p w14:paraId="6768EB38" w14:textId="77777777" w:rsidR="00CB50A9" w:rsidRPr="00A52AEE" w:rsidRDefault="00CB50A9" w:rsidP="00F342FD">
            <w:pPr>
              <w:jc w:val="right"/>
              <w:rPr>
                <w:lang w:eastAsia="en-GB"/>
              </w:rPr>
            </w:pPr>
            <w:r w:rsidRPr="00A52AEE">
              <w:rPr>
                <w:lang w:eastAsia="en-GB"/>
              </w:rPr>
              <w:t>10%</w:t>
            </w:r>
          </w:p>
        </w:tc>
      </w:tr>
      <w:tr w:rsidR="00CB50A9" w:rsidRPr="00A52AEE" w14:paraId="7A939E5F" w14:textId="77777777" w:rsidTr="00CB50A9">
        <w:trPr>
          <w:trHeight w:val="30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3C18A" w14:textId="77777777" w:rsidR="00CB50A9" w:rsidRPr="0022142D" w:rsidRDefault="00CB50A9" w:rsidP="00A52AEE">
            <w:pPr>
              <w:rPr>
                <w:b/>
                <w:lang w:eastAsia="en-GB"/>
              </w:rPr>
            </w:pPr>
            <w:r w:rsidRPr="0022142D">
              <w:rPr>
                <w:b/>
                <w:lang w:eastAsia="en-GB"/>
              </w:rPr>
              <w:t>Foundation degree</w:t>
            </w:r>
          </w:p>
        </w:tc>
        <w:tc>
          <w:tcPr>
            <w:tcW w:w="1170" w:type="dxa"/>
            <w:tcBorders>
              <w:top w:val="nil"/>
              <w:left w:val="nil"/>
              <w:bottom w:val="single" w:sz="4" w:space="0" w:color="auto"/>
              <w:right w:val="single" w:sz="4" w:space="0" w:color="auto"/>
            </w:tcBorders>
            <w:shd w:val="clear" w:color="auto" w:fill="auto"/>
            <w:noWrap/>
            <w:vAlign w:val="center"/>
            <w:hideMark/>
          </w:tcPr>
          <w:p w14:paraId="63247B29" w14:textId="77777777" w:rsidR="00CB50A9" w:rsidRPr="00A52AEE" w:rsidRDefault="00CB50A9" w:rsidP="00A52AEE">
            <w:pPr>
              <w:rPr>
                <w:lang w:eastAsia="en-GB"/>
              </w:rPr>
            </w:pPr>
            <w:r w:rsidRPr="00A52AEE">
              <w:rPr>
                <w:lang w:eastAsia="en-GB"/>
              </w:rPr>
              <w:t>Full-time</w:t>
            </w:r>
          </w:p>
        </w:tc>
        <w:tc>
          <w:tcPr>
            <w:tcW w:w="1098" w:type="dxa"/>
            <w:tcBorders>
              <w:top w:val="nil"/>
              <w:left w:val="nil"/>
              <w:bottom w:val="single" w:sz="4" w:space="0" w:color="auto"/>
              <w:right w:val="single" w:sz="4" w:space="0" w:color="auto"/>
            </w:tcBorders>
            <w:shd w:val="clear" w:color="auto" w:fill="auto"/>
            <w:noWrap/>
            <w:vAlign w:val="center"/>
            <w:hideMark/>
          </w:tcPr>
          <w:p w14:paraId="0995BE4C" w14:textId="77777777" w:rsidR="00CB50A9" w:rsidRPr="00A52AEE" w:rsidRDefault="00CB50A9" w:rsidP="00F342FD">
            <w:pPr>
              <w:jc w:val="right"/>
              <w:rPr>
                <w:lang w:eastAsia="en-GB"/>
              </w:rPr>
            </w:pPr>
            <w:r w:rsidRPr="00A52AEE">
              <w:rPr>
                <w:lang w:eastAsia="en-GB"/>
              </w:rPr>
              <w:t>82%</w:t>
            </w:r>
          </w:p>
        </w:tc>
        <w:tc>
          <w:tcPr>
            <w:tcW w:w="1134" w:type="dxa"/>
            <w:tcBorders>
              <w:top w:val="nil"/>
              <w:left w:val="nil"/>
              <w:bottom w:val="single" w:sz="4" w:space="0" w:color="auto"/>
              <w:right w:val="single" w:sz="4" w:space="0" w:color="auto"/>
            </w:tcBorders>
            <w:shd w:val="clear" w:color="auto" w:fill="auto"/>
            <w:noWrap/>
            <w:vAlign w:val="center"/>
            <w:hideMark/>
          </w:tcPr>
          <w:p w14:paraId="50B21A63" w14:textId="77777777" w:rsidR="00CB50A9" w:rsidRPr="00A52AEE" w:rsidRDefault="00CB50A9" w:rsidP="00F342FD">
            <w:pPr>
              <w:jc w:val="right"/>
              <w:rPr>
                <w:lang w:eastAsia="en-GB"/>
              </w:rPr>
            </w:pPr>
            <w:r w:rsidRPr="00A52AEE">
              <w:rPr>
                <w:lang w:eastAsia="en-GB"/>
              </w:rPr>
              <w:t>83%</w:t>
            </w:r>
          </w:p>
        </w:tc>
        <w:tc>
          <w:tcPr>
            <w:tcW w:w="1134" w:type="dxa"/>
            <w:tcBorders>
              <w:top w:val="nil"/>
              <w:left w:val="nil"/>
              <w:bottom w:val="single" w:sz="4" w:space="0" w:color="auto"/>
              <w:right w:val="single" w:sz="4" w:space="0" w:color="auto"/>
            </w:tcBorders>
            <w:shd w:val="clear" w:color="auto" w:fill="auto"/>
            <w:noWrap/>
            <w:vAlign w:val="center"/>
            <w:hideMark/>
          </w:tcPr>
          <w:p w14:paraId="5BAB2B52" w14:textId="77777777" w:rsidR="00CB50A9" w:rsidRPr="00A52AEE" w:rsidRDefault="00CB50A9" w:rsidP="00F342FD">
            <w:pPr>
              <w:jc w:val="right"/>
              <w:rPr>
                <w:lang w:eastAsia="en-GB"/>
              </w:rPr>
            </w:pPr>
            <w:r w:rsidRPr="00A52AEE">
              <w:rPr>
                <w:lang w:eastAsia="en-GB"/>
              </w:rPr>
              <w:t>85%</w:t>
            </w:r>
          </w:p>
        </w:tc>
        <w:tc>
          <w:tcPr>
            <w:tcW w:w="1134" w:type="dxa"/>
            <w:tcBorders>
              <w:top w:val="nil"/>
              <w:left w:val="nil"/>
              <w:bottom w:val="single" w:sz="4" w:space="0" w:color="auto"/>
              <w:right w:val="single" w:sz="4" w:space="0" w:color="auto"/>
            </w:tcBorders>
            <w:shd w:val="clear" w:color="auto" w:fill="auto"/>
            <w:noWrap/>
            <w:vAlign w:val="center"/>
            <w:hideMark/>
          </w:tcPr>
          <w:p w14:paraId="50A9BD15" w14:textId="77777777" w:rsidR="00CB50A9" w:rsidRPr="00A52AEE" w:rsidRDefault="00CB50A9" w:rsidP="00F342FD">
            <w:pPr>
              <w:jc w:val="right"/>
              <w:rPr>
                <w:lang w:eastAsia="en-GB"/>
              </w:rPr>
            </w:pPr>
            <w:r w:rsidRPr="00A52AEE">
              <w:rPr>
                <w:lang w:eastAsia="en-GB"/>
              </w:rPr>
              <w:t>86%</w:t>
            </w:r>
          </w:p>
        </w:tc>
        <w:tc>
          <w:tcPr>
            <w:tcW w:w="1051" w:type="dxa"/>
            <w:tcBorders>
              <w:top w:val="nil"/>
              <w:left w:val="nil"/>
              <w:bottom w:val="single" w:sz="4" w:space="0" w:color="auto"/>
              <w:right w:val="single" w:sz="4" w:space="0" w:color="auto"/>
            </w:tcBorders>
            <w:shd w:val="clear" w:color="auto" w:fill="auto"/>
            <w:noWrap/>
            <w:vAlign w:val="center"/>
            <w:hideMark/>
          </w:tcPr>
          <w:p w14:paraId="1AC7B5BC" w14:textId="77777777" w:rsidR="00CB50A9" w:rsidRPr="00A52AEE" w:rsidRDefault="00CB50A9" w:rsidP="00F342FD">
            <w:pPr>
              <w:jc w:val="right"/>
              <w:rPr>
                <w:lang w:eastAsia="en-GB"/>
              </w:rPr>
            </w:pPr>
            <w:r w:rsidRPr="00A52AEE">
              <w:rPr>
                <w:lang w:eastAsia="en-GB"/>
              </w:rPr>
              <w:t>84%</w:t>
            </w:r>
          </w:p>
        </w:tc>
      </w:tr>
      <w:tr w:rsidR="00CB50A9" w:rsidRPr="00A52AEE" w14:paraId="613907ED"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0C2FA1BE"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1A5CB9FC" w14:textId="77777777" w:rsidR="00CB50A9" w:rsidRPr="00A52AEE" w:rsidRDefault="00CB50A9" w:rsidP="00A52AEE">
            <w:pPr>
              <w:rPr>
                <w:lang w:eastAsia="en-GB"/>
              </w:rPr>
            </w:pPr>
            <w:r w:rsidRPr="00A52AEE">
              <w:rPr>
                <w:lang w:eastAsia="en-GB"/>
              </w:rPr>
              <w:t>Part-time</w:t>
            </w:r>
          </w:p>
        </w:tc>
        <w:tc>
          <w:tcPr>
            <w:tcW w:w="1098" w:type="dxa"/>
            <w:tcBorders>
              <w:top w:val="nil"/>
              <w:left w:val="nil"/>
              <w:bottom w:val="single" w:sz="4" w:space="0" w:color="auto"/>
              <w:right w:val="single" w:sz="4" w:space="0" w:color="auto"/>
            </w:tcBorders>
            <w:shd w:val="clear" w:color="auto" w:fill="auto"/>
            <w:noWrap/>
            <w:vAlign w:val="center"/>
            <w:hideMark/>
          </w:tcPr>
          <w:p w14:paraId="7257C8B8" w14:textId="77777777" w:rsidR="00CB50A9" w:rsidRPr="00A52AEE" w:rsidRDefault="00CB50A9" w:rsidP="00F342FD">
            <w:pPr>
              <w:jc w:val="right"/>
              <w:rPr>
                <w:lang w:eastAsia="en-GB"/>
              </w:rPr>
            </w:pPr>
            <w:r w:rsidRPr="00A52AEE">
              <w:rPr>
                <w:lang w:eastAsia="en-GB"/>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CBC2252" w14:textId="77777777" w:rsidR="00CB50A9" w:rsidRPr="00A52AEE" w:rsidRDefault="00CB50A9" w:rsidP="00F342FD">
            <w:pPr>
              <w:jc w:val="right"/>
              <w:rPr>
                <w:lang w:eastAsia="en-GB"/>
              </w:rPr>
            </w:pPr>
            <w:r w:rsidRPr="00A52AEE">
              <w:rPr>
                <w:lang w:eastAsia="en-GB"/>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87D77C9" w14:textId="77777777" w:rsidR="00CB50A9" w:rsidRPr="00A52AEE" w:rsidRDefault="00CB50A9" w:rsidP="00F342FD">
            <w:pPr>
              <w:jc w:val="right"/>
              <w:rPr>
                <w:lang w:eastAsia="en-GB"/>
              </w:rPr>
            </w:pPr>
            <w:r w:rsidRPr="00A52AEE">
              <w:rPr>
                <w:lang w:eastAsia="en-GB"/>
              </w:rPr>
              <w:t>14%</w:t>
            </w:r>
          </w:p>
        </w:tc>
        <w:tc>
          <w:tcPr>
            <w:tcW w:w="1134" w:type="dxa"/>
            <w:tcBorders>
              <w:top w:val="nil"/>
              <w:left w:val="nil"/>
              <w:bottom w:val="single" w:sz="4" w:space="0" w:color="auto"/>
              <w:right w:val="single" w:sz="4" w:space="0" w:color="auto"/>
            </w:tcBorders>
            <w:shd w:val="clear" w:color="auto" w:fill="auto"/>
            <w:noWrap/>
            <w:vAlign w:val="center"/>
            <w:hideMark/>
          </w:tcPr>
          <w:p w14:paraId="10692540" w14:textId="77777777" w:rsidR="00CB50A9" w:rsidRPr="00A52AEE" w:rsidRDefault="00CB50A9" w:rsidP="00F342FD">
            <w:pPr>
              <w:jc w:val="right"/>
              <w:rPr>
                <w:lang w:eastAsia="en-GB"/>
              </w:rPr>
            </w:pPr>
            <w:r w:rsidRPr="00A52AEE">
              <w:rPr>
                <w:lang w:eastAsia="en-GB"/>
              </w:rPr>
              <w:t>13%</w:t>
            </w:r>
          </w:p>
        </w:tc>
        <w:tc>
          <w:tcPr>
            <w:tcW w:w="1051" w:type="dxa"/>
            <w:tcBorders>
              <w:top w:val="nil"/>
              <w:left w:val="nil"/>
              <w:bottom w:val="single" w:sz="4" w:space="0" w:color="auto"/>
              <w:right w:val="single" w:sz="4" w:space="0" w:color="auto"/>
            </w:tcBorders>
            <w:shd w:val="clear" w:color="auto" w:fill="auto"/>
            <w:noWrap/>
            <w:vAlign w:val="center"/>
            <w:hideMark/>
          </w:tcPr>
          <w:p w14:paraId="2CC6C9D0" w14:textId="77777777" w:rsidR="00CB50A9" w:rsidRPr="00A52AEE" w:rsidRDefault="00CB50A9" w:rsidP="00F342FD">
            <w:pPr>
              <w:jc w:val="right"/>
              <w:rPr>
                <w:lang w:eastAsia="en-GB"/>
              </w:rPr>
            </w:pPr>
            <w:r w:rsidRPr="00A52AEE">
              <w:rPr>
                <w:lang w:eastAsia="en-GB"/>
              </w:rPr>
              <w:t>13%</w:t>
            </w:r>
          </w:p>
        </w:tc>
      </w:tr>
      <w:tr w:rsidR="00CB50A9" w:rsidRPr="00A52AEE" w14:paraId="268697E0"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63F2075B"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57111C5A" w14:textId="77777777" w:rsidR="00CB50A9" w:rsidRPr="00A52AEE" w:rsidRDefault="00CB50A9" w:rsidP="00A52AEE">
            <w:pPr>
              <w:rPr>
                <w:lang w:eastAsia="en-GB"/>
              </w:rPr>
            </w:pPr>
            <w:r w:rsidRPr="00A52AEE">
              <w:rPr>
                <w:lang w:eastAsia="en-GB"/>
              </w:rPr>
              <w:t>Sandwich</w:t>
            </w:r>
          </w:p>
        </w:tc>
        <w:tc>
          <w:tcPr>
            <w:tcW w:w="1098" w:type="dxa"/>
            <w:tcBorders>
              <w:top w:val="nil"/>
              <w:left w:val="nil"/>
              <w:bottom w:val="single" w:sz="4" w:space="0" w:color="auto"/>
              <w:right w:val="single" w:sz="4" w:space="0" w:color="auto"/>
            </w:tcBorders>
            <w:shd w:val="clear" w:color="auto" w:fill="auto"/>
            <w:noWrap/>
            <w:vAlign w:val="center"/>
            <w:hideMark/>
          </w:tcPr>
          <w:p w14:paraId="467990EC" w14:textId="77777777" w:rsidR="00CB50A9" w:rsidRPr="00A52AEE" w:rsidRDefault="00CB50A9" w:rsidP="00F342FD">
            <w:pPr>
              <w:jc w:val="right"/>
              <w:rPr>
                <w:lang w:eastAsia="en-GB"/>
              </w:rPr>
            </w:pPr>
            <w:r w:rsidRPr="00A52AEE">
              <w:rPr>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B97A9C" w14:textId="77777777" w:rsidR="00CB50A9" w:rsidRPr="00A52AEE" w:rsidRDefault="00CB50A9" w:rsidP="00F342FD">
            <w:pPr>
              <w:jc w:val="right"/>
              <w:rPr>
                <w:lang w:eastAsia="en-GB"/>
              </w:rPr>
            </w:pPr>
            <w:r w:rsidRPr="00A52AEE">
              <w:rPr>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A19A73" w14:textId="77777777" w:rsidR="00CB50A9" w:rsidRPr="00A52AEE" w:rsidRDefault="00CB50A9" w:rsidP="00F342FD">
            <w:pPr>
              <w:jc w:val="right"/>
              <w:rPr>
                <w:lang w:eastAsia="en-GB"/>
              </w:rPr>
            </w:pPr>
            <w:r w:rsidRPr="00A52AEE">
              <w:rPr>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AEF736" w14:textId="77777777" w:rsidR="00CB50A9" w:rsidRPr="00A52AEE" w:rsidRDefault="00CB50A9" w:rsidP="00F342FD">
            <w:pPr>
              <w:jc w:val="right"/>
              <w:rPr>
                <w:lang w:eastAsia="en-GB"/>
              </w:rPr>
            </w:pPr>
            <w:r w:rsidRPr="00A52AEE">
              <w:rPr>
                <w:lang w:eastAsia="en-GB"/>
              </w:rPr>
              <w:t>1%</w:t>
            </w:r>
          </w:p>
        </w:tc>
        <w:tc>
          <w:tcPr>
            <w:tcW w:w="1051" w:type="dxa"/>
            <w:tcBorders>
              <w:top w:val="nil"/>
              <w:left w:val="nil"/>
              <w:bottom w:val="single" w:sz="4" w:space="0" w:color="auto"/>
              <w:right w:val="single" w:sz="4" w:space="0" w:color="auto"/>
            </w:tcBorders>
            <w:shd w:val="clear" w:color="auto" w:fill="auto"/>
            <w:noWrap/>
            <w:vAlign w:val="center"/>
            <w:hideMark/>
          </w:tcPr>
          <w:p w14:paraId="734E8664" w14:textId="77777777" w:rsidR="00CB50A9" w:rsidRPr="00A52AEE" w:rsidRDefault="00CB50A9" w:rsidP="00F342FD">
            <w:pPr>
              <w:jc w:val="right"/>
              <w:rPr>
                <w:lang w:eastAsia="en-GB"/>
              </w:rPr>
            </w:pPr>
            <w:r w:rsidRPr="00A52AEE">
              <w:rPr>
                <w:lang w:eastAsia="en-GB"/>
              </w:rPr>
              <w:t>3%</w:t>
            </w:r>
          </w:p>
        </w:tc>
      </w:tr>
      <w:tr w:rsidR="00CB50A9" w:rsidRPr="00A52AEE" w14:paraId="6DB059E2" w14:textId="77777777" w:rsidTr="00CB50A9">
        <w:trPr>
          <w:trHeight w:val="30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D356F" w14:textId="77777777" w:rsidR="00CB50A9" w:rsidRPr="0022142D" w:rsidRDefault="00CB50A9" w:rsidP="00A52AEE">
            <w:pPr>
              <w:rPr>
                <w:b/>
                <w:lang w:eastAsia="en-GB"/>
              </w:rPr>
            </w:pPr>
            <w:r w:rsidRPr="0022142D">
              <w:rPr>
                <w:b/>
                <w:lang w:eastAsia="en-GB"/>
              </w:rPr>
              <w:t>HNC/HND</w:t>
            </w:r>
          </w:p>
        </w:tc>
        <w:tc>
          <w:tcPr>
            <w:tcW w:w="1170" w:type="dxa"/>
            <w:tcBorders>
              <w:top w:val="nil"/>
              <w:left w:val="nil"/>
              <w:bottom w:val="single" w:sz="4" w:space="0" w:color="auto"/>
              <w:right w:val="single" w:sz="4" w:space="0" w:color="auto"/>
            </w:tcBorders>
            <w:shd w:val="clear" w:color="auto" w:fill="auto"/>
            <w:noWrap/>
            <w:vAlign w:val="center"/>
            <w:hideMark/>
          </w:tcPr>
          <w:p w14:paraId="22779AA0" w14:textId="77777777" w:rsidR="00CB50A9" w:rsidRPr="00A52AEE" w:rsidRDefault="00CB50A9" w:rsidP="00A52AEE">
            <w:pPr>
              <w:rPr>
                <w:lang w:eastAsia="en-GB"/>
              </w:rPr>
            </w:pPr>
            <w:r w:rsidRPr="00A52AEE">
              <w:rPr>
                <w:lang w:eastAsia="en-GB"/>
              </w:rPr>
              <w:t>Full-time</w:t>
            </w:r>
          </w:p>
        </w:tc>
        <w:tc>
          <w:tcPr>
            <w:tcW w:w="1098" w:type="dxa"/>
            <w:tcBorders>
              <w:top w:val="nil"/>
              <w:left w:val="nil"/>
              <w:bottom w:val="single" w:sz="4" w:space="0" w:color="auto"/>
              <w:right w:val="single" w:sz="4" w:space="0" w:color="auto"/>
            </w:tcBorders>
            <w:shd w:val="clear" w:color="auto" w:fill="auto"/>
            <w:noWrap/>
            <w:vAlign w:val="center"/>
            <w:hideMark/>
          </w:tcPr>
          <w:p w14:paraId="6173A18C" w14:textId="77777777" w:rsidR="00CB50A9" w:rsidRPr="00A52AEE" w:rsidRDefault="00CB50A9" w:rsidP="00F342FD">
            <w:pPr>
              <w:jc w:val="right"/>
              <w:rPr>
                <w:lang w:eastAsia="en-GB"/>
              </w:rPr>
            </w:pPr>
            <w:r w:rsidRPr="00A52AEE">
              <w:rPr>
                <w:lang w:eastAsia="en-GB"/>
              </w:rPr>
              <w:t>84%</w:t>
            </w:r>
          </w:p>
        </w:tc>
        <w:tc>
          <w:tcPr>
            <w:tcW w:w="1134" w:type="dxa"/>
            <w:tcBorders>
              <w:top w:val="nil"/>
              <w:left w:val="nil"/>
              <w:bottom w:val="single" w:sz="4" w:space="0" w:color="auto"/>
              <w:right w:val="single" w:sz="4" w:space="0" w:color="auto"/>
            </w:tcBorders>
            <w:shd w:val="clear" w:color="auto" w:fill="auto"/>
            <w:noWrap/>
            <w:vAlign w:val="center"/>
            <w:hideMark/>
          </w:tcPr>
          <w:p w14:paraId="2C096542" w14:textId="77777777" w:rsidR="00CB50A9" w:rsidRPr="00A52AEE" w:rsidRDefault="00CB50A9" w:rsidP="00F342FD">
            <w:pPr>
              <w:jc w:val="right"/>
              <w:rPr>
                <w:lang w:eastAsia="en-GB"/>
              </w:rPr>
            </w:pPr>
            <w:r w:rsidRPr="00A52AEE">
              <w:rPr>
                <w:lang w:eastAsia="en-GB"/>
              </w:rPr>
              <w:t>95%</w:t>
            </w:r>
          </w:p>
        </w:tc>
        <w:tc>
          <w:tcPr>
            <w:tcW w:w="1134" w:type="dxa"/>
            <w:tcBorders>
              <w:top w:val="nil"/>
              <w:left w:val="nil"/>
              <w:bottom w:val="single" w:sz="4" w:space="0" w:color="auto"/>
              <w:right w:val="single" w:sz="4" w:space="0" w:color="auto"/>
            </w:tcBorders>
            <w:shd w:val="clear" w:color="auto" w:fill="auto"/>
            <w:noWrap/>
            <w:vAlign w:val="center"/>
            <w:hideMark/>
          </w:tcPr>
          <w:p w14:paraId="7F7E4FF1" w14:textId="77777777" w:rsidR="00CB50A9" w:rsidRPr="00A52AEE" w:rsidRDefault="00CB50A9" w:rsidP="00F342FD">
            <w:pPr>
              <w:jc w:val="right"/>
              <w:rPr>
                <w:lang w:eastAsia="en-GB"/>
              </w:rPr>
            </w:pPr>
            <w:r w:rsidRPr="00A52AEE">
              <w:rPr>
                <w:lang w:eastAsia="en-GB"/>
              </w:rPr>
              <w:t>91%</w:t>
            </w:r>
          </w:p>
        </w:tc>
        <w:tc>
          <w:tcPr>
            <w:tcW w:w="1134" w:type="dxa"/>
            <w:tcBorders>
              <w:top w:val="nil"/>
              <w:left w:val="nil"/>
              <w:bottom w:val="single" w:sz="4" w:space="0" w:color="auto"/>
              <w:right w:val="single" w:sz="4" w:space="0" w:color="auto"/>
            </w:tcBorders>
            <w:shd w:val="clear" w:color="auto" w:fill="auto"/>
            <w:noWrap/>
            <w:vAlign w:val="center"/>
            <w:hideMark/>
          </w:tcPr>
          <w:p w14:paraId="2BCDCEE2" w14:textId="77777777" w:rsidR="00CB50A9" w:rsidRPr="00A52AEE" w:rsidRDefault="00CB50A9" w:rsidP="00F342FD">
            <w:pPr>
              <w:jc w:val="right"/>
              <w:rPr>
                <w:lang w:eastAsia="en-GB"/>
              </w:rPr>
            </w:pPr>
            <w:r w:rsidRPr="00A52AEE">
              <w:rPr>
                <w:lang w:eastAsia="en-GB"/>
              </w:rPr>
              <w:t>96%</w:t>
            </w:r>
          </w:p>
        </w:tc>
        <w:tc>
          <w:tcPr>
            <w:tcW w:w="1051" w:type="dxa"/>
            <w:tcBorders>
              <w:top w:val="nil"/>
              <w:left w:val="nil"/>
              <w:bottom w:val="single" w:sz="4" w:space="0" w:color="auto"/>
              <w:right w:val="single" w:sz="4" w:space="0" w:color="auto"/>
            </w:tcBorders>
            <w:shd w:val="clear" w:color="auto" w:fill="auto"/>
            <w:noWrap/>
            <w:vAlign w:val="center"/>
            <w:hideMark/>
          </w:tcPr>
          <w:p w14:paraId="1186712C" w14:textId="77777777" w:rsidR="00CB50A9" w:rsidRPr="00A52AEE" w:rsidRDefault="00CB50A9" w:rsidP="00F342FD">
            <w:pPr>
              <w:jc w:val="right"/>
              <w:rPr>
                <w:lang w:eastAsia="en-GB"/>
              </w:rPr>
            </w:pPr>
            <w:r w:rsidRPr="00A52AEE">
              <w:rPr>
                <w:lang w:eastAsia="en-GB"/>
              </w:rPr>
              <w:t>93%</w:t>
            </w:r>
          </w:p>
        </w:tc>
      </w:tr>
      <w:tr w:rsidR="00CB50A9" w:rsidRPr="00A52AEE" w14:paraId="0CE21528"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21751616"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23DCFB86" w14:textId="77777777" w:rsidR="00CB50A9" w:rsidRPr="00A52AEE" w:rsidRDefault="00CB50A9" w:rsidP="00A52AEE">
            <w:pPr>
              <w:rPr>
                <w:lang w:eastAsia="en-GB"/>
              </w:rPr>
            </w:pPr>
            <w:r w:rsidRPr="00A52AEE">
              <w:rPr>
                <w:lang w:eastAsia="en-GB"/>
              </w:rPr>
              <w:t>Part-time</w:t>
            </w:r>
          </w:p>
        </w:tc>
        <w:tc>
          <w:tcPr>
            <w:tcW w:w="1098" w:type="dxa"/>
            <w:tcBorders>
              <w:top w:val="nil"/>
              <w:left w:val="nil"/>
              <w:bottom w:val="single" w:sz="4" w:space="0" w:color="auto"/>
              <w:right w:val="single" w:sz="4" w:space="0" w:color="auto"/>
            </w:tcBorders>
            <w:shd w:val="clear" w:color="auto" w:fill="auto"/>
            <w:noWrap/>
            <w:vAlign w:val="center"/>
            <w:hideMark/>
          </w:tcPr>
          <w:p w14:paraId="6FA9F9A0" w14:textId="77777777" w:rsidR="00CB50A9" w:rsidRPr="00A52AEE" w:rsidRDefault="00CB50A9" w:rsidP="00F342FD">
            <w:pPr>
              <w:jc w:val="right"/>
              <w:rPr>
                <w:lang w:eastAsia="en-GB"/>
              </w:rPr>
            </w:pPr>
            <w:r w:rsidRPr="00A52AEE">
              <w:rPr>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66DA66EF" w14:textId="77777777" w:rsidR="00CB50A9" w:rsidRPr="00A52AEE" w:rsidRDefault="00CB50A9" w:rsidP="00F342FD">
            <w:pPr>
              <w:jc w:val="right"/>
              <w:rPr>
                <w:lang w:eastAsia="en-GB"/>
              </w:rPr>
            </w:pPr>
            <w:r w:rsidRPr="00A52AEE">
              <w:rPr>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63ABC9BF" w14:textId="77777777" w:rsidR="00CB50A9" w:rsidRPr="00A52AEE" w:rsidRDefault="00CB50A9" w:rsidP="00F342FD">
            <w:pPr>
              <w:jc w:val="right"/>
              <w:rPr>
                <w:lang w:eastAsia="en-GB"/>
              </w:rPr>
            </w:pPr>
            <w:r w:rsidRPr="00A52AEE">
              <w:rPr>
                <w:lang w:eastAsia="en-GB"/>
              </w:rPr>
              <w:t>8%</w:t>
            </w:r>
          </w:p>
        </w:tc>
        <w:tc>
          <w:tcPr>
            <w:tcW w:w="1134" w:type="dxa"/>
            <w:tcBorders>
              <w:top w:val="nil"/>
              <w:left w:val="nil"/>
              <w:bottom w:val="single" w:sz="4" w:space="0" w:color="auto"/>
              <w:right w:val="single" w:sz="4" w:space="0" w:color="auto"/>
            </w:tcBorders>
            <w:shd w:val="clear" w:color="auto" w:fill="auto"/>
            <w:noWrap/>
            <w:vAlign w:val="center"/>
            <w:hideMark/>
          </w:tcPr>
          <w:p w14:paraId="506785F1" w14:textId="77777777" w:rsidR="00CB50A9" w:rsidRPr="00A52AEE" w:rsidRDefault="00CB50A9" w:rsidP="00F342FD">
            <w:pPr>
              <w:jc w:val="right"/>
              <w:rPr>
                <w:lang w:eastAsia="en-GB"/>
              </w:rPr>
            </w:pPr>
            <w:r w:rsidRPr="00A52AEE">
              <w:rPr>
                <w:lang w:eastAsia="en-GB"/>
              </w:rPr>
              <w:t>3%</w:t>
            </w:r>
          </w:p>
        </w:tc>
        <w:tc>
          <w:tcPr>
            <w:tcW w:w="1051" w:type="dxa"/>
            <w:tcBorders>
              <w:top w:val="nil"/>
              <w:left w:val="nil"/>
              <w:bottom w:val="single" w:sz="4" w:space="0" w:color="auto"/>
              <w:right w:val="single" w:sz="4" w:space="0" w:color="auto"/>
            </w:tcBorders>
            <w:shd w:val="clear" w:color="auto" w:fill="auto"/>
            <w:noWrap/>
            <w:vAlign w:val="center"/>
            <w:hideMark/>
          </w:tcPr>
          <w:p w14:paraId="2E8A5B6C" w14:textId="77777777" w:rsidR="00CB50A9" w:rsidRPr="00A52AEE" w:rsidRDefault="00CB50A9" w:rsidP="00F342FD">
            <w:pPr>
              <w:jc w:val="right"/>
              <w:rPr>
                <w:lang w:eastAsia="en-GB"/>
              </w:rPr>
            </w:pPr>
            <w:r w:rsidRPr="00A52AEE">
              <w:rPr>
                <w:lang w:eastAsia="en-GB"/>
              </w:rPr>
              <w:t>7%</w:t>
            </w:r>
          </w:p>
        </w:tc>
      </w:tr>
      <w:tr w:rsidR="00CB50A9" w:rsidRPr="00A52AEE" w14:paraId="30493805"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5852479E" w14:textId="77777777" w:rsidR="00CB50A9" w:rsidRPr="0022142D" w:rsidRDefault="00CB50A9" w:rsidP="00A52AEE">
            <w:pPr>
              <w:rPr>
                <w:b/>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6792590E" w14:textId="77777777" w:rsidR="00CB50A9" w:rsidRPr="00A52AEE" w:rsidRDefault="00CB50A9" w:rsidP="00A52AEE">
            <w:pPr>
              <w:rPr>
                <w:lang w:eastAsia="en-GB"/>
              </w:rPr>
            </w:pPr>
            <w:r w:rsidRPr="00A52AEE">
              <w:rPr>
                <w:lang w:eastAsia="en-GB"/>
              </w:rPr>
              <w:t>Sandwich</w:t>
            </w:r>
          </w:p>
        </w:tc>
        <w:tc>
          <w:tcPr>
            <w:tcW w:w="1098" w:type="dxa"/>
            <w:tcBorders>
              <w:top w:val="nil"/>
              <w:left w:val="nil"/>
              <w:bottom w:val="single" w:sz="4" w:space="0" w:color="auto"/>
              <w:right w:val="single" w:sz="4" w:space="0" w:color="auto"/>
            </w:tcBorders>
            <w:shd w:val="clear" w:color="auto" w:fill="auto"/>
            <w:noWrap/>
            <w:vAlign w:val="center"/>
            <w:hideMark/>
          </w:tcPr>
          <w:p w14:paraId="746F540F" w14:textId="77777777" w:rsidR="00CB50A9" w:rsidRPr="00A52AEE" w:rsidRDefault="00CB50A9" w:rsidP="00F342FD">
            <w:pPr>
              <w:jc w:val="right"/>
              <w:rPr>
                <w:lang w:eastAsia="en-GB"/>
              </w:rPr>
            </w:pPr>
            <w:r w:rsidRPr="00A52AEE">
              <w:rPr>
                <w:lang w:eastAsia="en-GB"/>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DF8CBD1" w14:textId="77777777" w:rsidR="00CB50A9" w:rsidRPr="00A52AEE" w:rsidRDefault="00CB50A9" w:rsidP="00F342FD">
            <w:pPr>
              <w:jc w:val="right"/>
              <w:rPr>
                <w:lang w:eastAsia="en-GB"/>
              </w:rPr>
            </w:pPr>
            <w:r w:rsidRPr="00A52AEE">
              <w:rPr>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B0013D" w14:textId="77777777" w:rsidR="00CB50A9" w:rsidRPr="00A52AEE" w:rsidRDefault="00CB50A9" w:rsidP="00F342FD">
            <w:pPr>
              <w:jc w:val="right"/>
              <w:rPr>
                <w:lang w:eastAsia="en-GB"/>
              </w:rPr>
            </w:pPr>
            <w:r w:rsidRPr="00A52AEE">
              <w:rPr>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2C8C28" w14:textId="77777777" w:rsidR="00CB50A9" w:rsidRPr="00A52AEE" w:rsidRDefault="00CB50A9" w:rsidP="00F342FD">
            <w:pPr>
              <w:jc w:val="right"/>
              <w:rPr>
                <w:lang w:eastAsia="en-GB"/>
              </w:rPr>
            </w:pPr>
            <w:r w:rsidRPr="00A52AEE">
              <w:rPr>
                <w:lang w:eastAsia="en-GB"/>
              </w:rPr>
              <w:t>1%</w:t>
            </w:r>
          </w:p>
        </w:tc>
        <w:tc>
          <w:tcPr>
            <w:tcW w:w="1051" w:type="dxa"/>
            <w:tcBorders>
              <w:top w:val="nil"/>
              <w:left w:val="nil"/>
              <w:bottom w:val="single" w:sz="4" w:space="0" w:color="auto"/>
              <w:right w:val="single" w:sz="4" w:space="0" w:color="auto"/>
            </w:tcBorders>
            <w:shd w:val="clear" w:color="auto" w:fill="auto"/>
            <w:noWrap/>
            <w:vAlign w:val="center"/>
            <w:hideMark/>
          </w:tcPr>
          <w:p w14:paraId="53098BE8" w14:textId="77777777" w:rsidR="00CB50A9" w:rsidRPr="00A52AEE" w:rsidRDefault="00CB50A9" w:rsidP="00F342FD">
            <w:pPr>
              <w:jc w:val="right"/>
              <w:rPr>
                <w:lang w:eastAsia="en-GB"/>
              </w:rPr>
            </w:pPr>
            <w:r w:rsidRPr="00A52AEE">
              <w:rPr>
                <w:lang w:eastAsia="en-GB"/>
              </w:rPr>
              <w:t>0%</w:t>
            </w:r>
          </w:p>
        </w:tc>
      </w:tr>
      <w:tr w:rsidR="00CB50A9" w:rsidRPr="00A52AEE" w14:paraId="0E43DE7E" w14:textId="77777777" w:rsidTr="00CB50A9">
        <w:trPr>
          <w:trHeight w:val="30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F6F182" w14:textId="31FAAD23" w:rsidR="00CB50A9" w:rsidRPr="0022142D" w:rsidRDefault="00F342FD" w:rsidP="00A52AEE">
            <w:pPr>
              <w:rPr>
                <w:b/>
                <w:lang w:eastAsia="en-GB"/>
              </w:rPr>
            </w:pPr>
            <w:r w:rsidRPr="0022142D">
              <w:rPr>
                <w:b/>
                <w:lang w:eastAsia="en-GB"/>
              </w:rPr>
              <w:t>Other U</w:t>
            </w:r>
            <w:r w:rsidR="00CB50A9" w:rsidRPr="0022142D">
              <w:rPr>
                <w:b/>
                <w:lang w:eastAsia="en-GB"/>
              </w:rPr>
              <w:t>ndergraduate</w:t>
            </w:r>
          </w:p>
        </w:tc>
        <w:tc>
          <w:tcPr>
            <w:tcW w:w="1170" w:type="dxa"/>
            <w:tcBorders>
              <w:top w:val="nil"/>
              <w:left w:val="nil"/>
              <w:bottom w:val="single" w:sz="4" w:space="0" w:color="auto"/>
              <w:right w:val="single" w:sz="4" w:space="0" w:color="auto"/>
            </w:tcBorders>
            <w:shd w:val="clear" w:color="auto" w:fill="auto"/>
            <w:noWrap/>
            <w:vAlign w:val="center"/>
            <w:hideMark/>
          </w:tcPr>
          <w:p w14:paraId="339BCBF6" w14:textId="77777777" w:rsidR="00CB50A9" w:rsidRPr="00A52AEE" w:rsidRDefault="00CB50A9" w:rsidP="00A52AEE">
            <w:pPr>
              <w:rPr>
                <w:lang w:eastAsia="en-GB"/>
              </w:rPr>
            </w:pPr>
            <w:r w:rsidRPr="00A52AEE">
              <w:rPr>
                <w:lang w:eastAsia="en-GB"/>
              </w:rPr>
              <w:t>Full-time</w:t>
            </w:r>
          </w:p>
        </w:tc>
        <w:tc>
          <w:tcPr>
            <w:tcW w:w="1098" w:type="dxa"/>
            <w:tcBorders>
              <w:top w:val="nil"/>
              <w:left w:val="nil"/>
              <w:bottom w:val="single" w:sz="4" w:space="0" w:color="auto"/>
              <w:right w:val="single" w:sz="4" w:space="0" w:color="auto"/>
            </w:tcBorders>
            <w:shd w:val="clear" w:color="auto" w:fill="auto"/>
            <w:noWrap/>
            <w:vAlign w:val="center"/>
            <w:hideMark/>
          </w:tcPr>
          <w:p w14:paraId="7AEC7DFF" w14:textId="77777777" w:rsidR="00CB50A9" w:rsidRPr="00A52AEE" w:rsidRDefault="00CB50A9" w:rsidP="00F342FD">
            <w:pPr>
              <w:jc w:val="right"/>
              <w:rPr>
                <w:lang w:eastAsia="en-GB"/>
              </w:rPr>
            </w:pPr>
            <w:r w:rsidRPr="00A52AEE">
              <w:rPr>
                <w:lang w:eastAsia="en-GB"/>
              </w:rPr>
              <w:t>52%</w:t>
            </w:r>
          </w:p>
        </w:tc>
        <w:tc>
          <w:tcPr>
            <w:tcW w:w="1134" w:type="dxa"/>
            <w:tcBorders>
              <w:top w:val="nil"/>
              <w:left w:val="nil"/>
              <w:bottom w:val="single" w:sz="4" w:space="0" w:color="auto"/>
              <w:right w:val="single" w:sz="4" w:space="0" w:color="auto"/>
            </w:tcBorders>
            <w:shd w:val="clear" w:color="auto" w:fill="auto"/>
            <w:noWrap/>
            <w:vAlign w:val="center"/>
            <w:hideMark/>
          </w:tcPr>
          <w:p w14:paraId="5DAA9379" w14:textId="77777777" w:rsidR="00CB50A9" w:rsidRPr="00A52AEE" w:rsidRDefault="00CB50A9" w:rsidP="00F342FD">
            <w:pPr>
              <w:jc w:val="right"/>
              <w:rPr>
                <w:lang w:eastAsia="en-GB"/>
              </w:rPr>
            </w:pPr>
            <w:r w:rsidRPr="00A52AEE">
              <w:rPr>
                <w:lang w:eastAsia="en-GB"/>
              </w:rPr>
              <w:t>56%</w:t>
            </w:r>
          </w:p>
        </w:tc>
        <w:tc>
          <w:tcPr>
            <w:tcW w:w="1134" w:type="dxa"/>
            <w:tcBorders>
              <w:top w:val="nil"/>
              <w:left w:val="nil"/>
              <w:bottom w:val="single" w:sz="4" w:space="0" w:color="auto"/>
              <w:right w:val="single" w:sz="4" w:space="0" w:color="auto"/>
            </w:tcBorders>
            <w:shd w:val="clear" w:color="auto" w:fill="auto"/>
            <w:noWrap/>
            <w:vAlign w:val="center"/>
            <w:hideMark/>
          </w:tcPr>
          <w:p w14:paraId="73E88243" w14:textId="77777777" w:rsidR="00CB50A9" w:rsidRPr="00A52AEE" w:rsidRDefault="00CB50A9" w:rsidP="00F342FD">
            <w:pPr>
              <w:jc w:val="right"/>
              <w:rPr>
                <w:lang w:eastAsia="en-GB"/>
              </w:rPr>
            </w:pPr>
            <w:r w:rsidRPr="00A52AEE">
              <w:rPr>
                <w:lang w:eastAsia="en-GB"/>
              </w:rPr>
              <w:t>58%</w:t>
            </w:r>
          </w:p>
        </w:tc>
        <w:tc>
          <w:tcPr>
            <w:tcW w:w="1134" w:type="dxa"/>
            <w:tcBorders>
              <w:top w:val="nil"/>
              <w:left w:val="nil"/>
              <w:bottom w:val="single" w:sz="4" w:space="0" w:color="auto"/>
              <w:right w:val="single" w:sz="4" w:space="0" w:color="auto"/>
            </w:tcBorders>
            <w:shd w:val="clear" w:color="auto" w:fill="auto"/>
            <w:noWrap/>
            <w:vAlign w:val="center"/>
            <w:hideMark/>
          </w:tcPr>
          <w:p w14:paraId="39DA4777" w14:textId="77777777" w:rsidR="00CB50A9" w:rsidRPr="00A52AEE" w:rsidRDefault="00CB50A9" w:rsidP="00F342FD">
            <w:pPr>
              <w:jc w:val="right"/>
              <w:rPr>
                <w:lang w:eastAsia="en-GB"/>
              </w:rPr>
            </w:pPr>
            <w:r w:rsidRPr="00A52AEE">
              <w:rPr>
                <w:lang w:eastAsia="en-GB"/>
              </w:rPr>
              <w:t>43%</w:t>
            </w:r>
          </w:p>
        </w:tc>
        <w:tc>
          <w:tcPr>
            <w:tcW w:w="1051" w:type="dxa"/>
            <w:tcBorders>
              <w:top w:val="nil"/>
              <w:left w:val="nil"/>
              <w:bottom w:val="single" w:sz="4" w:space="0" w:color="auto"/>
              <w:right w:val="single" w:sz="4" w:space="0" w:color="auto"/>
            </w:tcBorders>
            <w:shd w:val="clear" w:color="auto" w:fill="auto"/>
            <w:noWrap/>
            <w:vAlign w:val="center"/>
            <w:hideMark/>
          </w:tcPr>
          <w:p w14:paraId="05F47547" w14:textId="77777777" w:rsidR="00CB50A9" w:rsidRPr="00A52AEE" w:rsidRDefault="00CB50A9" w:rsidP="00F342FD">
            <w:pPr>
              <w:jc w:val="right"/>
              <w:rPr>
                <w:lang w:eastAsia="en-GB"/>
              </w:rPr>
            </w:pPr>
            <w:r w:rsidRPr="00A52AEE">
              <w:rPr>
                <w:lang w:eastAsia="en-GB"/>
              </w:rPr>
              <w:t>57%</w:t>
            </w:r>
          </w:p>
        </w:tc>
      </w:tr>
      <w:tr w:rsidR="00CB50A9" w:rsidRPr="00A52AEE" w14:paraId="164B811E"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5CBB3601" w14:textId="77777777" w:rsidR="00CB50A9" w:rsidRPr="00A52AEE" w:rsidRDefault="00CB50A9" w:rsidP="00A52AEE">
            <w:pPr>
              <w:rPr>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1513A0FA" w14:textId="77777777" w:rsidR="00CB50A9" w:rsidRPr="00A52AEE" w:rsidRDefault="00CB50A9" w:rsidP="00A52AEE">
            <w:pPr>
              <w:rPr>
                <w:lang w:eastAsia="en-GB"/>
              </w:rPr>
            </w:pPr>
            <w:r w:rsidRPr="00A52AEE">
              <w:rPr>
                <w:lang w:eastAsia="en-GB"/>
              </w:rPr>
              <w:t>Part-time</w:t>
            </w:r>
          </w:p>
        </w:tc>
        <w:tc>
          <w:tcPr>
            <w:tcW w:w="1098" w:type="dxa"/>
            <w:tcBorders>
              <w:top w:val="nil"/>
              <w:left w:val="nil"/>
              <w:bottom w:val="single" w:sz="4" w:space="0" w:color="auto"/>
              <w:right w:val="single" w:sz="4" w:space="0" w:color="auto"/>
            </w:tcBorders>
            <w:shd w:val="clear" w:color="auto" w:fill="auto"/>
            <w:noWrap/>
            <w:vAlign w:val="center"/>
            <w:hideMark/>
          </w:tcPr>
          <w:p w14:paraId="2D135DC7" w14:textId="77777777" w:rsidR="00CB50A9" w:rsidRPr="00A52AEE" w:rsidRDefault="00CB50A9" w:rsidP="00F342FD">
            <w:pPr>
              <w:jc w:val="right"/>
              <w:rPr>
                <w:lang w:eastAsia="en-GB"/>
              </w:rPr>
            </w:pPr>
            <w:r w:rsidRPr="00A52AEE">
              <w:rPr>
                <w:lang w:eastAsia="en-GB"/>
              </w:rPr>
              <w:t>47%</w:t>
            </w:r>
          </w:p>
        </w:tc>
        <w:tc>
          <w:tcPr>
            <w:tcW w:w="1134" w:type="dxa"/>
            <w:tcBorders>
              <w:top w:val="nil"/>
              <w:left w:val="nil"/>
              <w:bottom w:val="single" w:sz="4" w:space="0" w:color="auto"/>
              <w:right w:val="single" w:sz="4" w:space="0" w:color="auto"/>
            </w:tcBorders>
            <w:shd w:val="clear" w:color="auto" w:fill="auto"/>
            <w:noWrap/>
            <w:vAlign w:val="center"/>
            <w:hideMark/>
          </w:tcPr>
          <w:p w14:paraId="5B0175A8" w14:textId="77777777" w:rsidR="00CB50A9" w:rsidRPr="00A52AEE" w:rsidRDefault="00CB50A9" w:rsidP="00F342FD">
            <w:pPr>
              <w:jc w:val="right"/>
              <w:rPr>
                <w:lang w:eastAsia="en-GB"/>
              </w:rPr>
            </w:pPr>
            <w:r w:rsidRPr="00A52AEE">
              <w:rPr>
                <w:lang w:eastAsia="en-GB"/>
              </w:rPr>
              <w:t>44%</w:t>
            </w:r>
          </w:p>
        </w:tc>
        <w:tc>
          <w:tcPr>
            <w:tcW w:w="1134" w:type="dxa"/>
            <w:tcBorders>
              <w:top w:val="nil"/>
              <w:left w:val="nil"/>
              <w:bottom w:val="single" w:sz="4" w:space="0" w:color="auto"/>
              <w:right w:val="single" w:sz="4" w:space="0" w:color="auto"/>
            </w:tcBorders>
            <w:shd w:val="clear" w:color="auto" w:fill="auto"/>
            <w:noWrap/>
            <w:vAlign w:val="center"/>
            <w:hideMark/>
          </w:tcPr>
          <w:p w14:paraId="620B8A1E" w14:textId="77777777" w:rsidR="00CB50A9" w:rsidRPr="00A52AEE" w:rsidRDefault="00CB50A9" w:rsidP="00F342FD">
            <w:pPr>
              <w:jc w:val="right"/>
              <w:rPr>
                <w:lang w:eastAsia="en-GB"/>
              </w:rPr>
            </w:pPr>
            <w:r w:rsidRPr="00A52AEE">
              <w:rPr>
                <w:lang w:eastAsia="en-GB"/>
              </w:rPr>
              <w:t>41%</w:t>
            </w:r>
          </w:p>
        </w:tc>
        <w:tc>
          <w:tcPr>
            <w:tcW w:w="1134" w:type="dxa"/>
            <w:tcBorders>
              <w:top w:val="nil"/>
              <w:left w:val="nil"/>
              <w:bottom w:val="single" w:sz="4" w:space="0" w:color="auto"/>
              <w:right w:val="single" w:sz="4" w:space="0" w:color="auto"/>
            </w:tcBorders>
            <w:shd w:val="clear" w:color="auto" w:fill="auto"/>
            <w:noWrap/>
            <w:vAlign w:val="center"/>
            <w:hideMark/>
          </w:tcPr>
          <w:p w14:paraId="6FBE83CD" w14:textId="77777777" w:rsidR="00CB50A9" w:rsidRPr="00A52AEE" w:rsidRDefault="00CB50A9" w:rsidP="00F342FD">
            <w:pPr>
              <w:jc w:val="right"/>
              <w:rPr>
                <w:lang w:eastAsia="en-GB"/>
              </w:rPr>
            </w:pPr>
            <w:r w:rsidRPr="00A52AEE">
              <w:rPr>
                <w:lang w:eastAsia="en-GB"/>
              </w:rPr>
              <w:t>55%</w:t>
            </w:r>
          </w:p>
        </w:tc>
        <w:tc>
          <w:tcPr>
            <w:tcW w:w="1051" w:type="dxa"/>
            <w:tcBorders>
              <w:top w:val="nil"/>
              <w:left w:val="nil"/>
              <w:bottom w:val="single" w:sz="4" w:space="0" w:color="auto"/>
              <w:right w:val="single" w:sz="4" w:space="0" w:color="auto"/>
            </w:tcBorders>
            <w:shd w:val="clear" w:color="auto" w:fill="auto"/>
            <w:noWrap/>
            <w:vAlign w:val="center"/>
            <w:hideMark/>
          </w:tcPr>
          <w:p w14:paraId="7AD346AE" w14:textId="77777777" w:rsidR="00CB50A9" w:rsidRPr="00A52AEE" w:rsidRDefault="00CB50A9" w:rsidP="00F342FD">
            <w:pPr>
              <w:jc w:val="right"/>
              <w:rPr>
                <w:lang w:eastAsia="en-GB"/>
              </w:rPr>
            </w:pPr>
            <w:r w:rsidRPr="00A52AEE">
              <w:rPr>
                <w:lang w:eastAsia="en-GB"/>
              </w:rPr>
              <w:t>43%</w:t>
            </w:r>
          </w:p>
        </w:tc>
      </w:tr>
      <w:tr w:rsidR="00CB50A9" w:rsidRPr="00A52AEE" w14:paraId="6CCF8530" w14:textId="77777777" w:rsidTr="00CB50A9">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69A511C5" w14:textId="77777777" w:rsidR="00CB50A9" w:rsidRPr="00A52AEE" w:rsidRDefault="00CB50A9" w:rsidP="00A52AEE">
            <w:pPr>
              <w:rPr>
                <w:lang w:eastAsia="en-GB"/>
              </w:rPr>
            </w:pPr>
          </w:p>
        </w:tc>
        <w:tc>
          <w:tcPr>
            <w:tcW w:w="1170" w:type="dxa"/>
            <w:tcBorders>
              <w:top w:val="nil"/>
              <w:left w:val="nil"/>
              <w:bottom w:val="single" w:sz="4" w:space="0" w:color="auto"/>
              <w:right w:val="single" w:sz="4" w:space="0" w:color="auto"/>
            </w:tcBorders>
            <w:shd w:val="clear" w:color="auto" w:fill="auto"/>
            <w:noWrap/>
            <w:vAlign w:val="center"/>
            <w:hideMark/>
          </w:tcPr>
          <w:p w14:paraId="7CA7A368" w14:textId="77777777" w:rsidR="00CB50A9" w:rsidRPr="00A52AEE" w:rsidRDefault="00CB50A9" w:rsidP="00A52AEE">
            <w:pPr>
              <w:rPr>
                <w:lang w:eastAsia="en-GB"/>
              </w:rPr>
            </w:pPr>
            <w:r w:rsidRPr="00A52AEE">
              <w:rPr>
                <w:lang w:eastAsia="en-GB"/>
              </w:rPr>
              <w:t>Sandwich</w:t>
            </w:r>
          </w:p>
        </w:tc>
        <w:tc>
          <w:tcPr>
            <w:tcW w:w="1098" w:type="dxa"/>
            <w:tcBorders>
              <w:top w:val="nil"/>
              <w:left w:val="nil"/>
              <w:bottom w:val="single" w:sz="4" w:space="0" w:color="auto"/>
              <w:right w:val="single" w:sz="4" w:space="0" w:color="auto"/>
            </w:tcBorders>
            <w:shd w:val="clear" w:color="auto" w:fill="auto"/>
            <w:noWrap/>
            <w:vAlign w:val="center"/>
            <w:hideMark/>
          </w:tcPr>
          <w:p w14:paraId="4634BBC0" w14:textId="77777777" w:rsidR="00CB50A9" w:rsidRPr="00A52AEE" w:rsidRDefault="00CB50A9" w:rsidP="00F342FD">
            <w:pPr>
              <w:jc w:val="right"/>
              <w:rPr>
                <w:lang w:eastAsia="en-GB"/>
              </w:rPr>
            </w:pPr>
            <w:r w:rsidRPr="00A52AEE">
              <w:rPr>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0138F09" w14:textId="77777777" w:rsidR="00CB50A9" w:rsidRPr="00A52AEE" w:rsidRDefault="00CB50A9" w:rsidP="00F342FD">
            <w:pPr>
              <w:jc w:val="right"/>
              <w:rPr>
                <w:lang w:eastAsia="en-GB"/>
              </w:rPr>
            </w:pPr>
            <w:r w:rsidRPr="00A52AEE">
              <w:rPr>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96347C1" w14:textId="77777777" w:rsidR="00CB50A9" w:rsidRPr="00A52AEE" w:rsidRDefault="00CB50A9" w:rsidP="00F342FD">
            <w:pPr>
              <w:jc w:val="right"/>
              <w:rPr>
                <w:lang w:eastAsia="en-GB"/>
              </w:rPr>
            </w:pPr>
            <w:r w:rsidRPr="00A52AEE">
              <w:rPr>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0C477C7" w14:textId="77777777" w:rsidR="00CB50A9" w:rsidRPr="00A52AEE" w:rsidRDefault="00CB50A9" w:rsidP="00F342FD">
            <w:pPr>
              <w:jc w:val="right"/>
              <w:rPr>
                <w:lang w:eastAsia="en-GB"/>
              </w:rPr>
            </w:pPr>
            <w:r w:rsidRPr="00A52AEE">
              <w:rPr>
                <w:lang w:eastAsia="en-GB"/>
              </w:rPr>
              <w:t>2%</w:t>
            </w:r>
          </w:p>
        </w:tc>
        <w:tc>
          <w:tcPr>
            <w:tcW w:w="1051" w:type="dxa"/>
            <w:tcBorders>
              <w:top w:val="nil"/>
              <w:left w:val="nil"/>
              <w:bottom w:val="single" w:sz="4" w:space="0" w:color="auto"/>
              <w:right w:val="single" w:sz="4" w:space="0" w:color="auto"/>
            </w:tcBorders>
            <w:shd w:val="clear" w:color="auto" w:fill="auto"/>
            <w:noWrap/>
            <w:vAlign w:val="center"/>
            <w:hideMark/>
          </w:tcPr>
          <w:p w14:paraId="7C33DDC3" w14:textId="77777777" w:rsidR="00CB50A9" w:rsidRPr="00A52AEE" w:rsidRDefault="00CB50A9" w:rsidP="00F342FD">
            <w:pPr>
              <w:jc w:val="right"/>
              <w:rPr>
                <w:lang w:eastAsia="en-GB"/>
              </w:rPr>
            </w:pPr>
            <w:r w:rsidRPr="00A52AEE">
              <w:rPr>
                <w:lang w:eastAsia="en-GB"/>
              </w:rPr>
              <w:t>0%</w:t>
            </w:r>
          </w:p>
        </w:tc>
      </w:tr>
    </w:tbl>
    <w:p w14:paraId="7E5E7D37" w14:textId="77777777" w:rsidR="00165CF8" w:rsidRPr="00A52AEE" w:rsidRDefault="00165CF8" w:rsidP="00A52AEE">
      <w:pPr>
        <w:rPr>
          <w:lang w:eastAsia="en-GB"/>
        </w:rPr>
      </w:pPr>
    </w:p>
    <w:p w14:paraId="1A9C3012" w14:textId="1D9017CE" w:rsidR="00165CF8" w:rsidRPr="00A52AEE" w:rsidRDefault="00165CF8" w:rsidP="00A52AEE">
      <w:pPr>
        <w:rPr>
          <w:lang w:eastAsia="en-GB"/>
        </w:rPr>
      </w:pPr>
      <w:r w:rsidRPr="00A52AEE">
        <w:rPr>
          <w:lang w:eastAsia="en-GB"/>
        </w:rPr>
        <w:t xml:space="preserve">The next table looks at mode of HE study </w:t>
      </w:r>
      <w:r w:rsidR="00876A87" w:rsidRPr="00A52AEE">
        <w:rPr>
          <w:lang w:eastAsia="en-GB"/>
        </w:rPr>
        <w:t xml:space="preserve">(prescribed) </w:t>
      </w:r>
      <w:r w:rsidRPr="00A52AEE">
        <w:rPr>
          <w:lang w:eastAsia="en-GB"/>
        </w:rPr>
        <w:t xml:space="preserve">and </w:t>
      </w:r>
      <w:r w:rsidR="00876A87" w:rsidRPr="00A52AEE">
        <w:rPr>
          <w:lang w:eastAsia="en-GB"/>
        </w:rPr>
        <w:t xml:space="preserve">the </w:t>
      </w:r>
      <w:r w:rsidRPr="00A52AEE">
        <w:rPr>
          <w:lang w:eastAsia="en-GB"/>
        </w:rPr>
        <w:t xml:space="preserve">sector skills area of the </w:t>
      </w:r>
      <w:r w:rsidR="0021637B" w:rsidRPr="00A52AEE">
        <w:rPr>
          <w:lang w:eastAsia="en-GB"/>
        </w:rPr>
        <w:t>Level</w:t>
      </w:r>
      <w:r w:rsidRPr="00A52AEE">
        <w:rPr>
          <w:lang w:eastAsia="en-GB"/>
        </w:rPr>
        <w:t xml:space="preserve"> 3 FE qualification of entrants. Clearly, </w:t>
      </w:r>
      <w:r w:rsidR="00876A87" w:rsidRPr="00A52AEE">
        <w:rPr>
          <w:lang w:eastAsia="en-GB"/>
        </w:rPr>
        <w:t>students entering HE from specific</w:t>
      </w:r>
      <w:r w:rsidRPr="00A52AEE">
        <w:rPr>
          <w:lang w:eastAsia="en-GB"/>
        </w:rPr>
        <w:t xml:space="preserve"> FE subject areas </w:t>
      </w:r>
      <w:r w:rsidR="00876A87" w:rsidRPr="00A52AEE">
        <w:rPr>
          <w:lang w:eastAsia="en-GB"/>
        </w:rPr>
        <w:t>are more likely to</w:t>
      </w:r>
      <w:r w:rsidRPr="00A52AEE">
        <w:rPr>
          <w:lang w:eastAsia="en-GB"/>
        </w:rPr>
        <w:t xml:space="preserve"> progress</w:t>
      </w:r>
      <w:r w:rsidR="00876A87" w:rsidRPr="00A52AEE">
        <w:rPr>
          <w:lang w:eastAsia="en-GB"/>
        </w:rPr>
        <w:t xml:space="preserve"> to part-time study in HE than from other subject areas.  Where only 1% of HE entrants who were studying an FE subject related to Social Sciences were in part-time study, 41% of entrants from Construction, Planning and Built Environment were studying higher education on a part-time basis. Students in FE studying a subject related to Retail and Commercial Enterprise are also more likely than average to study HE part-time.</w:t>
      </w:r>
    </w:p>
    <w:p w14:paraId="6F10ABDD" w14:textId="77777777" w:rsidR="00876A87" w:rsidRPr="00A52AEE" w:rsidRDefault="00876A87" w:rsidP="00A52AEE">
      <w:pPr>
        <w:rPr>
          <w:lang w:eastAsia="en-GB"/>
        </w:rPr>
      </w:pPr>
    </w:p>
    <w:p w14:paraId="2CD7BCAC" w14:textId="0B45731B" w:rsidR="00876A87" w:rsidRPr="00F342FD" w:rsidRDefault="0022142D" w:rsidP="00A52AEE">
      <w:pPr>
        <w:rPr>
          <w:b/>
          <w:lang w:eastAsia="en-GB"/>
        </w:rPr>
      </w:pPr>
      <w:r>
        <w:rPr>
          <w:b/>
          <w:lang w:eastAsia="en-GB"/>
        </w:rPr>
        <w:t>Table 31</w:t>
      </w:r>
      <w:r w:rsidR="00CB50A9" w:rsidRPr="00F342FD">
        <w:rPr>
          <w:b/>
          <w:lang w:eastAsia="en-GB"/>
        </w:rPr>
        <w:t xml:space="preserve">: </w:t>
      </w:r>
      <w:r w:rsidR="00876A87" w:rsidRPr="00F342FD">
        <w:rPr>
          <w:b/>
          <w:lang w:eastAsia="en-GB"/>
        </w:rPr>
        <w:t xml:space="preserve"> Sector Skills area and mode of HE study</w:t>
      </w:r>
    </w:p>
    <w:p w14:paraId="6E5DFBBE" w14:textId="77777777" w:rsidR="00CB50A9" w:rsidRPr="00A52AEE" w:rsidRDefault="00CB50A9" w:rsidP="00A52AEE">
      <w:pPr>
        <w:rPr>
          <w:lang w:eastAsia="en-GB"/>
        </w:rPr>
      </w:pPr>
    </w:p>
    <w:tbl>
      <w:tblPr>
        <w:tblW w:w="4758" w:type="pct"/>
        <w:tblLayout w:type="fixed"/>
        <w:tblLook w:val="04A0" w:firstRow="1" w:lastRow="0" w:firstColumn="1" w:lastColumn="0" w:noHBand="0" w:noVBand="1"/>
      </w:tblPr>
      <w:tblGrid>
        <w:gridCol w:w="5080"/>
        <w:gridCol w:w="1243"/>
        <w:gridCol w:w="1383"/>
        <w:gridCol w:w="1383"/>
      </w:tblGrid>
      <w:tr w:rsidR="00CB50A9" w:rsidRPr="00F342FD" w14:paraId="6C973433" w14:textId="77777777" w:rsidTr="00CB50A9">
        <w:trPr>
          <w:trHeight w:val="300"/>
        </w:trPr>
        <w:tc>
          <w:tcPr>
            <w:tcW w:w="2794" w:type="pct"/>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6083573F" w14:textId="77777777" w:rsidR="00165CF8" w:rsidRPr="00F342FD" w:rsidRDefault="00165CF8" w:rsidP="00F342FD">
            <w:pPr>
              <w:rPr>
                <w:b/>
                <w:color w:val="FFFFFF" w:themeColor="background1"/>
                <w:lang w:eastAsia="en-GB"/>
              </w:rPr>
            </w:pPr>
            <w:r w:rsidRPr="00F342FD">
              <w:rPr>
                <w:b/>
                <w:color w:val="FFFFFF" w:themeColor="background1"/>
                <w:lang w:eastAsia="en-GB"/>
              </w:rPr>
              <w:t>Sector Skills Area of Level 3 Qualification</w:t>
            </w:r>
          </w:p>
        </w:tc>
        <w:tc>
          <w:tcPr>
            <w:tcW w:w="2206" w:type="pct"/>
            <w:gridSpan w:val="3"/>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29B70067" w14:textId="77777777" w:rsidR="00165CF8" w:rsidRPr="00F342FD" w:rsidRDefault="00165CF8" w:rsidP="00F342FD">
            <w:pPr>
              <w:jc w:val="center"/>
              <w:rPr>
                <w:b/>
                <w:color w:val="FFFFFF" w:themeColor="background1"/>
                <w:lang w:eastAsia="en-GB"/>
              </w:rPr>
            </w:pPr>
            <w:r w:rsidRPr="00F342FD">
              <w:rPr>
                <w:b/>
                <w:color w:val="FFFFFF" w:themeColor="background1"/>
                <w:lang w:eastAsia="en-GB"/>
              </w:rPr>
              <w:t>Prescribed HE</w:t>
            </w:r>
          </w:p>
        </w:tc>
      </w:tr>
      <w:tr w:rsidR="00CB50A9" w:rsidRPr="00F342FD" w14:paraId="0566887F" w14:textId="77777777" w:rsidTr="00CB50A9">
        <w:trPr>
          <w:trHeight w:val="300"/>
        </w:trPr>
        <w:tc>
          <w:tcPr>
            <w:tcW w:w="2794" w:type="pct"/>
            <w:vMerge/>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7FBA7EFC" w14:textId="77777777" w:rsidR="00165CF8" w:rsidRPr="00F342FD" w:rsidRDefault="00165CF8" w:rsidP="00F342FD">
            <w:pPr>
              <w:jc w:val="center"/>
              <w:rPr>
                <w:b/>
                <w:color w:val="FFFFFF" w:themeColor="background1"/>
                <w:lang w:eastAsia="en-GB"/>
              </w:rPr>
            </w:pPr>
          </w:p>
        </w:tc>
        <w:tc>
          <w:tcPr>
            <w:tcW w:w="684" w:type="pct"/>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30A6907E" w14:textId="77777777" w:rsidR="00165CF8" w:rsidRPr="00F342FD" w:rsidRDefault="00165CF8" w:rsidP="00F342FD">
            <w:pPr>
              <w:jc w:val="center"/>
              <w:rPr>
                <w:b/>
                <w:color w:val="FFFFFF" w:themeColor="background1"/>
                <w:lang w:eastAsia="en-GB"/>
              </w:rPr>
            </w:pPr>
            <w:r w:rsidRPr="00F342FD">
              <w:rPr>
                <w:b/>
                <w:color w:val="FFFFFF" w:themeColor="background1"/>
                <w:lang w:eastAsia="en-GB"/>
              </w:rPr>
              <w:t>Full-time</w:t>
            </w:r>
          </w:p>
        </w:tc>
        <w:tc>
          <w:tcPr>
            <w:tcW w:w="761" w:type="pct"/>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010210DD" w14:textId="77777777" w:rsidR="00165CF8" w:rsidRPr="00F342FD" w:rsidRDefault="00165CF8" w:rsidP="00F342FD">
            <w:pPr>
              <w:jc w:val="center"/>
              <w:rPr>
                <w:b/>
                <w:color w:val="FFFFFF" w:themeColor="background1"/>
                <w:lang w:eastAsia="en-GB"/>
              </w:rPr>
            </w:pPr>
            <w:r w:rsidRPr="00F342FD">
              <w:rPr>
                <w:b/>
                <w:color w:val="FFFFFF" w:themeColor="background1"/>
                <w:lang w:eastAsia="en-GB"/>
              </w:rPr>
              <w:t>Part-time</w:t>
            </w:r>
          </w:p>
        </w:tc>
        <w:tc>
          <w:tcPr>
            <w:tcW w:w="761" w:type="pct"/>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474D8EA7" w14:textId="77777777" w:rsidR="00165CF8" w:rsidRPr="00F342FD" w:rsidRDefault="00165CF8" w:rsidP="00F342FD">
            <w:pPr>
              <w:jc w:val="center"/>
              <w:rPr>
                <w:b/>
                <w:color w:val="FFFFFF" w:themeColor="background1"/>
                <w:lang w:eastAsia="en-GB"/>
              </w:rPr>
            </w:pPr>
            <w:r w:rsidRPr="00F342FD">
              <w:rPr>
                <w:b/>
                <w:color w:val="FFFFFF" w:themeColor="background1"/>
                <w:lang w:eastAsia="en-GB"/>
              </w:rPr>
              <w:t>Sandwich</w:t>
            </w:r>
          </w:p>
        </w:tc>
      </w:tr>
      <w:tr w:rsidR="00165CF8" w:rsidRPr="00A52AEE" w14:paraId="009A945D" w14:textId="77777777" w:rsidTr="00CB50A9">
        <w:trPr>
          <w:trHeight w:val="300"/>
        </w:trPr>
        <w:tc>
          <w:tcPr>
            <w:tcW w:w="279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98F1753" w14:textId="77777777" w:rsidR="00165CF8" w:rsidRPr="00A52AEE" w:rsidRDefault="00165CF8" w:rsidP="00A52AEE">
            <w:pPr>
              <w:rPr>
                <w:lang w:eastAsia="en-GB"/>
              </w:rPr>
            </w:pPr>
            <w:r w:rsidRPr="00A52AEE">
              <w:rPr>
                <w:lang w:eastAsia="en-GB"/>
              </w:rPr>
              <w:t>Health, Public Services and Care</w:t>
            </w:r>
          </w:p>
        </w:tc>
        <w:tc>
          <w:tcPr>
            <w:tcW w:w="684" w:type="pct"/>
            <w:tcBorders>
              <w:top w:val="single" w:sz="12" w:space="0" w:color="auto"/>
              <w:left w:val="nil"/>
              <w:bottom w:val="single" w:sz="4" w:space="0" w:color="auto"/>
              <w:right w:val="single" w:sz="4" w:space="0" w:color="auto"/>
            </w:tcBorders>
            <w:shd w:val="clear" w:color="auto" w:fill="auto"/>
            <w:noWrap/>
            <w:vAlign w:val="bottom"/>
            <w:hideMark/>
          </w:tcPr>
          <w:p w14:paraId="117EA4EB" w14:textId="77777777" w:rsidR="00165CF8" w:rsidRPr="00A52AEE" w:rsidRDefault="00165CF8" w:rsidP="009A2373">
            <w:pPr>
              <w:jc w:val="right"/>
              <w:rPr>
                <w:lang w:eastAsia="en-GB"/>
              </w:rPr>
            </w:pPr>
            <w:r w:rsidRPr="00A52AEE">
              <w:rPr>
                <w:lang w:eastAsia="en-GB"/>
              </w:rPr>
              <w:t>92%</w:t>
            </w:r>
          </w:p>
        </w:tc>
        <w:tc>
          <w:tcPr>
            <w:tcW w:w="761" w:type="pct"/>
            <w:tcBorders>
              <w:top w:val="single" w:sz="12" w:space="0" w:color="auto"/>
              <w:left w:val="nil"/>
              <w:bottom w:val="single" w:sz="4" w:space="0" w:color="auto"/>
              <w:right w:val="single" w:sz="4" w:space="0" w:color="auto"/>
            </w:tcBorders>
            <w:shd w:val="clear" w:color="auto" w:fill="auto"/>
            <w:noWrap/>
            <w:vAlign w:val="bottom"/>
            <w:hideMark/>
          </w:tcPr>
          <w:p w14:paraId="42899613" w14:textId="77777777" w:rsidR="00165CF8" w:rsidRPr="00A52AEE" w:rsidRDefault="00165CF8" w:rsidP="009A2373">
            <w:pPr>
              <w:jc w:val="right"/>
              <w:rPr>
                <w:lang w:eastAsia="en-GB"/>
              </w:rPr>
            </w:pPr>
            <w:r w:rsidRPr="00A52AEE">
              <w:rPr>
                <w:lang w:eastAsia="en-GB"/>
              </w:rPr>
              <w:t>6%</w:t>
            </w:r>
          </w:p>
        </w:tc>
        <w:tc>
          <w:tcPr>
            <w:tcW w:w="761" w:type="pct"/>
            <w:tcBorders>
              <w:top w:val="single" w:sz="12" w:space="0" w:color="auto"/>
              <w:left w:val="nil"/>
              <w:bottom w:val="single" w:sz="4" w:space="0" w:color="auto"/>
              <w:right w:val="single" w:sz="4" w:space="0" w:color="auto"/>
            </w:tcBorders>
            <w:shd w:val="clear" w:color="auto" w:fill="auto"/>
            <w:noWrap/>
            <w:vAlign w:val="bottom"/>
            <w:hideMark/>
          </w:tcPr>
          <w:p w14:paraId="334F346A" w14:textId="77777777" w:rsidR="00165CF8" w:rsidRPr="00A52AEE" w:rsidRDefault="00165CF8" w:rsidP="009A2373">
            <w:pPr>
              <w:jc w:val="right"/>
              <w:rPr>
                <w:lang w:eastAsia="en-GB"/>
              </w:rPr>
            </w:pPr>
            <w:r w:rsidRPr="00A52AEE">
              <w:rPr>
                <w:lang w:eastAsia="en-GB"/>
              </w:rPr>
              <w:t>2%</w:t>
            </w:r>
          </w:p>
        </w:tc>
      </w:tr>
      <w:tr w:rsidR="00165CF8" w:rsidRPr="00A52AEE" w14:paraId="37F01B96"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453A5CB2" w14:textId="77777777" w:rsidR="00165CF8" w:rsidRPr="00A52AEE" w:rsidRDefault="00165CF8" w:rsidP="00A52AEE">
            <w:pPr>
              <w:rPr>
                <w:lang w:eastAsia="en-GB"/>
              </w:rPr>
            </w:pPr>
            <w:r w:rsidRPr="00A52AEE">
              <w:rPr>
                <w:lang w:eastAsia="en-GB"/>
              </w:rPr>
              <w:t>Science and Mathematics</w:t>
            </w:r>
          </w:p>
        </w:tc>
        <w:tc>
          <w:tcPr>
            <w:tcW w:w="684" w:type="pct"/>
            <w:tcBorders>
              <w:top w:val="nil"/>
              <w:left w:val="nil"/>
              <w:bottom w:val="single" w:sz="4" w:space="0" w:color="auto"/>
              <w:right w:val="single" w:sz="4" w:space="0" w:color="auto"/>
            </w:tcBorders>
            <w:shd w:val="clear" w:color="auto" w:fill="auto"/>
            <w:noWrap/>
            <w:vAlign w:val="bottom"/>
            <w:hideMark/>
          </w:tcPr>
          <w:p w14:paraId="6B02F93F" w14:textId="77777777" w:rsidR="00165CF8" w:rsidRPr="00A52AEE" w:rsidRDefault="00165CF8" w:rsidP="009A2373">
            <w:pPr>
              <w:jc w:val="right"/>
              <w:rPr>
                <w:lang w:eastAsia="en-GB"/>
              </w:rPr>
            </w:pPr>
            <w:r w:rsidRPr="00A52AEE">
              <w:rPr>
                <w:lang w:eastAsia="en-GB"/>
              </w:rPr>
              <w:t>89%</w:t>
            </w:r>
          </w:p>
        </w:tc>
        <w:tc>
          <w:tcPr>
            <w:tcW w:w="761" w:type="pct"/>
            <w:tcBorders>
              <w:top w:val="nil"/>
              <w:left w:val="nil"/>
              <w:bottom w:val="single" w:sz="4" w:space="0" w:color="auto"/>
              <w:right w:val="single" w:sz="4" w:space="0" w:color="auto"/>
            </w:tcBorders>
            <w:shd w:val="clear" w:color="auto" w:fill="auto"/>
            <w:noWrap/>
            <w:vAlign w:val="bottom"/>
            <w:hideMark/>
          </w:tcPr>
          <w:p w14:paraId="6C20D05C" w14:textId="77777777" w:rsidR="00165CF8" w:rsidRPr="00A52AEE" w:rsidRDefault="00165CF8" w:rsidP="009A2373">
            <w:pPr>
              <w:jc w:val="right"/>
              <w:rPr>
                <w:lang w:eastAsia="en-GB"/>
              </w:rPr>
            </w:pPr>
            <w:r w:rsidRPr="00A52AEE">
              <w:rPr>
                <w:lang w:eastAsia="en-GB"/>
              </w:rPr>
              <w:t>1%</w:t>
            </w:r>
          </w:p>
        </w:tc>
        <w:tc>
          <w:tcPr>
            <w:tcW w:w="761" w:type="pct"/>
            <w:tcBorders>
              <w:top w:val="nil"/>
              <w:left w:val="nil"/>
              <w:bottom w:val="single" w:sz="4" w:space="0" w:color="auto"/>
              <w:right w:val="single" w:sz="4" w:space="0" w:color="auto"/>
            </w:tcBorders>
            <w:shd w:val="clear" w:color="auto" w:fill="auto"/>
            <w:noWrap/>
            <w:vAlign w:val="bottom"/>
            <w:hideMark/>
          </w:tcPr>
          <w:p w14:paraId="41E6379B" w14:textId="77777777" w:rsidR="00165CF8" w:rsidRPr="00A52AEE" w:rsidRDefault="00165CF8" w:rsidP="009A2373">
            <w:pPr>
              <w:jc w:val="right"/>
              <w:rPr>
                <w:lang w:eastAsia="en-GB"/>
              </w:rPr>
            </w:pPr>
            <w:r w:rsidRPr="00A52AEE">
              <w:rPr>
                <w:lang w:eastAsia="en-GB"/>
              </w:rPr>
              <w:t>10%</w:t>
            </w:r>
          </w:p>
        </w:tc>
      </w:tr>
      <w:tr w:rsidR="00165CF8" w:rsidRPr="00A52AEE" w14:paraId="55DD45A7"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115F2103" w14:textId="77777777" w:rsidR="00165CF8" w:rsidRPr="00A52AEE" w:rsidRDefault="00165CF8" w:rsidP="00A52AEE">
            <w:pPr>
              <w:rPr>
                <w:lang w:eastAsia="en-GB"/>
              </w:rPr>
            </w:pPr>
            <w:r w:rsidRPr="00A52AEE">
              <w:rPr>
                <w:lang w:eastAsia="en-GB"/>
              </w:rPr>
              <w:t>Agriculture, Horticulture and Animal Care</w:t>
            </w:r>
          </w:p>
        </w:tc>
        <w:tc>
          <w:tcPr>
            <w:tcW w:w="684" w:type="pct"/>
            <w:tcBorders>
              <w:top w:val="nil"/>
              <w:left w:val="nil"/>
              <w:bottom w:val="single" w:sz="4" w:space="0" w:color="auto"/>
              <w:right w:val="single" w:sz="4" w:space="0" w:color="auto"/>
            </w:tcBorders>
            <w:shd w:val="clear" w:color="auto" w:fill="auto"/>
            <w:noWrap/>
            <w:vAlign w:val="bottom"/>
            <w:hideMark/>
          </w:tcPr>
          <w:p w14:paraId="09822990" w14:textId="77777777" w:rsidR="00165CF8" w:rsidRPr="00A52AEE" w:rsidRDefault="00165CF8" w:rsidP="009A2373">
            <w:pPr>
              <w:jc w:val="right"/>
              <w:rPr>
                <w:lang w:eastAsia="en-GB"/>
              </w:rPr>
            </w:pPr>
            <w:r w:rsidRPr="00A52AEE">
              <w:rPr>
                <w:lang w:eastAsia="en-GB"/>
              </w:rPr>
              <w:t>79%</w:t>
            </w:r>
          </w:p>
        </w:tc>
        <w:tc>
          <w:tcPr>
            <w:tcW w:w="761" w:type="pct"/>
            <w:tcBorders>
              <w:top w:val="nil"/>
              <w:left w:val="nil"/>
              <w:bottom w:val="single" w:sz="4" w:space="0" w:color="auto"/>
              <w:right w:val="single" w:sz="4" w:space="0" w:color="auto"/>
            </w:tcBorders>
            <w:shd w:val="clear" w:color="auto" w:fill="auto"/>
            <w:noWrap/>
            <w:vAlign w:val="bottom"/>
            <w:hideMark/>
          </w:tcPr>
          <w:p w14:paraId="61813900" w14:textId="77777777" w:rsidR="00165CF8" w:rsidRPr="00A52AEE" w:rsidRDefault="00165CF8" w:rsidP="009A2373">
            <w:pPr>
              <w:jc w:val="right"/>
              <w:rPr>
                <w:lang w:eastAsia="en-GB"/>
              </w:rPr>
            </w:pPr>
            <w:r w:rsidRPr="00A52AEE">
              <w:rPr>
                <w:lang w:eastAsia="en-GB"/>
              </w:rPr>
              <w:t>18%</w:t>
            </w:r>
          </w:p>
        </w:tc>
        <w:tc>
          <w:tcPr>
            <w:tcW w:w="761" w:type="pct"/>
            <w:tcBorders>
              <w:top w:val="nil"/>
              <w:left w:val="nil"/>
              <w:bottom w:val="single" w:sz="4" w:space="0" w:color="auto"/>
              <w:right w:val="single" w:sz="4" w:space="0" w:color="auto"/>
            </w:tcBorders>
            <w:shd w:val="clear" w:color="auto" w:fill="auto"/>
            <w:noWrap/>
            <w:vAlign w:val="bottom"/>
            <w:hideMark/>
          </w:tcPr>
          <w:p w14:paraId="35749DFA" w14:textId="77777777" w:rsidR="00165CF8" w:rsidRPr="00A52AEE" w:rsidRDefault="00165CF8" w:rsidP="009A2373">
            <w:pPr>
              <w:jc w:val="right"/>
              <w:rPr>
                <w:lang w:eastAsia="en-GB"/>
              </w:rPr>
            </w:pPr>
            <w:r w:rsidRPr="00A52AEE">
              <w:rPr>
                <w:lang w:eastAsia="en-GB"/>
              </w:rPr>
              <w:t>4%</w:t>
            </w:r>
          </w:p>
        </w:tc>
      </w:tr>
      <w:tr w:rsidR="00165CF8" w:rsidRPr="00A52AEE" w14:paraId="40564A71"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24C5FC99" w14:textId="77777777" w:rsidR="00165CF8" w:rsidRPr="00A52AEE" w:rsidRDefault="00165CF8" w:rsidP="00A52AEE">
            <w:pPr>
              <w:rPr>
                <w:lang w:eastAsia="en-GB"/>
              </w:rPr>
            </w:pPr>
            <w:r w:rsidRPr="00A52AEE">
              <w:rPr>
                <w:lang w:eastAsia="en-GB"/>
              </w:rPr>
              <w:t>Engineering and Manufacturing Technologies</w:t>
            </w:r>
          </w:p>
        </w:tc>
        <w:tc>
          <w:tcPr>
            <w:tcW w:w="684" w:type="pct"/>
            <w:tcBorders>
              <w:top w:val="nil"/>
              <w:left w:val="nil"/>
              <w:bottom w:val="single" w:sz="4" w:space="0" w:color="auto"/>
              <w:right w:val="single" w:sz="4" w:space="0" w:color="auto"/>
            </w:tcBorders>
            <w:shd w:val="clear" w:color="auto" w:fill="auto"/>
            <w:noWrap/>
            <w:vAlign w:val="bottom"/>
            <w:hideMark/>
          </w:tcPr>
          <w:p w14:paraId="5A7846C2" w14:textId="77777777" w:rsidR="00165CF8" w:rsidRPr="00A52AEE" w:rsidRDefault="00165CF8" w:rsidP="009A2373">
            <w:pPr>
              <w:jc w:val="right"/>
              <w:rPr>
                <w:lang w:eastAsia="en-GB"/>
              </w:rPr>
            </w:pPr>
            <w:r w:rsidRPr="00A52AEE">
              <w:rPr>
                <w:lang w:eastAsia="en-GB"/>
              </w:rPr>
              <w:t>69%</w:t>
            </w:r>
          </w:p>
        </w:tc>
        <w:tc>
          <w:tcPr>
            <w:tcW w:w="761" w:type="pct"/>
            <w:tcBorders>
              <w:top w:val="nil"/>
              <w:left w:val="nil"/>
              <w:bottom w:val="single" w:sz="4" w:space="0" w:color="auto"/>
              <w:right w:val="single" w:sz="4" w:space="0" w:color="auto"/>
            </w:tcBorders>
            <w:shd w:val="clear" w:color="auto" w:fill="auto"/>
            <w:noWrap/>
            <w:vAlign w:val="bottom"/>
            <w:hideMark/>
          </w:tcPr>
          <w:p w14:paraId="533F5DC3" w14:textId="77777777" w:rsidR="00165CF8" w:rsidRPr="00A52AEE" w:rsidRDefault="00165CF8" w:rsidP="009A2373">
            <w:pPr>
              <w:jc w:val="right"/>
              <w:rPr>
                <w:lang w:eastAsia="en-GB"/>
              </w:rPr>
            </w:pPr>
            <w:r w:rsidRPr="00A52AEE">
              <w:rPr>
                <w:lang w:eastAsia="en-GB"/>
              </w:rPr>
              <w:t>8%</w:t>
            </w:r>
          </w:p>
        </w:tc>
        <w:tc>
          <w:tcPr>
            <w:tcW w:w="761" w:type="pct"/>
            <w:tcBorders>
              <w:top w:val="nil"/>
              <w:left w:val="nil"/>
              <w:bottom w:val="single" w:sz="4" w:space="0" w:color="auto"/>
              <w:right w:val="single" w:sz="4" w:space="0" w:color="auto"/>
            </w:tcBorders>
            <w:shd w:val="clear" w:color="auto" w:fill="auto"/>
            <w:noWrap/>
            <w:vAlign w:val="bottom"/>
            <w:hideMark/>
          </w:tcPr>
          <w:p w14:paraId="40FCE126" w14:textId="77777777" w:rsidR="00165CF8" w:rsidRPr="00A52AEE" w:rsidRDefault="00165CF8" w:rsidP="009A2373">
            <w:pPr>
              <w:jc w:val="right"/>
              <w:rPr>
                <w:lang w:eastAsia="en-GB"/>
              </w:rPr>
            </w:pPr>
            <w:r w:rsidRPr="00A52AEE">
              <w:rPr>
                <w:lang w:eastAsia="en-GB"/>
              </w:rPr>
              <w:t>23%</w:t>
            </w:r>
          </w:p>
        </w:tc>
      </w:tr>
      <w:tr w:rsidR="00165CF8" w:rsidRPr="00A52AEE" w14:paraId="5952A796"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4972B082" w14:textId="77777777" w:rsidR="00165CF8" w:rsidRPr="00A52AEE" w:rsidRDefault="00165CF8" w:rsidP="00A52AEE">
            <w:pPr>
              <w:rPr>
                <w:lang w:eastAsia="en-GB"/>
              </w:rPr>
            </w:pPr>
            <w:r w:rsidRPr="00A52AEE">
              <w:rPr>
                <w:lang w:eastAsia="en-GB"/>
              </w:rPr>
              <w:t>Construction, Planning and the Built Environment</w:t>
            </w:r>
          </w:p>
        </w:tc>
        <w:tc>
          <w:tcPr>
            <w:tcW w:w="684" w:type="pct"/>
            <w:tcBorders>
              <w:top w:val="nil"/>
              <w:left w:val="nil"/>
              <w:bottom w:val="single" w:sz="4" w:space="0" w:color="auto"/>
              <w:right w:val="single" w:sz="4" w:space="0" w:color="auto"/>
            </w:tcBorders>
            <w:shd w:val="clear" w:color="auto" w:fill="auto"/>
            <w:noWrap/>
            <w:vAlign w:val="bottom"/>
            <w:hideMark/>
          </w:tcPr>
          <w:p w14:paraId="4FEA54CD" w14:textId="77777777" w:rsidR="00165CF8" w:rsidRPr="00A52AEE" w:rsidRDefault="00165CF8" w:rsidP="009A2373">
            <w:pPr>
              <w:jc w:val="right"/>
              <w:rPr>
                <w:lang w:eastAsia="en-GB"/>
              </w:rPr>
            </w:pPr>
            <w:r w:rsidRPr="00A52AEE">
              <w:rPr>
                <w:lang w:eastAsia="en-GB"/>
              </w:rPr>
              <w:t>52%</w:t>
            </w:r>
          </w:p>
        </w:tc>
        <w:tc>
          <w:tcPr>
            <w:tcW w:w="761" w:type="pct"/>
            <w:tcBorders>
              <w:top w:val="nil"/>
              <w:left w:val="nil"/>
              <w:bottom w:val="single" w:sz="4" w:space="0" w:color="auto"/>
              <w:right w:val="single" w:sz="4" w:space="0" w:color="auto"/>
            </w:tcBorders>
            <w:shd w:val="clear" w:color="auto" w:fill="auto"/>
            <w:noWrap/>
            <w:vAlign w:val="bottom"/>
            <w:hideMark/>
          </w:tcPr>
          <w:p w14:paraId="6BC413B0" w14:textId="77777777" w:rsidR="00165CF8" w:rsidRPr="00A52AEE" w:rsidRDefault="00165CF8" w:rsidP="009A2373">
            <w:pPr>
              <w:jc w:val="right"/>
              <w:rPr>
                <w:lang w:eastAsia="en-GB"/>
              </w:rPr>
            </w:pPr>
            <w:r w:rsidRPr="00A52AEE">
              <w:rPr>
                <w:lang w:eastAsia="en-GB"/>
              </w:rPr>
              <w:t>41%</w:t>
            </w:r>
          </w:p>
        </w:tc>
        <w:tc>
          <w:tcPr>
            <w:tcW w:w="761" w:type="pct"/>
            <w:tcBorders>
              <w:top w:val="nil"/>
              <w:left w:val="nil"/>
              <w:bottom w:val="single" w:sz="4" w:space="0" w:color="auto"/>
              <w:right w:val="single" w:sz="4" w:space="0" w:color="auto"/>
            </w:tcBorders>
            <w:shd w:val="clear" w:color="auto" w:fill="auto"/>
            <w:noWrap/>
            <w:vAlign w:val="bottom"/>
            <w:hideMark/>
          </w:tcPr>
          <w:p w14:paraId="5C343142" w14:textId="77777777" w:rsidR="00165CF8" w:rsidRPr="00A52AEE" w:rsidRDefault="00165CF8" w:rsidP="009A2373">
            <w:pPr>
              <w:jc w:val="right"/>
              <w:rPr>
                <w:lang w:eastAsia="en-GB"/>
              </w:rPr>
            </w:pPr>
            <w:r w:rsidRPr="00A52AEE">
              <w:rPr>
                <w:lang w:eastAsia="en-GB"/>
              </w:rPr>
              <w:t>7%</w:t>
            </w:r>
          </w:p>
        </w:tc>
      </w:tr>
      <w:tr w:rsidR="00165CF8" w:rsidRPr="00A52AEE" w14:paraId="312A5091"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52F413F0" w14:textId="77777777" w:rsidR="00165CF8" w:rsidRPr="00A52AEE" w:rsidRDefault="00165CF8" w:rsidP="00A52AEE">
            <w:pPr>
              <w:rPr>
                <w:lang w:eastAsia="en-GB"/>
              </w:rPr>
            </w:pPr>
            <w:r w:rsidRPr="00A52AEE">
              <w:rPr>
                <w:lang w:eastAsia="en-GB"/>
              </w:rPr>
              <w:t>Information and Communication Technology</w:t>
            </w:r>
          </w:p>
        </w:tc>
        <w:tc>
          <w:tcPr>
            <w:tcW w:w="684" w:type="pct"/>
            <w:tcBorders>
              <w:top w:val="nil"/>
              <w:left w:val="nil"/>
              <w:bottom w:val="single" w:sz="4" w:space="0" w:color="auto"/>
              <w:right w:val="single" w:sz="4" w:space="0" w:color="auto"/>
            </w:tcBorders>
            <w:shd w:val="clear" w:color="auto" w:fill="auto"/>
            <w:noWrap/>
            <w:vAlign w:val="bottom"/>
            <w:hideMark/>
          </w:tcPr>
          <w:p w14:paraId="78ADADFC" w14:textId="77777777" w:rsidR="00165CF8" w:rsidRPr="00A52AEE" w:rsidRDefault="00165CF8" w:rsidP="009A2373">
            <w:pPr>
              <w:jc w:val="right"/>
              <w:rPr>
                <w:lang w:eastAsia="en-GB"/>
              </w:rPr>
            </w:pPr>
            <w:r w:rsidRPr="00A52AEE">
              <w:rPr>
                <w:lang w:eastAsia="en-GB"/>
              </w:rPr>
              <w:t>80%</w:t>
            </w:r>
          </w:p>
        </w:tc>
        <w:tc>
          <w:tcPr>
            <w:tcW w:w="761" w:type="pct"/>
            <w:tcBorders>
              <w:top w:val="nil"/>
              <w:left w:val="nil"/>
              <w:bottom w:val="single" w:sz="4" w:space="0" w:color="auto"/>
              <w:right w:val="single" w:sz="4" w:space="0" w:color="auto"/>
            </w:tcBorders>
            <w:shd w:val="clear" w:color="auto" w:fill="auto"/>
            <w:noWrap/>
            <w:vAlign w:val="bottom"/>
            <w:hideMark/>
          </w:tcPr>
          <w:p w14:paraId="39F8878C" w14:textId="77777777" w:rsidR="00165CF8" w:rsidRPr="00A52AEE" w:rsidRDefault="00165CF8" w:rsidP="009A2373">
            <w:pPr>
              <w:jc w:val="right"/>
              <w:rPr>
                <w:lang w:eastAsia="en-GB"/>
              </w:rPr>
            </w:pPr>
            <w:r w:rsidRPr="00A52AEE">
              <w:rPr>
                <w:lang w:eastAsia="en-GB"/>
              </w:rPr>
              <w:t>2%</w:t>
            </w:r>
          </w:p>
        </w:tc>
        <w:tc>
          <w:tcPr>
            <w:tcW w:w="761" w:type="pct"/>
            <w:tcBorders>
              <w:top w:val="nil"/>
              <w:left w:val="nil"/>
              <w:bottom w:val="single" w:sz="4" w:space="0" w:color="auto"/>
              <w:right w:val="single" w:sz="4" w:space="0" w:color="auto"/>
            </w:tcBorders>
            <w:shd w:val="clear" w:color="auto" w:fill="auto"/>
            <w:noWrap/>
            <w:vAlign w:val="bottom"/>
            <w:hideMark/>
          </w:tcPr>
          <w:p w14:paraId="0E74C806" w14:textId="77777777" w:rsidR="00165CF8" w:rsidRPr="00A52AEE" w:rsidRDefault="00165CF8" w:rsidP="009A2373">
            <w:pPr>
              <w:jc w:val="right"/>
              <w:rPr>
                <w:lang w:eastAsia="en-GB"/>
              </w:rPr>
            </w:pPr>
            <w:r w:rsidRPr="00A52AEE">
              <w:rPr>
                <w:lang w:eastAsia="en-GB"/>
              </w:rPr>
              <w:t>18%</w:t>
            </w:r>
          </w:p>
        </w:tc>
      </w:tr>
      <w:tr w:rsidR="00165CF8" w:rsidRPr="00A52AEE" w14:paraId="79601FEA"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3F61A1F8" w14:textId="77777777" w:rsidR="00165CF8" w:rsidRPr="00A52AEE" w:rsidRDefault="00165CF8" w:rsidP="00A52AEE">
            <w:pPr>
              <w:rPr>
                <w:lang w:eastAsia="en-GB"/>
              </w:rPr>
            </w:pPr>
            <w:r w:rsidRPr="00A52AEE">
              <w:rPr>
                <w:lang w:eastAsia="en-GB"/>
              </w:rPr>
              <w:t>Retail and Commercial Enterprise</w:t>
            </w:r>
          </w:p>
        </w:tc>
        <w:tc>
          <w:tcPr>
            <w:tcW w:w="684" w:type="pct"/>
            <w:tcBorders>
              <w:top w:val="nil"/>
              <w:left w:val="nil"/>
              <w:bottom w:val="single" w:sz="4" w:space="0" w:color="auto"/>
              <w:right w:val="single" w:sz="4" w:space="0" w:color="auto"/>
            </w:tcBorders>
            <w:shd w:val="clear" w:color="auto" w:fill="auto"/>
            <w:noWrap/>
            <w:vAlign w:val="bottom"/>
            <w:hideMark/>
          </w:tcPr>
          <w:p w14:paraId="1F8F7206" w14:textId="77777777" w:rsidR="00165CF8" w:rsidRPr="00A52AEE" w:rsidRDefault="00165CF8" w:rsidP="009A2373">
            <w:pPr>
              <w:jc w:val="right"/>
              <w:rPr>
                <w:lang w:eastAsia="en-GB"/>
              </w:rPr>
            </w:pPr>
            <w:r w:rsidRPr="00A52AEE">
              <w:rPr>
                <w:lang w:eastAsia="en-GB"/>
              </w:rPr>
              <w:t>56%</w:t>
            </w:r>
          </w:p>
        </w:tc>
        <w:tc>
          <w:tcPr>
            <w:tcW w:w="761" w:type="pct"/>
            <w:tcBorders>
              <w:top w:val="nil"/>
              <w:left w:val="nil"/>
              <w:bottom w:val="single" w:sz="4" w:space="0" w:color="auto"/>
              <w:right w:val="single" w:sz="4" w:space="0" w:color="auto"/>
            </w:tcBorders>
            <w:shd w:val="clear" w:color="auto" w:fill="auto"/>
            <w:noWrap/>
            <w:vAlign w:val="bottom"/>
            <w:hideMark/>
          </w:tcPr>
          <w:p w14:paraId="5D161C3B" w14:textId="77777777" w:rsidR="00165CF8" w:rsidRPr="00A52AEE" w:rsidRDefault="00165CF8" w:rsidP="009A2373">
            <w:pPr>
              <w:jc w:val="right"/>
              <w:rPr>
                <w:lang w:eastAsia="en-GB"/>
              </w:rPr>
            </w:pPr>
            <w:r w:rsidRPr="00A52AEE">
              <w:rPr>
                <w:lang w:eastAsia="en-GB"/>
              </w:rPr>
              <w:t>29%</w:t>
            </w:r>
          </w:p>
        </w:tc>
        <w:tc>
          <w:tcPr>
            <w:tcW w:w="761" w:type="pct"/>
            <w:tcBorders>
              <w:top w:val="nil"/>
              <w:left w:val="nil"/>
              <w:bottom w:val="single" w:sz="4" w:space="0" w:color="auto"/>
              <w:right w:val="single" w:sz="4" w:space="0" w:color="auto"/>
            </w:tcBorders>
            <w:shd w:val="clear" w:color="auto" w:fill="auto"/>
            <w:noWrap/>
            <w:vAlign w:val="bottom"/>
            <w:hideMark/>
          </w:tcPr>
          <w:p w14:paraId="3445EB49" w14:textId="77777777" w:rsidR="00165CF8" w:rsidRPr="00A52AEE" w:rsidRDefault="00165CF8" w:rsidP="009A2373">
            <w:pPr>
              <w:jc w:val="right"/>
              <w:rPr>
                <w:lang w:eastAsia="en-GB"/>
              </w:rPr>
            </w:pPr>
            <w:r w:rsidRPr="00A52AEE">
              <w:rPr>
                <w:lang w:eastAsia="en-GB"/>
              </w:rPr>
              <w:t>15%</w:t>
            </w:r>
          </w:p>
        </w:tc>
      </w:tr>
      <w:tr w:rsidR="00165CF8" w:rsidRPr="00A52AEE" w14:paraId="1E3B61DC"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77B55063" w14:textId="77777777" w:rsidR="00165CF8" w:rsidRPr="00A52AEE" w:rsidRDefault="00165CF8" w:rsidP="00A52AEE">
            <w:pPr>
              <w:rPr>
                <w:lang w:eastAsia="en-GB"/>
              </w:rPr>
            </w:pPr>
            <w:r w:rsidRPr="00A52AEE">
              <w:rPr>
                <w:lang w:eastAsia="en-GB"/>
              </w:rPr>
              <w:t>Leisure, Travel and Tourism</w:t>
            </w:r>
          </w:p>
        </w:tc>
        <w:tc>
          <w:tcPr>
            <w:tcW w:w="684" w:type="pct"/>
            <w:tcBorders>
              <w:top w:val="nil"/>
              <w:left w:val="nil"/>
              <w:bottom w:val="single" w:sz="4" w:space="0" w:color="auto"/>
              <w:right w:val="single" w:sz="4" w:space="0" w:color="auto"/>
            </w:tcBorders>
            <w:shd w:val="clear" w:color="auto" w:fill="auto"/>
            <w:noWrap/>
            <w:vAlign w:val="bottom"/>
            <w:hideMark/>
          </w:tcPr>
          <w:p w14:paraId="01D9D3E4" w14:textId="77777777" w:rsidR="00165CF8" w:rsidRPr="00A52AEE" w:rsidRDefault="00165CF8" w:rsidP="009A2373">
            <w:pPr>
              <w:jc w:val="right"/>
              <w:rPr>
                <w:lang w:eastAsia="en-GB"/>
              </w:rPr>
            </w:pPr>
            <w:r w:rsidRPr="00A52AEE">
              <w:rPr>
                <w:lang w:eastAsia="en-GB"/>
              </w:rPr>
              <w:t>85%</w:t>
            </w:r>
          </w:p>
        </w:tc>
        <w:tc>
          <w:tcPr>
            <w:tcW w:w="761" w:type="pct"/>
            <w:tcBorders>
              <w:top w:val="nil"/>
              <w:left w:val="nil"/>
              <w:bottom w:val="single" w:sz="4" w:space="0" w:color="auto"/>
              <w:right w:val="single" w:sz="4" w:space="0" w:color="auto"/>
            </w:tcBorders>
            <w:shd w:val="clear" w:color="auto" w:fill="auto"/>
            <w:noWrap/>
            <w:vAlign w:val="bottom"/>
            <w:hideMark/>
          </w:tcPr>
          <w:p w14:paraId="1CA270ED" w14:textId="77777777" w:rsidR="00165CF8" w:rsidRPr="00A52AEE" w:rsidRDefault="00165CF8" w:rsidP="009A2373">
            <w:pPr>
              <w:jc w:val="right"/>
              <w:rPr>
                <w:lang w:eastAsia="en-GB"/>
              </w:rPr>
            </w:pPr>
            <w:r w:rsidRPr="00A52AEE">
              <w:rPr>
                <w:lang w:eastAsia="en-GB"/>
              </w:rPr>
              <w:t>2%</w:t>
            </w:r>
          </w:p>
        </w:tc>
        <w:tc>
          <w:tcPr>
            <w:tcW w:w="761" w:type="pct"/>
            <w:tcBorders>
              <w:top w:val="nil"/>
              <w:left w:val="nil"/>
              <w:bottom w:val="single" w:sz="4" w:space="0" w:color="auto"/>
              <w:right w:val="single" w:sz="4" w:space="0" w:color="auto"/>
            </w:tcBorders>
            <w:shd w:val="clear" w:color="auto" w:fill="auto"/>
            <w:noWrap/>
            <w:vAlign w:val="bottom"/>
            <w:hideMark/>
          </w:tcPr>
          <w:p w14:paraId="1ED2F630" w14:textId="77777777" w:rsidR="00165CF8" w:rsidRPr="00A52AEE" w:rsidRDefault="00165CF8" w:rsidP="009A2373">
            <w:pPr>
              <w:jc w:val="right"/>
              <w:rPr>
                <w:lang w:eastAsia="en-GB"/>
              </w:rPr>
            </w:pPr>
            <w:r w:rsidRPr="00A52AEE">
              <w:rPr>
                <w:lang w:eastAsia="en-GB"/>
              </w:rPr>
              <w:t>13%</w:t>
            </w:r>
          </w:p>
        </w:tc>
      </w:tr>
      <w:tr w:rsidR="00165CF8" w:rsidRPr="00A52AEE" w14:paraId="1162B000"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67260744" w14:textId="77777777" w:rsidR="00165CF8" w:rsidRPr="00A52AEE" w:rsidRDefault="00165CF8" w:rsidP="00A52AEE">
            <w:pPr>
              <w:rPr>
                <w:lang w:eastAsia="en-GB"/>
              </w:rPr>
            </w:pPr>
            <w:r w:rsidRPr="00A52AEE">
              <w:rPr>
                <w:lang w:eastAsia="en-GB"/>
              </w:rPr>
              <w:t>Arts, Media and Publishing</w:t>
            </w:r>
          </w:p>
        </w:tc>
        <w:tc>
          <w:tcPr>
            <w:tcW w:w="684" w:type="pct"/>
            <w:tcBorders>
              <w:top w:val="nil"/>
              <w:left w:val="nil"/>
              <w:bottom w:val="single" w:sz="4" w:space="0" w:color="auto"/>
              <w:right w:val="single" w:sz="4" w:space="0" w:color="auto"/>
            </w:tcBorders>
            <w:shd w:val="clear" w:color="auto" w:fill="auto"/>
            <w:noWrap/>
            <w:vAlign w:val="bottom"/>
            <w:hideMark/>
          </w:tcPr>
          <w:p w14:paraId="38F1AD72" w14:textId="77777777" w:rsidR="00165CF8" w:rsidRPr="00A52AEE" w:rsidRDefault="00165CF8" w:rsidP="009A2373">
            <w:pPr>
              <w:jc w:val="right"/>
              <w:rPr>
                <w:lang w:eastAsia="en-GB"/>
              </w:rPr>
            </w:pPr>
            <w:r w:rsidRPr="00A52AEE">
              <w:rPr>
                <w:lang w:eastAsia="en-GB"/>
              </w:rPr>
              <w:t>93%</w:t>
            </w:r>
          </w:p>
        </w:tc>
        <w:tc>
          <w:tcPr>
            <w:tcW w:w="761" w:type="pct"/>
            <w:tcBorders>
              <w:top w:val="nil"/>
              <w:left w:val="nil"/>
              <w:bottom w:val="single" w:sz="4" w:space="0" w:color="auto"/>
              <w:right w:val="single" w:sz="4" w:space="0" w:color="auto"/>
            </w:tcBorders>
            <w:shd w:val="clear" w:color="auto" w:fill="auto"/>
            <w:noWrap/>
            <w:vAlign w:val="bottom"/>
            <w:hideMark/>
          </w:tcPr>
          <w:p w14:paraId="2A97BDEA" w14:textId="77777777" w:rsidR="00165CF8" w:rsidRPr="00A52AEE" w:rsidRDefault="00165CF8" w:rsidP="009A2373">
            <w:pPr>
              <w:jc w:val="right"/>
              <w:rPr>
                <w:lang w:eastAsia="en-GB"/>
              </w:rPr>
            </w:pPr>
            <w:r w:rsidRPr="00A52AEE">
              <w:rPr>
                <w:lang w:eastAsia="en-GB"/>
              </w:rPr>
              <w:t>2%</w:t>
            </w:r>
          </w:p>
        </w:tc>
        <w:tc>
          <w:tcPr>
            <w:tcW w:w="761" w:type="pct"/>
            <w:tcBorders>
              <w:top w:val="nil"/>
              <w:left w:val="nil"/>
              <w:bottom w:val="single" w:sz="4" w:space="0" w:color="auto"/>
              <w:right w:val="single" w:sz="4" w:space="0" w:color="auto"/>
            </w:tcBorders>
            <w:shd w:val="clear" w:color="auto" w:fill="auto"/>
            <w:noWrap/>
            <w:vAlign w:val="bottom"/>
            <w:hideMark/>
          </w:tcPr>
          <w:p w14:paraId="1A5D8922" w14:textId="77777777" w:rsidR="00165CF8" w:rsidRPr="00A52AEE" w:rsidRDefault="00165CF8" w:rsidP="009A2373">
            <w:pPr>
              <w:jc w:val="right"/>
              <w:rPr>
                <w:lang w:eastAsia="en-GB"/>
              </w:rPr>
            </w:pPr>
            <w:r w:rsidRPr="00A52AEE">
              <w:rPr>
                <w:lang w:eastAsia="en-GB"/>
              </w:rPr>
              <w:t>5%</w:t>
            </w:r>
          </w:p>
        </w:tc>
      </w:tr>
      <w:tr w:rsidR="00165CF8" w:rsidRPr="00A52AEE" w14:paraId="423C725A"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1206B0E4" w14:textId="77777777" w:rsidR="00165CF8" w:rsidRPr="00A52AEE" w:rsidRDefault="00165CF8" w:rsidP="00A52AEE">
            <w:pPr>
              <w:rPr>
                <w:lang w:eastAsia="en-GB"/>
              </w:rPr>
            </w:pPr>
            <w:r w:rsidRPr="00A52AEE">
              <w:rPr>
                <w:lang w:eastAsia="en-GB"/>
              </w:rPr>
              <w:t>History, Philosophy and Theology</w:t>
            </w:r>
          </w:p>
        </w:tc>
        <w:tc>
          <w:tcPr>
            <w:tcW w:w="684" w:type="pct"/>
            <w:tcBorders>
              <w:top w:val="nil"/>
              <w:left w:val="nil"/>
              <w:bottom w:val="single" w:sz="4" w:space="0" w:color="auto"/>
              <w:right w:val="single" w:sz="4" w:space="0" w:color="auto"/>
            </w:tcBorders>
            <w:shd w:val="clear" w:color="auto" w:fill="auto"/>
            <w:noWrap/>
            <w:vAlign w:val="bottom"/>
            <w:hideMark/>
          </w:tcPr>
          <w:p w14:paraId="25BCD9D8" w14:textId="77777777" w:rsidR="00165CF8" w:rsidRPr="00A52AEE" w:rsidRDefault="00165CF8" w:rsidP="009A2373">
            <w:pPr>
              <w:jc w:val="right"/>
              <w:rPr>
                <w:lang w:eastAsia="en-GB"/>
              </w:rPr>
            </w:pPr>
            <w:r w:rsidRPr="00A52AEE">
              <w:rPr>
                <w:lang w:eastAsia="en-GB"/>
              </w:rPr>
              <w:t>93%</w:t>
            </w:r>
          </w:p>
        </w:tc>
        <w:tc>
          <w:tcPr>
            <w:tcW w:w="761" w:type="pct"/>
            <w:tcBorders>
              <w:top w:val="nil"/>
              <w:left w:val="nil"/>
              <w:bottom w:val="single" w:sz="4" w:space="0" w:color="auto"/>
              <w:right w:val="single" w:sz="4" w:space="0" w:color="auto"/>
            </w:tcBorders>
            <w:shd w:val="clear" w:color="auto" w:fill="auto"/>
            <w:noWrap/>
            <w:vAlign w:val="bottom"/>
            <w:hideMark/>
          </w:tcPr>
          <w:p w14:paraId="58FE0417" w14:textId="77777777" w:rsidR="00165CF8" w:rsidRPr="00A52AEE" w:rsidRDefault="00165CF8" w:rsidP="009A2373">
            <w:pPr>
              <w:jc w:val="right"/>
              <w:rPr>
                <w:lang w:eastAsia="en-GB"/>
              </w:rPr>
            </w:pPr>
            <w:r w:rsidRPr="00A52AEE">
              <w:rPr>
                <w:lang w:eastAsia="en-GB"/>
              </w:rPr>
              <w:t>3%</w:t>
            </w:r>
          </w:p>
        </w:tc>
        <w:tc>
          <w:tcPr>
            <w:tcW w:w="761" w:type="pct"/>
            <w:tcBorders>
              <w:top w:val="nil"/>
              <w:left w:val="nil"/>
              <w:bottom w:val="single" w:sz="4" w:space="0" w:color="auto"/>
              <w:right w:val="single" w:sz="4" w:space="0" w:color="auto"/>
            </w:tcBorders>
            <w:shd w:val="clear" w:color="auto" w:fill="auto"/>
            <w:noWrap/>
            <w:vAlign w:val="bottom"/>
            <w:hideMark/>
          </w:tcPr>
          <w:p w14:paraId="23EFD148" w14:textId="77777777" w:rsidR="00165CF8" w:rsidRPr="00A52AEE" w:rsidRDefault="00165CF8" w:rsidP="009A2373">
            <w:pPr>
              <w:jc w:val="right"/>
              <w:rPr>
                <w:lang w:eastAsia="en-GB"/>
              </w:rPr>
            </w:pPr>
            <w:r w:rsidRPr="00A52AEE">
              <w:rPr>
                <w:lang w:eastAsia="en-GB"/>
              </w:rPr>
              <w:t>5%</w:t>
            </w:r>
          </w:p>
        </w:tc>
      </w:tr>
      <w:tr w:rsidR="00165CF8" w:rsidRPr="00A52AEE" w14:paraId="4ADA9058"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23FBAD34" w14:textId="77777777" w:rsidR="00165CF8" w:rsidRPr="00A52AEE" w:rsidRDefault="00165CF8" w:rsidP="00A52AEE">
            <w:pPr>
              <w:rPr>
                <w:lang w:eastAsia="en-GB"/>
              </w:rPr>
            </w:pPr>
            <w:r w:rsidRPr="00A52AEE">
              <w:rPr>
                <w:lang w:eastAsia="en-GB"/>
              </w:rPr>
              <w:t>Social Sciences</w:t>
            </w:r>
          </w:p>
        </w:tc>
        <w:tc>
          <w:tcPr>
            <w:tcW w:w="684" w:type="pct"/>
            <w:tcBorders>
              <w:top w:val="nil"/>
              <w:left w:val="nil"/>
              <w:bottom w:val="single" w:sz="4" w:space="0" w:color="auto"/>
              <w:right w:val="single" w:sz="4" w:space="0" w:color="auto"/>
            </w:tcBorders>
            <w:shd w:val="clear" w:color="auto" w:fill="auto"/>
            <w:noWrap/>
            <w:vAlign w:val="bottom"/>
            <w:hideMark/>
          </w:tcPr>
          <w:p w14:paraId="09307AD0" w14:textId="77777777" w:rsidR="00165CF8" w:rsidRPr="00A52AEE" w:rsidRDefault="00165CF8" w:rsidP="009A2373">
            <w:pPr>
              <w:jc w:val="right"/>
              <w:rPr>
                <w:lang w:eastAsia="en-GB"/>
              </w:rPr>
            </w:pPr>
            <w:r w:rsidRPr="00A52AEE">
              <w:rPr>
                <w:lang w:eastAsia="en-GB"/>
              </w:rPr>
              <w:t>90%</w:t>
            </w:r>
          </w:p>
        </w:tc>
        <w:tc>
          <w:tcPr>
            <w:tcW w:w="761" w:type="pct"/>
            <w:tcBorders>
              <w:top w:val="nil"/>
              <w:left w:val="nil"/>
              <w:bottom w:val="single" w:sz="4" w:space="0" w:color="auto"/>
              <w:right w:val="single" w:sz="4" w:space="0" w:color="auto"/>
            </w:tcBorders>
            <w:shd w:val="clear" w:color="auto" w:fill="auto"/>
            <w:noWrap/>
            <w:vAlign w:val="bottom"/>
            <w:hideMark/>
          </w:tcPr>
          <w:p w14:paraId="23E425A7" w14:textId="77777777" w:rsidR="00165CF8" w:rsidRPr="00A52AEE" w:rsidRDefault="00165CF8" w:rsidP="009A2373">
            <w:pPr>
              <w:jc w:val="right"/>
              <w:rPr>
                <w:lang w:eastAsia="en-GB"/>
              </w:rPr>
            </w:pPr>
            <w:r w:rsidRPr="00A52AEE">
              <w:rPr>
                <w:lang w:eastAsia="en-GB"/>
              </w:rPr>
              <w:t>1%</w:t>
            </w:r>
          </w:p>
        </w:tc>
        <w:tc>
          <w:tcPr>
            <w:tcW w:w="761" w:type="pct"/>
            <w:tcBorders>
              <w:top w:val="nil"/>
              <w:left w:val="nil"/>
              <w:bottom w:val="single" w:sz="4" w:space="0" w:color="auto"/>
              <w:right w:val="single" w:sz="4" w:space="0" w:color="auto"/>
            </w:tcBorders>
            <w:shd w:val="clear" w:color="auto" w:fill="auto"/>
            <w:noWrap/>
            <w:vAlign w:val="bottom"/>
            <w:hideMark/>
          </w:tcPr>
          <w:p w14:paraId="028531F7" w14:textId="77777777" w:rsidR="00165CF8" w:rsidRPr="00A52AEE" w:rsidRDefault="00165CF8" w:rsidP="009A2373">
            <w:pPr>
              <w:jc w:val="right"/>
              <w:rPr>
                <w:lang w:eastAsia="en-GB"/>
              </w:rPr>
            </w:pPr>
            <w:r w:rsidRPr="00A52AEE">
              <w:rPr>
                <w:lang w:eastAsia="en-GB"/>
              </w:rPr>
              <w:t>9%</w:t>
            </w:r>
          </w:p>
        </w:tc>
      </w:tr>
      <w:tr w:rsidR="00165CF8" w:rsidRPr="00A52AEE" w14:paraId="38FFCB2A"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3DE061FA" w14:textId="77777777" w:rsidR="00165CF8" w:rsidRPr="00A52AEE" w:rsidRDefault="00165CF8" w:rsidP="00A52AEE">
            <w:pPr>
              <w:rPr>
                <w:lang w:eastAsia="en-GB"/>
              </w:rPr>
            </w:pPr>
            <w:r w:rsidRPr="00A52AEE">
              <w:rPr>
                <w:lang w:eastAsia="en-GB"/>
              </w:rPr>
              <w:t>Languages, Literature and Culture</w:t>
            </w:r>
          </w:p>
        </w:tc>
        <w:tc>
          <w:tcPr>
            <w:tcW w:w="684" w:type="pct"/>
            <w:tcBorders>
              <w:top w:val="nil"/>
              <w:left w:val="nil"/>
              <w:bottom w:val="single" w:sz="4" w:space="0" w:color="auto"/>
              <w:right w:val="single" w:sz="4" w:space="0" w:color="auto"/>
            </w:tcBorders>
            <w:shd w:val="clear" w:color="auto" w:fill="auto"/>
            <w:noWrap/>
            <w:vAlign w:val="bottom"/>
            <w:hideMark/>
          </w:tcPr>
          <w:p w14:paraId="641B94C7" w14:textId="77777777" w:rsidR="00165CF8" w:rsidRPr="00A52AEE" w:rsidRDefault="00165CF8" w:rsidP="009A2373">
            <w:pPr>
              <w:jc w:val="right"/>
              <w:rPr>
                <w:lang w:eastAsia="en-GB"/>
              </w:rPr>
            </w:pPr>
            <w:r w:rsidRPr="00A52AEE">
              <w:rPr>
                <w:lang w:eastAsia="en-GB"/>
              </w:rPr>
              <w:t>91%</w:t>
            </w:r>
          </w:p>
        </w:tc>
        <w:tc>
          <w:tcPr>
            <w:tcW w:w="761" w:type="pct"/>
            <w:tcBorders>
              <w:top w:val="nil"/>
              <w:left w:val="nil"/>
              <w:bottom w:val="single" w:sz="4" w:space="0" w:color="auto"/>
              <w:right w:val="single" w:sz="4" w:space="0" w:color="auto"/>
            </w:tcBorders>
            <w:shd w:val="clear" w:color="auto" w:fill="auto"/>
            <w:noWrap/>
            <w:vAlign w:val="bottom"/>
            <w:hideMark/>
          </w:tcPr>
          <w:p w14:paraId="112771C9" w14:textId="77777777" w:rsidR="00165CF8" w:rsidRPr="00A52AEE" w:rsidRDefault="00165CF8" w:rsidP="009A2373">
            <w:pPr>
              <w:jc w:val="right"/>
              <w:rPr>
                <w:lang w:eastAsia="en-GB"/>
              </w:rPr>
            </w:pPr>
            <w:r w:rsidRPr="00A52AEE">
              <w:rPr>
                <w:lang w:eastAsia="en-GB"/>
              </w:rPr>
              <w:t>3%</w:t>
            </w:r>
          </w:p>
        </w:tc>
        <w:tc>
          <w:tcPr>
            <w:tcW w:w="761" w:type="pct"/>
            <w:tcBorders>
              <w:top w:val="nil"/>
              <w:left w:val="nil"/>
              <w:bottom w:val="single" w:sz="4" w:space="0" w:color="auto"/>
              <w:right w:val="single" w:sz="4" w:space="0" w:color="auto"/>
            </w:tcBorders>
            <w:shd w:val="clear" w:color="auto" w:fill="auto"/>
            <w:noWrap/>
            <w:vAlign w:val="bottom"/>
            <w:hideMark/>
          </w:tcPr>
          <w:p w14:paraId="3144D72E" w14:textId="77777777" w:rsidR="00165CF8" w:rsidRPr="00A52AEE" w:rsidRDefault="00165CF8" w:rsidP="009A2373">
            <w:pPr>
              <w:jc w:val="right"/>
              <w:rPr>
                <w:lang w:eastAsia="en-GB"/>
              </w:rPr>
            </w:pPr>
            <w:r w:rsidRPr="00A52AEE">
              <w:rPr>
                <w:lang w:eastAsia="en-GB"/>
              </w:rPr>
              <w:t>6%</w:t>
            </w:r>
          </w:p>
        </w:tc>
      </w:tr>
      <w:tr w:rsidR="00165CF8" w:rsidRPr="00A52AEE" w14:paraId="641FBA80"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4821E0BA" w14:textId="77777777" w:rsidR="00165CF8" w:rsidRPr="00A52AEE" w:rsidRDefault="00165CF8" w:rsidP="00A52AEE">
            <w:pPr>
              <w:rPr>
                <w:lang w:eastAsia="en-GB"/>
              </w:rPr>
            </w:pPr>
            <w:r w:rsidRPr="00A52AEE">
              <w:rPr>
                <w:lang w:eastAsia="en-GB"/>
              </w:rPr>
              <w:t>Education and Training</w:t>
            </w:r>
          </w:p>
        </w:tc>
        <w:tc>
          <w:tcPr>
            <w:tcW w:w="684" w:type="pct"/>
            <w:tcBorders>
              <w:top w:val="nil"/>
              <w:left w:val="nil"/>
              <w:bottom w:val="single" w:sz="4" w:space="0" w:color="auto"/>
              <w:right w:val="single" w:sz="4" w:space="0" w:color="auto"/>
            </w:tcBorders>
            <w:shd w:val="clear" w:color="auto" w:fill="auto"/>
            <w:noWrap/>
            <w:vAlign w:val="bottom"/>
            <w:hideMark/>
          </w:tcPr>
          <w:p w14:paraId="56B70A93" w14:textId="77777777" w:rsidR="00165CF8" w:rsidRPr="00A52AEE" w:rsidRDefault="00165CF8" w:rsidP="009A2373">
            <w:pPr>
              <w:jc w:val="right"/>
              <w:rPr>
                <w:lang w:eastAsia="en-GB"/>
              </w:rPr>
            </w:pPr>
            <w:r w:rsidRPr="00A52AEE">
              <w:rPr>
                <w:lang w:eastAsia="en-GB"/>
              </w:rPr>
              <w:t>84%</w:t>
            </w:r>
          </w:p>
        </w:tc>
        <w:tc>
          <w:tcPr>
            <w:tcW w:w="761" w:type="pct"/>
            <w:tcBorders>
              <w:top w:val="nil"/>
              <w:left w:val="nil"/>
              <w:bottom w:val="single" w:sz="4" w:space="0" w:color="auto"/>
              <w:right w:val="single" w:sz="4" w:space="0" w:color="auto"/>
            </w:tcBorders>
            <w:shd w:val="clear" w:color="auto" w:fill="auto"/>
            <w:noWrap/>
            <w:vAlign w:val="bottom"/>
            <w:hideMark/>
          </w:tcPr>
          <w:p w14:paraId="471D7C6C" w14:textId="77777777" w:rsidR="00165CF8" w:rsidRPr="00A52AEE" w:rsidRDefault="00165CF8" w:rsidP="009A2373">
            <w:pPr>
              <w:jc w:val="right"/>
              <w:rPr>
                <w:lang w:eastAsia="en-GB"/>
              </w:rPr>
            </w:pPr>
            <w:r w:rsidRPr="00A52AEE">
              <w:rPr>
                <w:lang w:eastAsia="en-GB"/>
              </w:rPr>
              <w:t>16%</w:t>
            </w:r>
          </w:p>
        </w:tc>
        <w:tc>
          <w:tcPr>
            <w:tcW w:w="761" w:type="pct"/>
            <w:tcBorders>
              <w:top w:val="nil"/>
              <w:left w:val="nil"/>
              <w:bottom w:val="single" w:sz="4" w:space="0" w:color="auto"/>
              <w:right w:val="single" w:sz="4" w:space="0" w:color="auto"/>
            </w:tcBorders>
            <w:shd w:val="clear" w:color="auto" w:fill="auto"/>
            <w:noWrap/>
            <w:vAlign w:val="bottom"/>
            <w:hideMark/>
          </w:tcPr>
          <w:p w14:paraId="513B1EF7" w14:textId="77777777" w:rsidR="00165CF8" w:rsidRPr="00A52AEE" w:rsidRDefault="00165CF8" w:rsidP="009A2373">
            <w:pPr>
              <w:jc w:val="right"/>
              <w:rPr>
                <w:lang w:eastAsia="en-GB"/>
              </w:rPr>
            </w:pPr>
            <w:r w:rsidRPr="00A52AEE">
              <w:rPr>
                <w:lang w:eastAsia="en-GB"/>
              </w:rPr>
              <w:t>0%</w:t>
            </w:r>
          </w:p>
        </w:tc>
      </w:tr>
      <w:tr w:rsidR="00165CF8" w:rsidRPr="00A52AEE" w14:paraId="29499B7E"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3042B95C" w14:textId="77777777" w:rsidR="00165CF8" w:rsidRPr="00A52AEE" w:rsidRDefault="00165CF8" w:rsidP="00A52AEE">
            <w:pPr>
              <w:rPr>
                <w:lang w:eastAsia="en-GB"/>
              </w:rPr>
            </w:pPr>
            <w:r w:rsidRPr="00A52AEE">
              <w:rPr>
                <w:lang w:eastAsia="en-GB"/>
              </w:rPr>
              <w:t>Preparation for Life and Work</w:t>
            </w:r>
          </w:p>
        </w:tc>
        <w:tc>
          <w:tcPr>
            <w:tcW w:w="684" w:type="pct"/>
            <w:tcBorders>
              <w:top w:val="nil"/>
              <w:left w:val="nil"/>
              <w:bottom w:val="single" w:sz="4" w:space="0" w:color="auto"/>
              <w:right w:val="single" w:sz="4" w:space="0" w:color="auto"/>
            </w:tcBorders>
            <w:shd w:val="clear" w:color="auto" w:fill="auto"/>
            <w:noWrap/>
            <w:vAlign w:val="bottom"/>
            <w:hideMark/>
          </w:tcPr>
          <w:p w14:paraId="0ACDD7BD" w14:textId="77777777" w:rsidR="00165CF8" w:rsidRPr="00A52AEE" w:rsidRDefault="00165CF8" w:rsidP="009A2373">
            <w:pPr>
              <w:jc w:val="right"/>
              <w:rPr>
                <w:lang w:eastAsia="en-GB"/>
              </w:rPr>
            </w:pPr>
            <w:r w:rsidRPr="00A52AEE">
              <w:rPr>
                <w:lang w:eastAsia="en-GB"/>
              </w:rPr>
              <w:t>89%</w:t>
            </w:r>
          </w:p>
        </w:tc>
        <w:tc>
          <w:tcPr>
            <w:tcW w:w="761" w:type="pct"/>
            <w:tcBorders>
              <w:top w:val="nil"/>
              <w:left w:val="nil"/>
              <w:bottom w:val="single" w:sz="4" w:space="0" w:color="auto"/>
              <w:right w:val="single" w:sz="4" w:space="0" w:color="auto"/>
            </w:tcBorders>
            <w:shd w:val="clear" w:color="auto" w:fill="auto"/>
            <w:noWrap/>
            <w:vAlign w:val="bottom"/>
            <w:hideMark/>
          </w:tcPr>
          <w:p w14:paraId="15DA34EB" w14:textId="77777777" w:rsidR="00165CF8" w:rsidRPr="00A52AEE" w:rsidRDefault="00165CF8" w:rsidP="009A2373">
            <w:pPr>
              <w:jc w:val="right"/>
              <w:rPr>
                <w:lang w:eastAsia="en-GB"/>
              </w:rPr>
            </w:pPr>
            <w:r w:rsidRPr="00A52AEE">
              <w:rPr>
                <w:lang w:eastAsia="en-GB"/>
              </w:rPr>
              <w:t>4%</w:t>
            </w:r>
          </w:p>
        </w:tc>
        <w:tc>
          <w:tcPr>
            <w:tcW w:w="761" w:type="pct"/>
            <w:tcBorders>
              <w:top w:val="nil"/>
              <w:left w:val="nil"/>
              <w:bottom w:val="single" w:sz="4" w:space="0" w:color="auto"/>
              <w:right w:val="single" w:sz="4" w:space="0" w:color="auto"/>
            </w:tcBorders>
            <w:shd w:val="clear" w:color="auto" w:fill="auto"/>
            <w:noWrap/>
            <w:vAlign w:val="bottom"/>
            <w:hideMark/>
          </w:tcPr>
          <w:p w14:paraId="6F2CEB3E" w14:textId="77777777" w:rsidR="00165CF8" w:rsidRPr="00A52AEE" w:rsidRDefault="00165CF8" w:rsidP="009A2373">
            <w:pPr>
              <w:jc w:val="right"/>
              <w:rPr>
                <w:lang w:eastAsia="en-GB"/>
              </w:rPr>
            </w:pPr>
            <w:r w:rsidRPr="00A52AEE">
              <w:rPr>
                <w:lang w:eastAsia="en-GB"/>
              </w:rPr>
              <w:t>7%</w:t>
            </w:r>
          </w:p>
        </w:tc>
      </w:tr>
      <w:tr w:rsidR="00165CF8" w:rsidRPr="00A52AEE" w14:paraId="1059DD59" w14:textId="77777777" w:rsidTr="00CB50A9">
        <w:trPr>
          <w:trHeight w:val="300"/>
        </w:trPr>
        <w:tc>
          <w:tcPr>
            <w:tcW w:w="2794" w:type="pct"/>
            <w:tcBorders>
              <w:top w:val="nil"/>
              <w:left w:val="single" w:sz="4" w:space="0" w:color="auto"/>
              <w:bottom w:val="single" w:sz="4" w:space="0" w:color="auto"/>
              <w:right w:val="single" w:sz="4" w:space="0" w:color="auto"/>
            </w:tcBorders>
            <w:shd w:val="clear" w:color="auto" w:fill="auto"/>
            <w:noWrap/>
            <w:vAlign w:val="bottom"/>
            <w:hideMark/>
          </w:tcPr>
          <w:p w14:paraId="07DEEEE5" w14:textId="77777777" w:rsidR="00165CF8" w:rsidRPr="00A52AEE" w:rsidRDefault="00165CF8" w:rsidP="00A52AEE">
            <w:pPr>
              <w:rPr>
                <w:lang w:eastAsia="en-GB"/>
              </w:rPr>
            </w:pPr>
            <w:r w:rsidRPr="00A52AEE">
              <w:rPr>
                <w:lang w:eastAsia="en-GB"/>
              </w:rPr>
              <w:t>Business, Administration and Law</w:t>
            </w:r>
          </w:p>
        </w:tc>
        <w:tc>
          <w:tcPr>
            <w:tcW w:w="684" w:type="pct"/>
            <w:tcBorders>
              <w:top w:val="nil"/>
              <w:left w:val="nil"/>
              <w:bottom w:val="single" w:sz="4" w:space="0" w:color="auto"/>
              <w:right w:val="single" w:sz="4" w:space="0" w:color="auto"/>
            </w:tcBorders>
            <w:shd w:val="clear" w:color="auto" w:fill="auto"/>
            <w:noWrap/>
            <w:vAlign w:val="bottom"/>
            <w:hideMark/>
          </w:tcPr>
          <w:p w14:paraId="0E7F6A90" w14:textId="77777777" w:rsidR="00165CF8" w:rsidRPr="00A52AEE" w:rsidRDefault="00165CF8" w:rsidP="009A2373">
            <w:pPr>
              <w:jc w:val="right"/>
              <w:rPr>
                <w:lang w:eastAsia="en-GB"/>
              </w:rPr>
            </w:pPr>
            <w:r w:rsidRPr="00A52AEE">
              <w:rPr>
                <w:lang w:eastAsia="en-GB"/>
              </w:rPr>
              <w:t>81%</w:t>
            </w:r>
          </w:p>
        </w:tc>
        <w:tc>
          <w:tcPr>
            <w:tcW w:w="761" w:type="pct"/>
            <w:tcBorders>
              <w:top w:val="nil"/>
              <w:left w:val="nil"/>
              <w:bottom w:val="single" w:sz="4" w:space="0" w:color="auto"/>
              <w:right w:val="single" w:sz="4" w:space="0" w:color="auto"/>
            </w:tcBorders>
            <w:shd w:val="clear" w:color="auto" w:fill="auto"/>
            <w:noWrap/>
            <w:vAlign w:val="bottom"/>
            <w:hideMark/>
          </w:tcPr>
          <w:p w14:paraId="4927BF99" w14:textId="77777777" w:rsidR="00165CF8" w:rsidRPr="00A52AEE" w:rsidRDefault="00165CF8" w:rsidP="009A2373">
            <w:pPr>
              <w:jc w:val="right"/>
              <w:rPr>
                <w:lang w:eastAsia="en-GB"/>
              </w:rPr>
            </w:pPr>
            <w:r w:rsidRPr="00A52AEE">
              <w:rPr>
                <w:lang w:eastAsia="en-GB"/>
              </w:rPr>
              <w:t>3%</w:t>
            </w:r>
          </w:p>
        </w:tc>
        <w:tc>
          <w:tcPr>
            <w:tcW w:w="761" w:type="pct"/>
            <w:tcBorders>
              <w:top w:val="nil"/>
              <w:left w:val="nil"/>
              <w:bottom w:val="single" w:sz="4" w:space="0" w:color="auto"/>
              <w:right w:val="single" w:sz="4" w:space="0" w:color="auto"/>
            </w:tcBorders>
            <w:shd w:val="clear" w:color="auto" w:fill="auto"/>
            <w:noWrap/>
            <w:vAlign w:val="bottom"/>
            <w:hideMark/>
          </w:tcPr>
          <w:p w14:paraId="14EE2DA5" w14:textId="77777777" w:rsidR="00165CF8" w:rsidRPr="00A52AEE" w:rsidRDefault="00165CF8" w:rsidP="009A2373">
            <w:pPr>
              <w:jc w:val="right"/>
              <w:rPr>
                <w:lang w:eastAsia="en-GB"/>
              </w:rPr>
            </w:pPr>
            <w:r w:rsidRPr="00A52AEE">
              <w:rPr>
                <w:lang w:eastAsia="en-GB"/>
              </w:rPr>
              <w:t>16%</w:t>
            </w:r>
          </w:p>
        </w:tc>
      </w:tr>
    </w:tbl>
    <w:p w14:paraId="50EF7C67" w14:textId="77777777" w:rsidR="00165CF8" w:rsidRPr="00A52AEE" w:rsidRDefault="00165CF8" w:rsidP="00A52AEE">
      <w:pPr>
        <w:rPr>
          <w:lang w:eastAsia="en-GB"/>
        </w:rPr>
      </w:pPr>
    </w:p>
    <w:p w14:paraId="199BA679" w14:textId="78D0DBBF" w:rsidR="003B53E8" w:rsidRPr="00A52AEE" w:rsidRDefault="0059233C" w:rsidP="008D527A">
      <w:pPr>
        <w:pStyle w:val="Heading2"/>
      </w:pPr>
      <w:bookmarkStart w:id="122" w:name="_Toc429151338"/>
      <w:r w:rsidRPr="00A52AEE">
        <w:t>5.14</w:t>
      </w:r>
      <w:r w:rsidRPr="00A52AEE">
        <w:tab/>
      </w:r>
      <w:r w:rsidR="00F342FD">
        <w:tab/>
      </w:r>
      <w:r w:rsidR="00AE2C39" w:rsidRPr="00A52AEE">
        <w:t>HE progression by London b</w:t>
      </w:r>
      <w:r w:rsidR="003B53E8" w:rsidRPr="00A52AEE">
        <w:t>orough</w:t>
      </w:r>
      <w:bookmarkEnd w:id="122"/>
    </w:p>
    <w:p w14:paraId="7E979D21" w14:textId="52FF1181" w:rsidR="00D94110" w:rsidRDefault="003B53E8" w:rsidP="00A52AEE">
      <w:r w:rsidRPr="00A52AEE">
        <w:t>The immediate progression rates to HE at boroug</w:t>
      </w:r>
      <w:r w:rsidR="00B03413">
        <w:t>h level are presented in Table 32</w:t>
      </w:r>
      <w:r w:rsidRPr="00A52AEE">
        <w:t xml:space="preserve">.  Harrow has the highest progression rates at over 50% whilst Sutton and Richmond have the lowest but Sutton has seen an increase in progression rates across the five cohorts.  Varying rates are explained by population differences in each borough. </w:t>
      </w:r>
      <w:r w:rsidR="00BB3061" w:rsidRPr="00A52AEE">
        <w:t xml:space="preserve">In Section 4, tables describing </w:t>
      </w:r>
      <w:r w:rsidR="00842186" w:rsidRPr="00A52AEE">
        <w:t>student</w:t>
      </w:r>
      <w:r w:rsidR="00BB3061" w:rsidRPr="00A52AEE">
        <w:t xml:space="preserve"> character</w:t>
      </w:r>
      <w:r w:rsidR="009075B8" w:rsidRPr="00A52AEE">
        <w:t>i</w:t>
      </w:r>
      <w:r w:rsidR="00BB3061" w:rsidRPr="00A52AEE">
        <w:t xml:space="preserve">stics showed that boroughs have different age </w:t>
      </w:r>
      <w:r w:rsidR="009075B8" w:rsidRPr="00A52AEE">
        <w:t xml:space="preserve">profiles, disadvantage profiles and there are differences in the qualifications being studied. All of these variations will have an impact on the progression rates at borough level; </w:t>
      </w:r>
      <w:r w:rsidR="00842186" w:rsidRPr="00A52AEE">
        <w:t>student</w:t>
      </w:r>
      <w:r w:rsidR="009075B8" w:rsidRPr="00A52AEE">
        <w:t xml:space="preserve"> age is a key factor where you would expect to see higher progression rates in boroughs that have higher numbers of young students studying at </w:t>
      </w:r>
      <w:r w:rsidR="0021637B" w:rsidRPr="00A52AEE">
        <w:t>Level</w:t>
      </w:r>
      <w:r w:rsidR="009075B8" w:rsidRPr="00A52AEE">
        <w:t xml:space="preserve"> 3 in FE colleges. Sutton’s progression rate increase is therefore explained by the fact that the population of older students in this borough decreased (were mature students have much lower progression rates).</w:t>
      </w:r>
    </w:p>
    <w:p w14:paraId="6F469850" w14:textId="77777777" w:rsidR="00F342FD" w:rsidRPr="00A52AEE" w:rsidRDefault="00F342FD" w:rsidP="00A52AEE"/>
    <w:p w14:paraId="66404CCE" w14:textId="79EB2D15" w:rsidR="008C027A" w:rsidRPr="00F342FD" w:rsidRDefault="0022142D" w:rsidP="00A52AEE">
      <w:pPr>
        <w:rPr>
          <w:b/>
        </w:rPr>
      </w:pPr>
      <w:r>
        <w:rPr>
          <w:b/>
        </w:rPr>
        <w:t>Table 32</w:t>
      </w:r>
      <w:r w:rsidR="008C027A" w:rsidRPr="00F342FD">
        <w:rPr>
          <w:b/>
        </w:rPr>
        <w:t>: Immediate HE progression by Borough</w:t>
      </w:r>
    </w:p>
    <w:p w14:paraId="335C8057" w14:textId="77777777" w:rsidR="00CB50A9" w:rsidRPr="00A52AEE" w:rsidRDefault="00CB50A9" w:rsidP="00A52AEE"/>
    <w:tbl>
      <w:tblPr>
        <w:tblW w:w="5000" w:type="pct"/>
        <w:tblLook w:val="04A0" w:firstRow="1" w:lastRow="0" w:firstColumn="1" w:lastColumn="0" w:noHBand="0" w:noVBand="1"/>
      </w:tblPr>
      <w:tblGrid>
        <w:gridCol w:w="3619"/>
        <w:gridCol w:w="1190"/>
        <w:gridCol w:w="1191"/>
        <w:gridCol w:w="1191"/>
        <w:gridCol w:w="1191"/>
        <w:gridCol w:w="1189"/>
      </w:tblGrid>
      <w:tr w:rsidR="00CB50A9" w:rsidRPr="00F342FD" w14:paraId="19C38B51" w14:textId="77777777" w:rsidTr="00CB50A9">
        <w:trPr>
          <w:trHeight w:val="300"/>
          <w:tblHeader/>
        </w:trPr>
        <w:tc>
          <w:tcPr>
            <w:tcW w:w="1891"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4D3575E6" w14:textId="77777777" w:rsidR="00CB50A9" w:rsidRPr="00F342FD" w:rsidRDefault="00CB50A9" w:rsidP="00F342FD">
            <w:pPr>
              <w:jc w:val="center"/>
              <w:rPr>
                <w:b/>
                <w:color w:val="FFFFFF" w:themeColor="background1"/>
                <w:lang w:eastAsia="en-GB"/>
              </w:rPr>
            </w:pPr>
          </w:p>
          <w:p w14:paraId="3891D216" w14:textId="339E429A" w:rsidR="008C027A" w:rsidRPr="00F342FD" w:rsidRDefault="00F342FD" w:rsidP="00F342FD">
            <w:pPr>
              <w:rPr>
                <w:b/>
                <w:color w:val="FFFFFF" w:themeColor="background1"/>
                <w:lang w:eastAsia="en-GB"/>
              </w:rPr>
            </w:pPr>
            <w:r>
              <w:rPr>
                <w:b/>
                <w:color w:val="FFFFFF" w:themeColor="background1"/>
                <w:lang w:eastAsia="en-GB"/>
              </w:rPr>
              <w:t>London b</w:t>
            </w:r>
            <w:r w:rsidR="008C027A" w:rsidRPr="00F342FD">
              <w:rPr>
                <w:b/>
                <w:color w:val="FFFFFF" w:themeColor="background1"/>
                <w:lang w:eastAsia="en-GB"/>
              </w:rPr>
              <w:t>orough</w:t>
            </w:r>
          </w:p>
          <w:p w14:paraId="30174410" w14:textId="77777777" w:rsidR="00CB50A9" w:rsidRPr="00F342FD" w:rsidRDefault="00CB50A9" w:rsidP="00F342FD">
            <w:pPr>
              <w:jc w:val="center"/>
              <w:rPr>
                <w:b/>
                <w:color w:val="FFFFFF" w:themeColor="background1"/>
                <w:lang w:eastAsia="en-GB"/>
              </w:rPr>
            </w:pPr>
          </w:p>
        </w:tc>
        <w:tc>
          <w:tcPr>
            <w:tcW w:w="62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079AE3FF" w14:textId="77777777" w:rsidR="008C027A" w:rsidRPr="00F342FD" w:rsidRDefault="008C027A" w:rsidP="00F342FD">
            <w:pPr>
              <w:jc w:val="center"/>
              <w:rPr>
                <w:b/>
                <w:color w:val="FFFFFF" w:themeColor="background1"/>
                <w:lang w:eastAsia="en-GB"/>
              </w:rPr>
            </w:pPr>
            <w:r w:rsidRPr="00F342FD">
              <w:rPr>
                <w:b/>
                <w:color w:val="FFFFFF" w:themeColor="background1"/>
                <w:lang w:eastAsia="en-GB"/>
              </w:rPr>
              <w:t>2007-08</w:t>
            </w:r>
          </w:p>
        </w:tc>
        <w:tc>
          <w:tcPr>
            <w:tcW w:w="62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C295A5E" w14:textId="77777777" w:rsidR="008C027A" w:rsidRPr="00F342FD" w:rsidRDefault="008C027A" w:rsidP="00F342FD">
            <w:pPr>
              <w:jc w:val="center"/>
              <w:rPr>
                <w:b/>
                <w:color w:val="FFFFFF" w:themeColor="background1"/>
                <w:lang w:eastAsia="en-GB"/>
              </w:rPr>
            </w:pPr>
            <w:r w:rsidRPr="00F342FD">
              <w:rPr>
                <w:b/>
                <w:color w:val="FFFFFF" w:themeColor="background1"/>
                <w:lang w:eastAsia="en-GB"/>
              </w:rPr>
              <w:t>2008-09</w:t>
            </w:r>
          </w:p>
        </w:tc>
        <w:tc>
          <w:tcPr>
            <w:tcW w:w="62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97CB2D9" w14:textId="77777777" w:rsidR="008C027A" w:rsidRPr="00F342FD" w:rsidRDefault="008C027A" w:rsidP="00F342FD">
            <w:pPr>
              <w:jc w:val="center"/>
              <w:rPr>
                <w:b/>
                <w:color w:val="FFFFFF" w:themeColor="background1"/>
                <w:lang w:eastAsia="en-GB"/>
              </w:rPr>
            </w:pPr>
            <w:r w:rsidRPr="00F342FD">
              <w:rPr>
                <w:b/>
                <w:color w:val="FFFFFF" w:themeColor="background1"/>
                <w:lang w:eastAsia="en-GB"/>
              </w:rPr>
              <w:t>2009-10</w:t>
            </w:r>
          </w:p>
        </w:tc>
        <w:tc>
          <w:tcPr>
            <w:tcW w:w="62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7FE5FB7B" w14:textId="77777777" w:rsidR="008C027A" w:rsidRPr="00F342FD" w:rsidRDefault="008C027A" w:rsidP="00F342FD">
            <w:pPr>
              <w:jc w:val="center"/>
              <w:rPr>
                <w:b/>
                <w:color w:val="FFFFFF" w:themeColor="background1"/>
                <w:lang w:eastAsia="en-GB"/>
              </w:rPr>
            </w:pPr>
            <w:r w:rsidRPr="00F342FD">
              <w:rPr>
                <w:b/>
                <w:color w:val="FFFFFF" w:themeColor="background1"/>
                <w:lang w:eastAsia="en-GB"/>
              </w:rPr>
              <w:t>2010-11</w:t>
            </w:r>
          </w:p>
        </w:tc>
        <w:tc>
          <w:tcPr>
            <w:tcW w:w="622"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4ED96EB" w14:textId="77777777" w:rsidR="008C027A" w:rsidRPr="00F342FD" w:rsidRDefault="008C027A" w:rsidP="00F342FD">
            <w:pPr>
              <w:jc w:val="center"/>
              <w:rPr>
                <w:b/>
                <w:color w:val="FFFFFF" w:themeColor="background1"/>
                <w:lang w:eastAsia="en-GB"/>
              </w:rPr>
            </w:pPr>
            <w:r w:rsidRPr="00F342FD">
              <w:rPr>
                <w:b/>
                <w:color w:val="FFFFFF" w:themeColor="background1"/>
                <w:lang w:eastAsia="en-GB"/>
              </w:rPr>
              <w:t>2011-12</w:t>
            </w:r>
          </w:p>
        </w:tc>
      </w:tr>
      <w:tr w:rsidR="008C027A" w:rsidRPr="00A52AEE" w14:paraId="5BEA9E68"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7DC46303" w14:textId="77777777" w:rsidR="008C027A" w:rsidRPr="00A52AEE" w:rsidRDefault="008C027A" w:rsidP="00A52AEE">
            <w:pPr>
              <w:rPr>
                <w:lang w:eastAsia="en-GB"/>
              </w:rPr>
            </w:pPr>
            <w:r w:rsidRPr="00A52AEE">
              <w:rPr>
                <w:lang w:eastAsia="en-GB"/>
              </w:rPr>
              <w:t>Barking and Dagenham</w:t>
            </w:r>
          </w:p>
        </w:tc>
        <w:tc>
          <w:tcPr>
            <w:tcW w:w="622" w:type="pct"/>
            <w:tcBorders>
              <w:top w:val="nil"/>
              <w:left w:val="nil"/>
              <w:bottom w:val="single" w:sz="4" w:space="0" w:color="auto"/>
              <w:right w:val="single" w:sz="4" w:space="0" w:color="auto"/>
            </w:tcBorders>
            <w:shd w:val="clear" w:color="auto" w:fill="auto"/>
            <w:noWrap/>
            <w:vAlign w:val="bottom"/>
            <w:hideMark/>
          </w:tcPr>
          <w:p w14:paraId="721759F4"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04E2ED31" w14:textId="77777777" w:rsidR="008C027A" w:rsidRPr="00A52AEE" w:rsidRDefault="008C027A" w:rsidP="009A2373">
            <w:pPr>
              <w:jc w:val="right"/>
              <w:rPr>
                <w:lang w:eastAsia="en-GB"/>
              </w:rPr>
            </w:pPr>
            <w:r w:rsidRPr="00A52AEE">
              <w:rPr>
                <w:lang w:eastAsia="en-GB"/>
              </w:rPr>
              <w:t>36%</w:t>
            </w:r>
          </w:p>
        </w:tc>
        <w:tc>
          <w:tcPr>
            <w:tcW w:w="622" w:type="pct"/>
            <w:tcBorders>
              <w:top w:val="nil"/>
              <w:left w:val="nil"/>
              <w:bottom w:val="single" w:sz="4" w:space="0" w:color="auto"/>
              <w:right w:val="single" w:sz="4" w:space="0" w:color="auto"/>
            </w:tcBorders>
            <w:shd w:val="clear" w:color="auto" w:fill="auto"/>
            <w:noWrap/>
            <w:vAlign w:val="bottom"/>
            <w:hideMark/>
          </w:tcPr>
          <w:p w14:paraId="10B2148B" w14:textId="77777777" w:rsidR="008C027A" w:rsidRPr="00A52AEE" w:rsidRDefault="008C027A" w:rsidP="009A2373">
            <w:pPr>
              <w:jc w:val="right"/>
              <w:rPr>
                <w:lang w:eastAsia="en-GB"/>
              </w:rPr>
            </w:pPr>
            <w:r w:rsidRPr="00A52AEE">
              <w:rPr>
                <w:lang w:eastAsia="en-GB"/>
              </w:rPr>
              <w:t>36%</w:t>
            </w:r>
          </w:p>
        </w:tc>
        <w:tc>
          <w:tcPr>
            <w:tcW w:w="622" w:type="pct"/>
            <w:tcBorders>
              <w:top w:val="nil"/>
              <w:left w:val="nil"/>
              <w:bottom w:val="single" w:sz="4" w:space="0" w:color="auto"/>
              <w:right w:val="single" w:sz="4" w:space="0" w:color="auto"/>
            </w:tcBorders>
            <w:shd w:val="clear" w:color="auto" w:fill="auto"/>
            <w:noWrap/>
            <w:vAlign w:val="bottom"/>
            <w:hideMark/>
          </w:tcPr>
          <w:p w14:paraId="1ACAE4A0"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74B19694" w14:textId="77777777" w:rsidR="008C027A" w:rsidRPr="00A52AEE" w:rsidRDefault="008C027A" w:rsidP="009A2373">
            <w:pPr>
              <w:jc w:val="right"/>
              <w:rPr>
                <w:lang w:eastAsia="en-GB"/>
              </w:rPr>
            </w:pPr>
            <w:r w:rsidRPr="00A52AEE">
              <w:rPr>
                <w:lang w:eastAsia="en-GB"/>
              </w:rPr>
              <w:t>34%</w:t>
            </w:r>
          </w:p>
        </w:tc>
      </w:tr>
      <w:tr w:rsidR="008C027A" w:rsidRPr="00A52AEE" w14:paraId="6AA25E2D"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52CBD253" w14:textId="77777777" w:rsidR="008C027A" w:rsidRPr="00A52AEE" w:rsidRDefault="008C027A" w:rsidP="00A52AEE">
            <w:pPr>
              <w:rPr>
                <w:lang w:eastAsia="en-GB"/>
              </w:rPr>
            </w:pPr>
            <w:r w:rsidRPr="00A52AEE">
              <w:rPr>
                <w:lang w:eastAsia="en-GB"/>
              </w:rPr>
              <w:t>Barnet</w:t>
            </w:r>
          </w:p>
        </w:tc>
        <w:tc>
          <w:tcPr>
            <w:tcW w:w="622" w:type="pct"/>
            <w:tcBorders>
              <w:top w:val="nil"/>
              <w:left w:val="nil"/>
              <w:bottom w:val="single" w:sz="4" w:space="0" w:color="auto"/>
              <w:right w:val="single" w:sz="4" w:space="0" w:color="auto"/>
            </w:tcBorders>
            <w:shd w:val="clear" w:color="auto" w:fill="auto"/>
            <w:noWrap/>
            <w:vAlign w:val="bottom"/>
            <w:hideMark/>
          </w:tcPr>
          <w:p w14:paraId="70508C1F"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5D1C7686"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27FBD6DC"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036E8A25"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42B66736" w14:textId="77777777" w:rsidR="008C027A" w:rsidRPr="00A52AEE" w:rsidRDefault="008C027A" w:rsidP="009A2373">
            <w:pPr>
              <w:jc w:val="right"/>
              <w:rPr>
                <w:lang w:eastAsia="en-GB"/>
              </w:rPr>
            </w:pPr>
            <w:r w:rsidRPr="00A52AEE">
              <w:rPr>
                <w:lang w:eastAsia="en-GB"/>
              </w:rPr>
              <w:t>37%</w:t>
            </w:r>
          </w:p>
        </w:tc>
      </w:tr>
      <w:tr w:rsidR="008C027A" w:rsidRPr="00A52AEE" w14:paraId="69B2673C"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7203E333" w14:textId="77777777" w:rsidR="008C027A" w:rsidRPr="00A52AEE" w:rsidRDefault="008C027A" w:rsidP="00A52AEE">
            <w:pPr>
              <w:rPr>
                <w:lang w:eastAsia="en-GB"/>
              </w:rPr>
            </w:pPr>
            <w:r w:rsidRPr="00A52AEE">
              <w:rPr>
                <w:lang w:eastAsia="en-GB"/>
              </w:rPr>
              <w:t>Bexley</w:t>
            </w:r>
          </w:p>
        </w:tc>
        <w:tc>
          <w:tcPr>
            <w:tcW w:w="622" w:type="pct"/>
            <w:tcBorders>
              <w:top w:val="nil"/>
              <w:left w:val="nil"/>
              <w:bottom w:val="single" w:sz="4" w:space="0" w:color="auto"/>
              <w:right w:val="single" w:sz="4" w:space="0" w:color="auto"/>
            </w:tcBorders>
            <w:shd w:val="clear" w:color="auto" w:fill="auto"/>
            <w:noWrap/>
            <w:vAlign w:val="bottom"/>
            <w:hideMark/>
          </w:tcPr>
          <w:p w14:paraId="1A30093A" w14:textId="77777777" w:rsidR="008C027A" w:rsidRPr="00A52AEE" w:rsidRDefault="008C027A" w:rsidP="009A2373">
            <w:pPr>
              <w:jc w:val="right"/>
              <w:rPr>
                <w:lang w:eastAsia="en-GB"/>
              </w:rPr>
            </w:pPr>
            <w:r w:rsidRPr="00A52AEE">
              <w:rPr>
                <w:lang w:eastAsia="en-GB"/>
              </w:rPr>
              <w:t>29%</w:t>
            </w:r>
          </w:p>
        </w:tc>
        <w:tc>
          <w:tcPr>
            <w:tcW w:w="622" w:type="pct"/>
            <w:tcBorders>
              <w:top w:val="nil"/>
              <w:left w:val="nil"/>
              <w:bottom w:val="single" w:sz="4" w:space="0" w:color="auto"/>
              <w:right w:val="single" w:sz="4" w:space="0" w:color="auto"/>
            </w:tcBorders>
            <w:shd w:val="clear" w:color="auto" w:fill="auto"/>
            <w:noWrap/>
            <w:vAlign w:val="bottom"/>
            <w:hideMark/>
          </w:tcPr>
          <w:p w14:paraId="3FDEA68D" w14:textId="77777777" w:rsidR="008C027A" w:rsidRPr="00A52AEE" w:rsidRDefault="008C027A" w:rsidP="009A2373">
            <w:pPr>
              <w:jc w:val="right"/>
              <w:rPr>
                <w:lang w:eastAsia="en-GB"/>
              </w:rPr>
            </w:pPr>
            <w:r w:rsidRPr="00A52AEE">
              <w:rPr>
                <w:lang w:eastAsia="en-GB"/>
              </w:rPr>
              <w:t>24%</w:t>
            </w:r>
          </w:p>
        </w:tc>
        <w:tc>
          <w:tcPr>
            <w:tcW w:w="622" w:type="pct"/>
            <w:tcBorders>
              <w:top w:val="nil"/>
              <w:left w:val="nil"/>
              <w:bottom w:val="single" w:sz="4" w:space="0" w:color="auto"/>
              <w:right w:val="single" w:sz="4" w:space="0" w:color="auto"/>
            </w:tcBorders>
            <w:shd w:val="clear" w:color="auto" w:fill="auto"/>
            <w:noWrap/>
            <w:vAlign w:val="bottom"/>
            <w:hideMark/>
          </w:tcPr>
          <w:p w14:paraId="5BA836B4" w14:textId="77777777" w:rsidR="008C027A" w:rsidRPr="00A52AEE" w:rsidRDefault="008C027A" w:rsidP="009A2373">
            <w:pPr>
              <w:jc w:val="right"/>
              <w:rPr>
                <w:lang w:eastAsia="en-GB"/>
              </w:rPr>
            </w:pPr>
            <w:r w:rsidRPr="00A52AEE">
              <w:rPr>
                <w:lang w:eastAsia="en-GB"/>
              </w:rPr>
              <w:t>31%</w:t>
            </w:r>
          </w:p>
        </w:tc>
        <w:tc>
          <w:tcPr>
            <w:tcW w:w="622" w:type="pct"/>
            <w:tcBorders>
              <w:top w:val="nil"/>
              <w:left w:val="nil"/>
              <w:bottom w:val="single" w:sz="4" w:space="0" w:color="auto"/>
              <w:right w:val="single" w:sz="4" w:space="0" w:color="auto"/>
            </w:tcBorders>
            <w:shd w:val="clear" w:color="auto" w:fill="auto"/>
            <w:noWrap/>
            <w:vAlign w:val="bottom"/>
            <w:hideMark/>
          </w:tcPr>
          <w:p w14:paraId="5F477C2B" w14:textId="77777777" w:rsidR="008C027A" w:rsidRPr="00A52AEE" w:rsidRDefault="008C027A" w:rsidP="009A2373">
            <w:pPr>
              <w:jc w:val="right"/>
              <w:rPr>
                <w:lang w:eastAsia="en-GB"/>
              </w:rPr>
            </w:pPr>
            <w:r w:rsidRPr="00A52AEE">
              <w:rPr>
                <w:lang w:eastAsia="en-GB"/>
              </w:rPr>
              <w:t>34%</w:t>
            </w:r>
          </w:p>
        </w:tc>
        <w:tc>
          <w:tcPr>
            <w:tcW w:w="622" w:type="pct"/>
            <w:tcBorders>
              <w:top w:val="nil"/>
              <w:left w:val="nil"/>
              <w:bottom w:val="single" w:sz="4" w:space="0" w:color="auto"/>
              <w:right w:val="single" w:sz="4" w:space="0" w:color="auto"/>
            </w:tcBorders>
            <w:shd w:val="clear" w:color="auto" w:fill="auto"/>
            <w:noWrap/>
            <w:vAlign w:val="bottom"/>
            <w:hideMark/>
          </w:tcPr>
          <w:p w14:paraId="54736339" w14:textId="77777777" w:rsidR="008C027A" w:rsidRPr="00A52AEE" w:rsidRDefault="008C027A" w:rsidP="009A2373">
            <w:pPr>
              <w:jc w:val="right"/>
              <w:rPr>
                <w:lang w:eastAsia="en-GB"/>
              </w:rPr>
            </w:pPr>
            <w:r w:rsidRPr="00A52AEE">
              <w:rPr>
                <w:lang w:eastAsia="en-GB"/>
              </w:rPr>
              <w:t>37%</w:t>
            </w:r>
          </w:p>
        </w:tc>
      </w:tr>
      <w:tr w:rsidR="008C027A" w:rsidRPr="00A52AEE" w14:paraId="06001B44"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7C2F475A" w14:textId="77777777" w:rsidR="008C027A" w:rsidRPr="00A52AEE" w:rsidRDefault="008C027A" w:rsidP="00A52AEE">
            <w:pPr>
              <w:rPr>
                <w:lang w:eastAsia="en-GB"/>
              </w:rPr>
            </w:pPr>
            <w:r w:rsidRPr="00A52AEE">
              <w:rPr>
                <w:lang w:eastAsia="en-GB"/>
              </w:rPr>
              <w:t>Brent</w:t>
            </w:r>
          </w:p>
        </w:tc>
        <w:tc>
          <w:tcPr>
            <w:tcW w:w="622" w:type="pct"/>
            <w:tcBorders>
              <w:top w:val="nil"/>
              <w:left w:val="nil"/>
              <w:bottom w:val="single" w:sz="4" w:space="0" w:color="auto"/>
              <w:right w:val="single" w:sz="4" w:space="0" w:color="auto"/>
            </w:tcBorders>
            <w:shd w:val="clear" w:color="auto" w:fill="auto"/>
            <w:noWrap/>
            <w:vAlign w:val="bottom"/>
            <w:hideMark/>
          </w:tcPr>
          <w:p w14:paraId="3CD150BD" w14:textId="77777777" w:rsidR="008C027A" w:rsidRPr="00A52AEE" w:rsidRDefault="008C027A" w:rsidP="009A2373">
            <w:pPr>
              <w:jc w:val="right"/>
              <w:rPr>
                <w:lang w:eastAsia="en-GB"/>
              </w:rPr>
            </w:pPr>
            <w:r w:rsidRPr="00A52AEE">
              <w:rPr>
                <w:lang w:eastAsia="en-GB"/>
              </w:rPr>
              <w:t>46%</w:t>
            </w:r>
          </w:p>
        </w:tc>
        <w:tc>
          <w:tcPr>
            <w:tcW w:w="622" w:type="pct"/>
            <w:tcBorders>
              <w:top w:val="nil"/>
              <w:left w:val="nil"/>
              <w:bottom w:val="single" w:sz="4" w:space="0" w:color="auto"/>
              <w:right w:val="single" w:sz="4" w:space="0" w:color="auto"/>
            </w:tcBorders>
            <w:shd w:val="clear" w:color="auto" w:fill="auto"/>
            <w:noWrap/>
            <w:vAlign w:val="bottom"/>
            <w:hideMark/>
          </w:tcPr>
          <w:p w14:paraId="4513450B" w14:textId="77777777" w:rsidR="008C027A" w:rsidRPr="00A52AEE" w:rsidRDefault="008C027A" w:rsidP="009A2373">
            <w:pPr>
              <w:jc w:val="right"/>
              <w:rPr>
                <w:lang w:eastAsia="en-GB"/>
              </w:rPr>
            </w:pPr>
            <w:r w:rsidRPr="00A52AEE">
              <w:rPr>
                <w:lang w:eastAsia="en-GB"/>
              </w:rPr>
              <w:t>46%</w:t>
            </w:r>
          </w:p>
        </w:tc>
        <w:tc>
          <w:tcPr>
            <w:tcW w:w="622" w:type="pct"/>
            <w:tcBorders>
              <w:top w:val="nil"/>
              <w:left w:val="nil"/>
              <w:bottom w:val="single" w:sz="4" w:space="0" w:color="auto"/>
              <w:right w:val="single" w:sz="4" w:space="0" w:color="auto"/>
            </w:tcBorders>
            <w:shd w:val="clear" w:color="auto" w:fill="auto"/>
            <w:noWrap/>
            <w:vAlign w:val="bottom"/>
            <w:hideMark/>
          </w:tcPr>
          <w:p w14:paraId="0F4C7D6F"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0474B4EA" w14:textId="77777777" w:rsidR="008C027A" w:rsidRPr="00A52AEE" w:rsidRDefault="008C027A" w:rsidP="009A2373">
            <w:pPr>
              <w:jc w:val="right"/>
              <w:rPr>
                <w:lang w:eastAsia="en-GB"/>
              </w:rPr>
            </w:pPr>
            <w:r w:rsidRPr="00A52AEE">
              <w:rPr>
                <w:lang w:eastAsia="en-GB"/>
              </w:rPr>
              <w:t>48%</w:t>
            </w:r>
          </w:p>
        </w:tc>
        <w:tc>
          <w:tcPr>
            <w:tcW w:w="622" w:type="pct"/>
            <w:tcBorders>
              <w:top w:val="nil"/>
              <w:left w:val="nil"/>
              <w:bottom w:val="single" w:sz="4" w:space="0" w:color="auto"/>
              <w:right w:val="single" w:sz="4" w:space="0" w:color="auto"/>
            </w:tcBorders>
            <w:shd w:val="clear" w:color="auto" w:fill="auto"/>
            <w:noWrap/>
            <w:vAlign w:val="bottom"/>
            <w:hideMark/>
          </w:tcPr>
          <w:p w14:paraId="0C4D2138" w14:textId="77777777" w:rsidR="008C027A" w:rsidRPr="00A52AEE" w:rsidRDefault="008C027A" w:rsidP="009A2373">
            <w:pPr>
              <w:jc w:val="right"/>
              <w:rPr>
                <w:lang w:eastAsia="en-GB"/>
              </w:rPr>
            </w:pPr>
            <w:r w:rsidRPr="00A52AEE">
              <w:rPr>
                <w:lang w:eastAsia="en-GB"/>
              </w:rPr>
              <w:t>44%</w:t>
            </w:r>
          </w:p>
        </w:tc>
      </w:tr>
      <w:tr w:rsidR="008C027A" w:rsidRPr="00A52AEE" w14:paraId="20A2C806"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D22C2D7" w14:textId="77777777" w:rsidR="008C027A" w:rsidRPr="00A52AEE" w:rsidRDefault="008C027A" w:rsidP="00A52AEE">
            <w:pPr>
              <w:rPr>
                <w:lang w:eastAsia="en-GB"/>
              </w:rPr>
            </w:pPr>
            <w:r w:rsidRPr="00A52AEE">
              <w:rPr>
                <w:lang w:eastAsia="en-GB"/>
              </w:rPr>
              <w:t>Bromley</w:t>
            </w:r>
          </w:p>
        </w:tc>
        <w:tc>
          <w:tcPr>
            <w:tcW w:w="622" w:type="pct"/>
            <w:tcBorders>
              <w:top w:val="nil"/>
              <w:left w:val="nil"/>
              <w:bottom w:val="single" w:sz="4" w:space="0" w:color="auto"/>
              <w:right w:val="single" w:sz="4" w:space="0" w:color="auto"/>
            </w:tcBorders>
            <w:shd w:val="clear" w:color="auto" w:fill="auto"/>
            <w:noWrap/>
            <w:vAlign w:val="bottom"/>
            <w:hideMark/>
          </w:tcPr>
          <w:p w14:paraId="4999825A" w14:textId="77777777" w:rsidR="008C027A" w:rsidRPr="00A52AEE" w:rsidRDefault="008C027A" w:rsidP="009A2373">
            <w:pPr>
              <w:jc w:val="right"/>
              <w:rPr>
                <w:lang w:eastAsia="en-GB"/>
              </w:rPr>
            </w:pPr>
            <w:r w:rsidRPr="00A52AEE">
              <w:rPr>
                <w:lang w:eastAsia="en-GB"/>
              </w:rPr>
              <w:t>28%</w:t>
            </w:r>
          </w:p>
        </w:tc>
        <w:tc>
          <w:tcPr>
            <w:tcW w:w="622" w:type="pct"/>
            <w:tcBorders>
              <w:top w:val="nil"/>
              <w:left w:val="nil"/>
              <w:bottom w:val="single" w:sz="4" w:space="0" w:color="auto"/>
              <w:right w:val="single" w:sz="4" w:space="0" w:color="auto"/>
            </w:tcBorders>
            <w:shd w:val="clear" w:color="auto" w:fill="auto"/>
            <w:noWrap/>
            <w:vAlign w:val="bottom"/>
            <w:hideMark/>
          </w:tcPr>
          <w:p w14:paraId="212AA524" w14:textId="77777777" w:rsidR="008C027A" w:rsidRPr="00A52AEE" w:rsidRDefault="008C027A" w:rsidP="009A2373">
            <w:pPr>
              <w:jc w:val="right"/>
              <w:rPr>
                <w:lang w:eastAsia="en-GB"/>
              </w:rPr>
            </w:pPr>
            <w:r w:rsidRPr="00A52AEE">
              <w:rPr>
                <w:lang w:eastAsia="en-GB"/>
              </w:rPr>
              <w:t>24%</w:t>
            </w:r>
          </w:p>
        </w:tc>
        <w:tc>
          <w:tcPr>
            <w:tcW w:w="622" w:type="pct"/>
            <w:tcBorders>
              <w:top w:val="nil"/>
              <w:left w:val="nil"/>
              <w:bottom w:val="single" w:sz="4" w:space="0" w:color="auto"/>
              <w:right w:val="single" w:sz="4" w:space="0" w:color="auto"/>
            </w:tcBorders>
            <w:shd w:val="clear" w:color="auto" w:fill="auto"/>
            <w:noWrap/>
            <w:vAlign w:val="bottom"/>
            <w:hideMark/>
          </w:tcPr>
          <w:p w14:paraId="7C0E25E0" w14:textId="77777777" w:rsidR="008C027A" w:rsidRPr="00A52AEE" w:rsidRDefault="008C027A" w:rsidP="009A2373">
            <w:pPr>
              <w:jc w:val="right"/>
              <w:rPr>
                <w:lang w:eastAsia="en-GB"/>
              </w:rPr>
            </w:pPr>
            <w:r w:rsidRPr="00A52AEE">
              <w:rPr>
                <w:lang w:eastAsia="en-GB"/>
              </w:rPr>
              <w:t>21%</w:t>
            </w:r>
          </w:p>
        </w:tc>
        <w:tc>
          <w:tcPr>
            <w:tcW w:w="622" w:type="pct"/>
            <w:tcBorders>
              <w:top w:val="nil"/>
              <w:left w:val="nil"/>
              <w:bottom w:val="single" w:sz="4" w:space="0" w:color="auto"/>
              <w:right w:val="single" w:sz="4" w:space="0" w:color="auto"/>
            </w:tcBorders>
            <w:shd w:val="clear" w:color="auto" w:fill="auto"/>
            <w:noWrap/>
            <w:vAlign w:val="bottom"/>
            <w:hideMark/>
          </w:tcPr>
          <w:p w14:paraId="45CFED5F" w14:textId="77777777" w:rsidR="008C027A" w:rsidRPr="00A52AEE" w:rsidRDefault="008C027A" w:rsidP="009A2373">
            <w:pPr>
              <w:jc w:val="right"/>
              <w:rPr>
                <w:lang w:eastAsia="en-GB"/>
              </w:rPr>
            </w:pPr>
            <w:r w:rsidRPr="00A52AEE">
              <w:rPr>
                <w:lang w:eastAsia="en-GB"/>
              </w:rPr>
              <w:t>28%</w:t>
            </w:r>
          </w:p>
        </w:tc>
        <w:tc>
          <w:tcPr>
            <w:tcW w:w="622" w:type="pct"/>
            <w:tcBorders>
              <w:top w:val="nil"/>
              <w:left w:val="nil"/>
              <w:bottom w:val="single" w:sz="4" w:space="0" w:color="auto"/>
              <w:right w:val="single" w:sz="4" w:space="0" w:color="auto"/>
            </w:tcBorders>
            <w:shd w:val="clear" w:color="auto" w:fill="auto"/>
            <w:noWrap/>
            <w:vAlign w:val="bottom"/>
            <w:hideMark/>
          </w:tcPr>
          <w:p w14:paraId="54D23E09" w14:textId="77777777" w:rsidR="008C027A" w:rsidRPr="00A52AEE" w:rsidRDefault="008C027A" w:rsidP="009A2373">
            <w:pPr>
              <w:jc w:val="right"/>
              <w:rPr>
                <w:lang w:eastAsia="en-GB"/>
              </w:rPr>
            </w:pPr>
            <w:r w:rsidRPr="00A52AEE">
              <w:rPr>
                <w:lang w:eastAsia="en-GB"/>
              </w:rPr>
              <w:t>28%</w:t>
            </w:r>
          </w:p>
        </w:tc>
      </w:tr>
      <w:tr w:rsidR="008C027A" w:rsidRPr="00A52AEE" w14:paraId="24E4BC9B"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FE03F1C" w14:textId="77777777" w:rsidR="008C027A" w:rsidRPr="00A52AEE" w:rsidRDefault="008C027A" w:rsidP="00A52AEE">
            <w:pPr>
              <w:rPr>
                <w:lang w:eastAsia="en-GB"/>
              </w:rPr>
            </w:pPr>
            <w:r w:rsidRPr="00A52AEE">
              <w:rPr>
                <w:lang w:eastAsia="en-GB"/>
              </w:rPr>
              <w:t>Camden</w:t>
            </w:r>
          </w:p>
        </w:tc>
        <w:tc>
          <w:tcPr>
            <w:tcW w:w="622" w:type="pct"/>
            <w:tcBorders>
              <w:top w:val="nil"/>
              <w:left w:val="nil"/>
              <w:bottom w:val="single" w:sz="4" w:space="0" w:color="auto"/>
              <w:right w:val="single" w:sz="4" w:space="0" w:color="auto"/>
            </w:tcBorders>
            <w:shd w:val="clear" w:color="auto" w:fill="auto"/>
            <w:noWrap/>
            <w:vAlign w:val="bottom"/>
            <w:hideMark/>
          </w:tcPr>
          <w:p w14:paraId="78E1E019"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0C5F1180"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362F1D10"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487AC62E"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2911A49C" w14:textId="77777777" w:rsidR="008C027A" w:rsidRPr="00A52AEE" w:rsidRDefault="008C027A" w:rsidP="009A2373">
            <w:pPr>
              <w:jc w:val="right"/>
              <w:rPr>
                <w:lang w:eastAsia="en-GB"/>
              </w:rPr>
            </w:pPr>
            <w:r w:rsidRPr="00A52AEE">
              <w:rPr>
                <w:lang w:eastAsia="en-GB"/>
              </w:rPr>
              <w:t>40%</w:t>
            </w:r>
          </w:p>
        </w:tc>
      </w:tr>
      <w:tr w:rsidR="008C027A" w:rsidRPr="00A52AEE" w14:paraId="3291A937"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7624482B" w14:textId="77777777" w:rsidR="008C027A" w:rsidRPr="00A52AEE" w:rsidRDefault="008C027A" w:rsidP="00A52AEE">
            <w:pPr>
              <w:rPr>
                <w:lang w:eastAsia="en-GB"/>
              </w:rPr>
            </w:pPr>
            <w:r w:rsidRPr="00A52AEE">
              <w:rPr>
                <w:lang w:eastAsia="en-GB"/>
              </w:rPr>
              <w:t>City of London</w:t>
            </w:r>
          </w:p>
        </w:tc>
        <w:tc>
          <w:tcPr>
            <w:tcW w:w="622" w:type="pct"/>
            <w:tcBorders>
              <w:top w:val="nil"/>
              <w:left w:val="nil"/>
              <w:bottom w:val="single" w:sz="4" w:space="0" w:color="auto"/>
              <w:right w:val="single" w:sz="4" w:space="0" w:color="auto"/>
            </w:tcBorders>
            <w:shd w:val="clear" w:color="auto" w:fill="auto"/>
            <w:noWrap/>
            <w:vAlign w:val="bottom"/>
            <w:hideMark/>
          </w:tcPr>
          <w:p w14:paraId="68F18CDC" w14:textId="77777777" w:rsidR="008C027A" w:rsidRPr="00A52AEE" w:rsidRDefault="008C027A" w:rsidP="009A2373">
            <w:pPr>
              <w:jc w:val="right"/>
              <w:rPr>
                <w:lang w:eastAsia="en-GB"/>
              </w:rPr>
            </w:pPr>
            <w:r w:rsidRPr="00A52AEE">
              <w:rPr>
                <w:lang w:eastAsia="en-GB"/>
              </w:rPr>
              <w:t>25%</w:t>
            </w:r>
          </w:p>
        </w:tc>
        <w:tc>
          <w:tcPr>
            <w:tcW w:w="622" w:type="pct"/>
            <w:tcBorders>
              <w:top w:val="nil"/>
              <w:left w:val="nil"/>
              <w:bottom w:val="single" w:sz="4" w:space="0" w:color="auto"/>
              <w:right w:val="single" w:sz="4" w:space="0" w:color="auto"/>
            </w:tcBorders>
            <w:shd w:val="clear" w:color="auto" w:fill="auto"/>
            <w:noWrap/>
            <w:vAlign w:val="bottom"/>
            <w:hideMark/>
          </w:tcPr>
          <w:p w14:paraId="15B5BBDA" w14:textId="77777777" w:rsidR="008C027A" w:rsidRPr="00A52AEE" w:rsidRDefault="008C027A" w:rsidP="009A2373">
            <w:pPr>
              <w:jc w:val="right"/>
              <w:rPr>
                <w:lang w:eastAsia="en-GB"/>
              </w:rPr>
            </w:pPr>
            <w:r w:rsidRPr="00A52AEE">
              <w:rPr>
                <w:lang w:eastAsia="en-GB"/>
              </w:rPr>
              <w:t>29%</w:t>
            </w:r>
          </w:p>
        </w:tc>
        <w:tc>
          <w:tcPr>
            <w:tcW w:w="622" w:type="pct"/>
            <w:tcBorders>
              <w:top w:val="nil"/>
              <w:left w:val="nil"/>
              <w:bottom w:val="single" w:sz="4" w:space="0" w:color="auto"/>
              <w:right w:val="single" w:sz="4" w:space="0" w:color="auto"/>
            </w:tcBorders>
            <w:shd w:val="clear" w:color="auto" w:fill="auto"/>
            <w:noWrap/>
            <w:vAlign w:val="bottom"/>
            <w:hideMark/>
          </w:tcPr>
          <w:p w14:paraId="77F44B32" w14:textId="77777777" w:rsidR="008C027A" w:rsidRPr="00A52AEE" w:rsidRDefault="008C027A" w:rsidP="009A2373">
            <w:pPr>
              <w:jc w:val="right"/>
              <w:rPr>
                <w:lang w:eastAsia="en-GB"/>
              </w:rPr>
            </w:pPr>
            <w:r w:rsidRPr="00A52AEE">
              <w:rPr>
                <w:lang w:eastAsia="en-GB"/>
              </w:rPr>
              <w:t>52%</w:t>
            </w:r>
          </w:p>
        </w:tc>
        <w:tc>
          <w:tcPr>
            <w:tcW w:w="622" w:type="pct"/>
            <w:tcBorders>
              <w:top w:val="nil"/>
              <w:left w:val="nil"/>
              <w:bottom w:val="single" w:sz="4" w:space="0" w:color="auto"/>
              <w:right w:val="single" w:sz="4" w:space="0" w:color="auto"/>
            </w:tcBorders>
            <w:shd w:val="clear" w:color="auto" w:fill="auto"/>
            <w:noWrap/>
            <w:vAlign w:val="bottom"/>
            <w:hideMark/>
          </w:tcPr>
          <w:p w14:paraId="71F5B56C" w14:textId="77777777" w:rsidR="008C027A" w:rsidRPr="00A52AEE" w:rsidRDefault="008C027A" w:rsidP="009A2373">
            <w:pPr>
              <w:jc w:val="right"/>
              <w:rPr>
                <w:lang w:eastAsia="en-GB"/>
              </w:rPr>
            </w:pPr>
            <w:r w:rsidRPr="00A52AEE">
              <w:rPr>
                <w:lang w:eastAsia="en-GB"/>
              </w:rPr>
              <w:t>33%</w:t>
            </w:r>
          </w:p>
        </w:tc>
        <w:tc>
          <w:tcPr>
            <w:tcW w:w="622" w:type="pct"/>
            <w:tcBorders>
              <w:top w:val="nil"/>
              <w:left w:val="nil"/>
              <w:bottom w:val="single" w:sz="4" w:space="0" w:color="auto"/>
              <w:right w:val="single" w:sz="4" w:space="0" w:color="auto"/>
            </w:tcBorders>
            <w:shd w:val="clear" w:color="auto" w:fill="auto"/>
            <w:noWrap/>
            <w:vAlign w:val="bottom"/>
            <w:hideMark/>
          </w:tcPr>
          <w:p w14:paraId="7A3DDE9A" w14:textId="77777777" w:rsidR="008C027A" w:rsidRPr="00A52AEE" w:rsidRDefault="008C027A" w:rsidP="009A2373">
            <w:pPr>
              <w:jc w:val="right"/>
              <w:rPr>
                <w:lang w:eastAsia="en-GB"/>
              </w:rPr>
            </w:pPr>
            <w:r w:rsidRPr="00A52AEE">
              <w:rPr>
                <w:lang w:eastAsia="en-GB"/>
              </w:rPr>
              <w:t>30%</w:t>
            </w:r>
          </w:p>
        </w:tc>
      </w:tr>
      <w:tr w:rsidR="008C027A" w:rsidRPr="00A52AEE" w14:paraId="5894440E"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91572C8" w14:textId="77777777" w:rsidR="008C027A" w:rsidRPr="00A52AEE" w:rsidRDefault="008C027A" w:rsidP="00A52AEE">
            <w:pPr>
              <w:rPr>
                <w:lang w:eastAsia="en-GB"/>
              </w:rPr>
            </w:pPr>
            <w:r w:rsidRPr="00A52AEE">
              <w:rPr>
                <w:lang w:eastAsia="en-GB"/>
              </w:rPr>
              <w:t>Croydon</w:t>
            </w:r>
          </w:p>
        </w:tc>
        <w:tc>
          <w:tcPr>
            <w:tcW w:w="622" w:type="pct"/>
            <w:tcBorders>
              <w:top w:val="nil"/>
              <w:left w:val="nil"/>
              <w:bottom w:val="single" w:sz="4" w:space="0" w:color="auto"/>
              <w:right w:val="single" w:sz="4" w:space="0" w:color="auto"/>
            </w:tcBorders>
            <w:shd w:val="clear" w:color="auto" w:fill="auto"/>
            <w:noWrap/>
            <w:vAlign w:val="bottom"/>
            <w:hideMark/>
          </w:tcPr>
          <w:p w14:paraId="66E1274A"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66AD2A68" w14:textId="77777777" w:rsidR="008C027A" w:rsidRPr="00A52AEE" w:rsidRDefault="008C027A" w:rsidP="009A2373">
            <w:pPr>
              <w:jc w:val="right"/>
              <w:rPr>
                <w:lang w:eastAsia="en-GB"/>
              </w:rPr>
            </w:pPr>
            <w:r w:rsidRPr="00A52AEE">
              <w:rPr>
                <w:lang w:eastAsia="en-GB"/>
              </w:rPr>
              <w:t>38%</w:t>
            </w:r>
          </w:p>
        </w:tc>
        <w:tc>
          <w:tcPr>
            <w:tcW w:w="622" w:type="pct"/>
            <w:tcBorders>
              <w:top w:val="nil"/>
              <w:left w:val="nil"/>
              <w:bottom w:val="single" w:sz="4" w:space="0" w:color="auto"/>
              <w:right w:val="single" w:sz="4" w:space="0" w:color="auto"/>
            </w:tcBorders>
            <w:shd w:val="clear" w:color="auto" w:fill="auto"/>
            <w:noWrap/>
            <w:vAlign w:val="bottom"/>
            <w:hideMark/>
          </w:tcPr>
          <w:p w14:paraId="1C40C089"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7B26F8B2"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211FB5F5" w14:textId="77777777" w:rsidR="008C027A" w:rsidRPr="00A52AEE" w:rsidRDefault="008C027A" w:rsidP="009A2373">
            <w:pPr>
              <w:jc w:val="right"/>
              <w:rPr>
                <w:lang w:eastAsia="en-GB"/>
              </w:rPr>
            </w:pPr>
            <w:r w:rsidRPr="00A52AEE">
              <w:rPr>
                <w:lang w:eastAsia="en-GB"/>
              </w:rPr>
              <w:t>41%</w:t>
            </w:r>
          </w:p>
        </w:tc>
      </w:tr>
      <w:tr w:rsidR="008C027A" w:rsidRPr="00A52AEE" w14:paraId="74184245"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B03B4F0" w14:textId="77777777" w:rsidR="008C027A" w:rsidRPr="00A52AEE" w:rsidRDefault="008C027A" w:rsidP="00A52AEE">
            <w:pPr>
              <w:rPr>
                <w:lang w:eastAsia="en-GB"/>
              </w:rPr>
            </w:pPr>
            <w:r w:rsidRPr="00A52AEE">
              <w:rPr>
                <w:lang w:eastAsia="en-GB"/>
              </w:rPr>
              <w:t>Ealing</w:t>
            </w:r>
          </w:p>
        </w:tc>
        <w:tc>
          <w:tcPr>
            <w:tcW w:w="622" w:type="pct"/>
            <w:tcBorders>
              <w:top w:val="nil"/>
              <w:left w:val="nil"/>
              <w:bottom w:val="single" w:sz="4" w:space="0" w:color="auto"/>
              <w:right w:val="single" w:sz="4" w:space="0" w:color="auto"/>
            </w:tcBorders>
            <w:shd w:val="clear" w:color="auto" w:fill="auto"/>
            <w:noWrap/>
            <w:vAlign w:val="bottom"/>
            <w:hideMark/>
          </w:tcPr>
          <w:p w14:paraId="68412B95" w14:textId="77777777" w:rsidR="008C027A" w:rsidRPr="00A52AEE" w:rsidRDefault="008C027A" w:rsidP="009A2373">
            <w:pPr>
              <w:jc w:val="right"/>
              <w:rPr>
                <w:lang w:eastAsia="en-GB"/>
              </w:rPr>
            </w:pPr>
            <w:r w:rsidRPr="00A52AEE">
              <w:rPr>
                <w:lang w:eastAsia="en-GB"/>
              </w:rPr>
              <w:t>51%</w:t>
            </w:r>
          </w:p>
        </w:tc>
        <w:tc>
          <w:tcPr>
            <w:tcW w:w="622" w:type="pct"/>
            <w:tcBorders>
              <w:top w:val="nil"/>
              <w:left w:val="nil"/>
              <w:bottom w:val="single" w:sz="4" w:space="0" w:color="auto"/>
              <w:right w:val="single" w:sz="4" w:space="0" w:color="auto"/>
            </w:tcBorders>
            <w:shd w:val="clear" w:color="auto" w:fill="auto"/>
            <w:noWrap/>
            <w:vAlign w:val="bottom"/>
            <w:hideMark/>
          </w:tcPr>
          <w:p w14:paraId="2731EF83" w14:textId="77777777" w:rsidR="008C027A" w:rsidRPr="00A52AEE" w:rsidRDefault="008C027A" w:rsidP="009A2373">
            <w:pPr>
              <w:jc w:val="right"/>
              <w:rPr>
                <w:lang w:eastAsia="en-GB"/>
              </w:rPr>
            </w:pPr>
            <w:r w:rsidRPr="00A52AEE">
              <w:rPr>
                <w:lang w:eastAsia="en-GB"/>
              </w:rPr>
              <w:t>49%</w:t>
            </w:r>
          </w:p>
        </w:tc>
        <w:tc>
          <w:tcPr>
            <w:tcW w:w="622" w:type="pct"/>
            <w:tcBorders>
              <w:top w:val="nil"/>
              <w:left w:val="nil"/>
              <w:bottom w:val="single" w:sz="4" w:space="0" w:color="auto"/>
              <w:right w:val="single" w:sz="4" w:space="0" w:color="auto"/>
            </w:tcBorders>
            <w:shd w:val="clear" w:color="auto" w:fill="auto"/>
            <w:noWrap/>
            <w:vAlign w:val="bottom"/>
            <w:hideMark/>
          </w:tcPr>
          <w:p w14:paraId="41BE3C26"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3A164330"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031C69EC" w14:textId="77777777" w:rsidR="008C027A" w:rsidRPr="00A52AEE" w:rsidRDefault="008C027A" w:rsidP="009A2373">
            <w:pPr>
              <w:jc w:val="right"/>
              <w:rPr>
                <w:lang w:eastAsia="en-GB"/>
              </w:rPr>
            </w:pPr>
            <w:r w:rsidRPr="00A52AEE">
              <w:rPr>
                <w:lang w:eastAsia="en-GB"/>
              </w:rPr>
              <w:t>39%</w:t>
            </w:r>
          </w:p>
        </w:tc>
      </w:tr>
      <w:tr w:rsidR="008C027A" w:rsidRPr="00A52AEE" w14:paraId="2125523C"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61B35278" w14:textId="77777777" w:rsidR="008C027A" w:rsidRPr="00A52AEE" w:rsidRDefault="008C027A" w:rsidP="00A52AEE">
            <w:pPr>
              <w:rPr>
                <w:lang w:eastAsia="en-GB"/>
              </w:rPr>
            </w:pPr>
            <w:r w:rsidRPr="00A52AEE">
              <w:rPr>
                <w:lang w:eastAsia="en-GB"/>
              </w:rPr>
              <w:t>Enfield</w:t>
            </w:r>
          </w:p>
        </w:tc>
        <w:tc>
          <w:tcPr>
            <w:tcW w:w="622" w:type="pct"/>
            <w:tcBorders>
              <w:top w:val="nil"/>
              <w:left w:val="nil"/>
              <w:bottom w:val="single" w:sz="4" w:space="0" w:color="auto"/>
              <w:right w:val="single" w:sz="4" w:space="0" w:color="auto"/>
            </w:tcBorders>
            <w:shd w:val="clear" w:color="auto" w:fill="auto"/>
            <w:noWrap/>
            <w:vAlign w:val="bottom"/>
            <w:hideMark/>
          </w:tcPr>
          <w:p w14:paraId="376FAAAC"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51F36399"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0140B9A1"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2B1E0F2F" w14:textId="77777777" w:rsidR="008C027A" w:rsidRPr="00A52AEE" w:rsidRDefault="008C027A" w:rsidP="009A2373">
            <w:pPr>
              <w:jc w:val="right"/>
              <w:rPr>
                <w:lang w:eastAsia="en-GB"/>
              </w:rPr>
            </w:pPr>
            <w:r w:rsidRPr="00A52AEE">
              <w:rPr>
                <w:lang w:eastAsia="en-GB"/>
              </w:rPr>
              <w:t>48%</w:t>
            </w:r>
          </w:p>
        </w:tc>
        <w:tc>
          <w:tcPr>
            <w:tcW w:w="622" w:type="pct"/>
            <w:tcBorders>
              <w:top w:val="nil"/>
              <w:left w:val="nil"/>
              <w:bottom w:val="single" w:sz="4" w:space="0" w:color="auto"/>
              <w:right w:val="single" w:sz="4" w:space="0" w:color="auto"/>
            </w:tcBorders>
            <w:shd w:val="clear" w:color="auto" w:fill="auto"/>
            <w:noWrap/>
            <w:vAlign w:val="bottom"/>
            <w:hideMark/>
          </w:tcPr>
          <w:p w14:paraId="3B3952AC" w14:textId="77777777" w:rsidR="008C027A" w:rsidRPr="00A52AEE" w:rsidRDefault="008C027A" w:rsidP="009A2373">
            <w:pPr>
              <w:jc w:val="right"/>
              <w:rPr>
                <w:lang w:eastAsia="en-GB"/>
              </w:rPr>
            </w:pPr>
            <w:r w:rsidRPr="00A52AEE">
              <w:rPr>
                <w:lang w:eastAsia="en-GB"/>
              </w:rPr>
              <w:t>41%</w:t>
            </w:r>
          </w:p>
        </w:tc>
      </w:tr>
      <w:tr w:rsidR="008C027A" w:rsidRPr="00A52AEE" w14:paraId="5097786F"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2FD09D5E" w14:textId="77777777" w:rsidR="008C027A" w:rsidRPr="00A52AEE" w:rsidRDefault="008C027A" w:rsidP="00A52AEE">
            <w:pPr>
              <w:rPr>
                <w:lang w:eastAsia="en-GB"/>
              </w:rPr>
            </w:pPr>
            <w:r w:rsidRPr="00A52AEE">
              <w:rPr>
                <w:lang w:eastAsia="en-GB"/>
              </w:rPr>
              <w:t>Greenwich</w:t>
            </w:r>
          </w:p>
        </w:tc>
        <w:tc>
          <w:tcPr>
            <w:tcW w:w="622" w:type="pct"/>
            <w:tcBorders>
              <w:top w:val="nil"/>
              <w:left w:val="nil"/>
              <w:bottom w:val="single" w:sz="4" w:space="0" w:color="auto"/>
              <w:right w:val="single" w:sz="4" w:space="0" w:color="auto"/>
            </w:tcBorders>
            <w:shd w:val="clear" w:color="auto" w:fill="auto"/>
            <w:noWrap/>
            <w:vAlign w:val="bottom"/>
            <w:hideMark/>
          </w:tcPr>
          <w:p w14:paraId="7131E341" w14:textId="77777777" w:rsidR="008C027A" w:rsidRPr="00A52AEE" w:rsidRDefault="008C027A" w:rsidP="009A2373">
            <w:pPr>
              <w:jc w:val="right"/>
              <w:rPr>
                <w:lang w:eastAsia="en-GB"/>
              </w:rPr>
            </w:pPr>
            <w:r w:rsidRPr="00A52AEE">
              <w:rPr>
                <w:lang w:eastAsia="en-GB"/>
              </w:rPr>
              <w:t>38%</w:t>
            </w:r>
          </w:p>
        </w:tc>
        <w:tc>
          <w:tcPr>
            <w:tcW w:w="622" w:type="pct"/>
            <w:tcBorders>
              <w:top w:val="nil"/>
              <w:left w:val="nil"/>
              <w:bottom w:val="single" w:sz="4" w:space="0" w:color="auto"/>
              <w:right w:val="single" w:sz="4" w:space="0" w:color="auto"/>
            </w:tcBorders>
            <w:shd w:val="clear" w:color="auto" w:fill="auto"/>
            <w:noWrap/>
            <w:vAlign w:val="bottom"/>
            <w:hideMark/>
          </w:tcPr>
          <w:p w14:paraId="21E83917"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64E2E039"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6EC0E5BD"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793A673D" w14:textId="77777777" w:rsidR="008C027A" w:rsidRPr="00A52AEE" w:rsidRDefault="008C027A" w:rsidP="009A2373">
            <w:pPr>
              <w:jc w:val="right"/>
              <w:rPr>
                <w:lang w:eastAsia="en-GB"/>
              </w:rPr>
            </w:pPr>
            <w:r w:rsidRPr="00A52AEE">
              <w:rPr>
                <w:lang w:eastAsia="en-GB"/>
              </w:rPr>
              <w:t>38%</w:t>
            </w:r>
          </w:p>
        </w:tc>
      </w:tr>
      <w:tr w:rsidR="008C027A" w:rsidRPr="00A52AEE" w14:paraId="14C100ED"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5DF41C1B" w14:textId="77777777" w:rsidR="008C027A" w:rsidRPr="00A52AEE" w:rsidRDefault="008C027A" w:rsidP="00A52AEE">
            <w:pPr>
              <w:rPr>
                <w:lang w:eastAsia="en-GB"/>
              </w:rPr>
            </w:pPr>
            <w:r w:rsidRPr="00A52AEE">
              <w:rPr>
                <w:lang w:eastAsia="en-GB"/>
              </w:rPr>
              <w:t>Hackney</w:t>
            </w:r>
          </w:p>
        </w:tc>
        <w:tc>
          <w:tcPr>
            <w:tcW w:w="622" w:type="pct"/>
            <w:tcBorders>
              <w:top w:val="nil"/>
              <w:left w:val="nil"/>
              <w:bottom w:val="single" w:sz="4" w:space="0" w:color="auto"/>
              <w:right w:val="single" w:sz="4" w:space="0" w:color="auto"/>
            </w:tcBorders>
            <w:shd w:val="clear" w:color="auto" w:fill="auto"/>
            <w:noWrap/>
            <w:vAlign w:val="bottom"/>
            <w:hideMark/>
          </w:tcPr>
          <w:p w14:paraId="78E71338" w14:textId="77777777" w:rsidR="008C027A" w:rsidRPr="00A52AEE" w:rsidRDefault="008C027A" w:rsidP="009A2373">
            <w:pPr>
              <w:jc w:val="right"/>
              <w:rPr>
                <w:lang w:eastAsia="en-GB"/>
              </w:rPr>
            </w:pPr>
            <w:r w:rsidRPr="00A52AEE">
              <w:rPr>
                <w:lang w:eastAsia="en-GB"/>
              </w:rPr>
              <w:t>53%</w:t>
            </w:r>
          </w:p>
        </w:tc>
        <w:tc>
          <w:tcPr>
            <w:tcW w:w="622" w:type="pct"/>
            <w:tcBorders>
              <w:top w:val="nil"/>
              <w:left w:val="nil"/>
              <w:bottom w:val="single" w:sz="4" w:space="0" w:color="auto"/>
              <w:right w:val="single" w:sz="4" w:space="0" w:color="auto"/>
            </w:tcBorders>
            <w:shd w:val="clear" w:color="auto" w:fill="auto"/>
            <w:noWrap/>
            <w:vAlign w:val="bottom"/>
            <w:hideMark/>
          </w:tcPr>
          <w:p w14:paraId="53D93C43"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4FE9A5FD"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5191B7F8" w14:textId="77777777" w:rsidR="008C027A" w:rsidRPr="00A52AEE" w:rsidRDefault="008C027A" w:rsidP="009A2373">
            <w:pPr>
              <w:jc w:val="right"/>
              <w:rPr>
                <w:lang w:eastAsia="en-GB"/>
              </w:rPr>
            </w:pPr>
            <w:r w:rsidRPr="00A52AEE">
              <w:rPr>
                <w:lang w:eastAsia="en-GB"/>
              </w:rPr>
              <w:t>51%</w:t>
            </w:r>
          </w:p>
        </w:tc>
        <w:tc>
          <w:tcPr>
            <w:tcW w:w="622" w:type="pct"/>
            <w:tcBorders>
              <w:top w:val="nil"/>
              <w:left w:val="nil"/>
              <w:bottom w:val="single" w:sz="4" w:space="0" w:color="auto"/>
              <w:right w:val="single" w:sz="4" w:space="0" w:color="auto"/>
            </w:tcBorders>
            <w:shd w:val="clear" w:color="auto" w:fill="auto"/>
            <w:noWrap/>
            <w:vAlign w:val="bottom"/>
            <w:hideMark/>
          </w:tcPr>
          <w:p w14:paraId="5E4B95DC" w14:textId="77777777" w:rsidR="008C027A" w:rsidRPr="00A52AEE" w:rsidRDefault="008C027A" w:rsidP="009A2373">
            <w:pPr>
              <w:jc w:val="right"/>
              <w:rPr>
                <w:lang w:eastAsia="en-GB"/>
              </w:rPr>
            </w:pPr>
            <w:r w:rsidRPr="00A52AEE">
              <w:rPr>
                <w:lang w:eastAsia="en-GB"/>
              </w:rPr>
              <w:t>40%</w:t>
            </w:r>
          </w:p>
        </w:tc>
      </w:tr>
      <w:tr w:rsidR="008C027A" w:rsidRPr="00A52AEE" w14:paraId="230D3F13"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B4D3C12" w14:textId="77777777" w:rsidR="008C027A" w:rsidRPr="00A52AEE" w:rsidRDefault="008C027A" w:rsidP="00A52AEE">
            <w:pPr>
              <w:rPr>
                <w:lang w:eastAsia="en-GB"/>
              </w:rPr>
            </w:pPr>
            <w:r w:rsidRPr="00A52AEE">
              <w:rPr>
                <w:lang w:eastAsia="en-GB"/>
              </w:rPr>
              <w:t>Hammersmith and Fulham</w:t>
            </w:r>
          </w:p>
        </w:tc>
        <w:tc>
          <w:tcPr>
            <w:tcW w:w="622" w:type="pct"/>
            <w:tcBorders>
              <w:top w:val="nil"/>
              <w:left w:val="nil"/>
              <w:bottom w:val="single" w:sz="4" w:space="0" w:color="auto"/>
              <w:right w:val="single" w:sz="4" w:space="0" w:color="auto"/>
            </w:tcBorders>
            <w:shd w:val="clear" w:color="auto" w:fill="auto"/>
            <w:noWrap/>
            <w:vAlign w:val="bottom"/>
            <w:hideMark/>
          </w:tcPr>
          <w:p w14:paraId="6D064C50"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25AA87BC"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1A25F5B7"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3D502CB8"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47D0745F" w14:textId="77777777" w:rsidR="008C027A" w:rsidRPr="00A52AEE" w:rsidRDefault="008C027A" w:rsidP="009A2373">
            <w:pPr>
              <w:jc w:val="right"/>
              <w:rPr>
                <w:lang w:eastAsia="en-GB"/>
              </w:rPr>
            </w:pPr>
            <w:r w:rsidRPr="00A52AEE">
              <w:rPr>
                <w:lang w:eastAsia="en-GB"/>
              </w:rPr>
              <w:t>42%</w:t>
            </w:r>
          </w:p>
        </w:tc>
      </w:tr>
      <w:tr w:rsidR="008C027A" w:rsidRPr="00A52AEE" w14:paraId="3B701EBA"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E397838" w14:textId="77777777" w:rsidR="008C027A" w:rsidRPr="00A52AEE" w:rsidRDefault="008C027A" w:rsidP="00A52AEE">
            <w:pPr>
              <w:rPr>
                <w:lang w:eastAsia="en-GB"/>
              </w:rPr>
            </w:pPr>
            <w:r w:rsidRPr="00A52AEE">
              <w:rPr>
                <w:lang w:eastAsia="en-GB"/>
              </w:rPr>
              <w:t>Haringey</w:t>
            </w:r>
          </w:p>
        </w:tc>
        <w:tc>
          <w:tcPr>
            <w:tcW w:w="622" w:type="pct"/>
            <w:tcBorders>
              <w:top w:val="nil"/>
              <w:left w:val="nil"/>
              <w:bottom w:val="single" w:sz="4" w:space="0" w:color="auto"/>
              <w:right w:val="single" w:sz="4" w:space="0" w:color="auto"/>
            </w:tcBorders>
            <w:shd w:val="clear" w:color="auto" w:fill="auto"/>
            <w:noWrap/>
            <w:vAlign w:val="bottom"/>
            <w:hideMark/>
          </w:tcPr>
          <w:p w14:paraId="0DC5DEA7"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7AFB6C21"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1A70286C" w14:textId="77777777" w:rsidR="008C027A" w:rsidRPr="00A52AEE" w:rsidRDefault="008C027A" w:rsidP="009A2373">
            <w:pPr>
              <w:jc w:val="right"/>
              <w:rPr>
                <w:lang w:eastAsia="en-GB"/>
              </w:rPr>
            </w:pPr>
            <w:r w:rsidRPr="00A52AEE">
              <w:rPr>
                <w:lang w:eastAsia="en-GB"/>
              </w:rPr>
              <w:t>49%</w:t>
            </w:r>
          </w:p>
        </w:tc>
        <w:tc>
          <w:tcPr>
            <w:tcW w:w="622" w:type="pct"/>
            <w:tcBorders>
              <w:top w:val="nil"/>
              <w:left w:val="nil"/>
              <w:bottom w:val="single" w:sz="4" w:space="0" w:color="auto"/>
              <w:right w:val="single" w:sz="4" w:space="0" w:color="auto"/>
            </w:tcBorders>
            <w:shd w:val="clear" w:color="auto" w:fill="auto"/>
            <w:noWrap/>
            <w:vAlign w:val="bottom"/>
            <w:hideMark/>
          </w:tcPr>
          <w:p w14:paraId="5BCB8994" w14:textId="77777777" w:rsidR="008C027A" w:rsidRPr="00A52AEE" w:rsidRDefault="008C027A" w:rsidP="009A2373">
            <w:pPr>
              <w:jc w:val="right"/>
              <w:rPr>
                <w:lang w:eastAsia="en-GB"/>
              </w:rPr>
            </w:pPr>
            <w:r w:rsidRPr="00A52AEE">
              <w:rPr>
                <w:lang w:eastAsia="en-GB"/>
              </w:rPr>
              <w:t>50%</w:t>
            </w:r>
          </w:p>
        </w:tc>
        <w:tc>
          <w:tcPr>
            <w:tcW w:w="622" w:type="pct"/>
            <w:tcBorders>
              <w:top w:val="nil"/>
              <w:left w:val="nil"/>
              <w:bottom w:val="single" w:sz="4" w:space="0" w:color="auto"/>
              <w:right w:val="single" w:sz="4" w:space="0" w:color="auto"/>
            </w:tcBorders>
            <w:shd w:val="clear" w:color="auto" w:fill="auto"/>
            <w:noWrap/>
            <w:vAlign w:val="bottom"/>
            <w:hideMark/>
          </w:tcPr>
          <w:p w14:paraId="2A69E482" w14:textId="77777777" w:rsidR="008C027A" w:rsidRPr="00A52AEE" w:rsidRDefault="008C027A" w:rsidP="009A2373">
            <w:pPr>
              <w:jc w:val="right"/>
              <w:rPr>
                <w:lang w:eastAsia="en-GB"/>
              </w:rPr>
            </w:pPr>
            <w:r w:rsidRPr="00A52AEE">
              <w:rPr>
                <w:lang w:eastAsia="en-GB"/>
              </w:rPr>
              <w:t>42%</w:t>
            </w:r>
          </w:p>
        </w:tc>
      </w:tr>
      <w:tr w:rsidR="008C027A" w:rsidRPr="00A52AEE" w14:paraId="1025DD40"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575794B2" w14:textId="77777777" w:rsidR="008C027A" w:rsidRPr="00A52AEE" w:rsidRDefault="008C027A" w:rsidP="00A52AEE">
            <w:pPr>
              <w:rPr>
                <w:lang w:eastAsia="en-GB"/>
              </w:rPr>
            </w:pPr>
            <w:r w:rsidRPr="00A52AEE">
              <w:rPr>
                <w:lang w:eastAsia="en-GB"/>
              </w:rPr>
              <w:t>Harrow</w:t>
            </w:r>
          </w:p>
        </w:tc>
        <w:tc>
          <w:tcPr>
            <w:tcW w:w="622" w:type="pct"/>
            <w:tcBorders>
              <w:top w:val="nil"/>
              <w:left w:val="nil"/>
              <w:bottom w:val="single" w:sz="4" w:space="0" w:color="auto"/>
              <w:right w:val="single" w:sz="4" w:space="0" w:color="auto"/>
            </w:tcBorders>
            <w:shd w:val="clear" w:color="auto" w:fill="auto"/>
            <w:noWrap/>
            <w:vAlign w:val="bottom"/>
            <w:hideMark/>
          </w:tcPr>
          <w:p w14:paraId="55F0434F" w14:textId="77777777" w:rsidR="008C027A" w:rsidRPr="00A52AEE" w:rsidRDefault="008C027A" w:rsidP="009A2373">
            <w:pPr>
              <w:jc w:val="right"/>
              <w:rPr>
                <w:lang w:eastAsia="en-GB"/>
              </w:rPr>
            </w:pPr>
            <w:r w:rsidRPr="00A52AEE">
              <w:rPr>
                <w:lang w:eastAsia="en-GB"/>
              </w:rPr>
              <w:t>58%</w:t>
            </w:r>
          </w:p>
        </w:tc>
        <w:tc>
          <w:tcPr>
            <w:tcW w:w="622" w:type="pct"/>
            <w:tcBorders>
              <w:top w:val="nil"/>
              <w:left w:val="nil"/>
              <w:bottom w:val="single" w:sz="4" w:space="0" w:color="auto"/>
              <w:right w:val="single" w:sz="4" w:space="0" w:color="auto"/>
            </w:tcBorders>
            <w:shd w:val="clear" w:color="auto" w:fill="auto"/>
            <w:noWrap/>
            <w:vAlign w:val="bottom"/>
            <w:hideMark/>
          </w:tcPr>
          <w:p w14:paraId="7D5314F2" w14:textId="77777777" w:rsidR="008C027A" w:rsidRPr="00A52AEE" w:rsidRDefault="008C027A" w:rsidP="009A2373">
            <w:pPr>
              <w:jc w:val="right"/>
              <w:rPr>
                <w:lang w:eastAsia="en-GB"/>
              </w:rPr>
            </w:pPr>
            <w:r w:rsidRPr="00A52AEE">
              <w:rPr>
                <w:lang w:eastAsia="en-GB"/>
              </w:rPr>
              <w:t>55%</w:t>
            </w:r>
          </w:p>
        </w:tc>
        <w:tc>
          <w:tcPr>
            <w:tcW w:w="622" w:type="pct"/>
            <w:tcBorders>
              <w:top w:val="nil"/>
              <w:left w:val="nil"/>
              <w:bottom w:val="single" w:sz="4" w:space="0" w:color="auto"/>
              <w:right w:val="single" w:sz="4" w:space="0" w:color="auto"/>
            </w:tcBorders>
            <w:shd w:val="clear" w:color="auto" w:fill="auto"/>
            <w:noWrap/>
            <w:vAlign w:val="bottom"/>
            <w:hideMark/>
          </w:tcPr>
          <w:p w14:paraId="775793A7" w14:textId="77777777" w:rsidR="008C027A" w:rsidRPr="00A52AEE" w:rsidRDefault="008C027A" w:rsidP="009A2373">
            <w:pPr>
              <w:jc w:val="right"/>
              <w:rPr>
                <w:lang w:eastAsia="en-GB"/>
              </w:rPr>
            </w:pPr>
            <w:r w:rsidRPr="00A52AEE">
              <w:rPr>
                <w:lang w:eastAsia="en-GB"/>
              </w:rPr>
              <w:t>47%</w:t>
            </w:r>
          </w:p>
        </w:tc>
        <w:tc>
          <w:tcPr>
            <w:tcW w:w="622" w:type="pct"/>
            <w:tcBorders>
              <w:top w:val="nil"/>
              <w:left w:val="nil"/>
              <w:bottom w:val="single" w:sz="4" w:space="0" w:color="auto"/>
              <w:right w:val="single" w:sz="4" w:space="0" w:color="auto"/>
            </w:tcBorders>
            <w:shd w:val="clear" w:color="auto" w:fill="auto"/>
            <w:noWrap/>
            <w:vAlign w:val="bottom"/>
            <w:hideMark/>
          </w:tcPr>
          <w:p w14:paraId="75C864BA" w14:textId="77777777" w:rsidR="008C027A" w:rsidRPr="00A52AEE" w:rsidRDefault="008C027A" w:rsidP="009A2373">
            <w:pPr>
              <w:jc w:val="right"/>
              <w:rPr>
                <w:lang w:eastAsia="en-GB"/>
              </w:rPr>
            </w:pPr>
            <w:r w:rsidRPr="00A52AEE">
              <w:rPr>
                <w:lang w:eastAsia="en-GB"/>
              </w:rPr>
              <w:t>56%</w:t>
            </w:r>
          </w:p>
        </w:tc>
        <w:tc>
          <w:tcPr>
            <w:tcW w:w="622" w:type="pct"/>
            <w:tcBorders>
              <w:top w:val="nil"/>
              <w:left w:val="nil"/>
              <w:bottom w:val="single" w:sz="4" w:space="0" w:color="auto"/>
              <w:right w:val="single" w:sz="4" w:space="0" w:color="auto"/>
            </w:tcBorders>
            <w:shd w:val="clear" w:color="auto" w:fill="auto"/>
            <w:noWrap/>
            <w:vAlign w:val="bottom"/>
            <w:hideMark/>
          </w:tcPr>
          <w:p w14:paraId="23CD258A" w14:textId="77777777" w:rsidR="008C027A" w:rsidRPr="00A52AEE" w:rsidRDefault="008C027A" w:rsidP="009A2373">
            <w:pPr>
              <w:jc w:val="right"/>
              <w:rPr>
                <w:lang w:eastAsia="en-GB"/>
              </w:rPr>
            </w:pPr>
            <w:r w:rsidRPr="00A52AEE">
              <w:rPr>
                <w:lang w:eastAsia="en-GB"/>
              </w:rPr>
              <w:t>52%</w:t>
            </w:r>
          </w:p>
        </w:tc>
      </w:tr>
      <w:tr w:rsidR="008C027A" w:rsidRPr="00A52AEE" w14:paraId="3403CD0C"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7A5A9FB" w14:textId="77777777" w:rsidR="008C027A" w:rsidRPr="00A52AEE" w:rsidRDefault="008C027A" w:rsidP="00A52AEE">
            <w:pPr>
              <w:rPr>
                <w:lang w:eastAsia="en-GB"/>
              </w:rPr>
            </w:pPr>
            <w:r w:rsidRPr="00A52AEE">
              <w:rPr>
                <w:lang w:eastAsia="en-GB"/>
              </w:rPr>
              <w:t>Havering</w:t>
            </w:r>
          </w:p>
        </w:tc>
        <w:tc>
          <w:tcPr>
            <w:tcW w:w="622" w:type="pct"/>
            <w:tcBorders>
              <w:top w:val="nil"/>
              <w:left w:val="nil"/>
              <w:bottom w:val="single" w:sz="4" w:space="0" w:color="auto"/>
              <w:right w:val="single" w:sz="4" w:space="0" w:color="auto"/>
            </w:tcBorders>
            <w:shd w:val="clear" w:color="auto" w:fill="auto"/>
            <w:noWrap/>
            <w:vAlign w:val="bottom"/>
            <w:hideMark/>
          </w:tcPr>
          <w:p w14:paraId="4976D1D5" w14:textId="77777777" w:rsidR="008C027A" w:rsidRPr="00A52AEE" w:rsidRDefault="008C027A" w:rsidP="009A2373">
            <w:pPr>
              <w:jc w:val="right"/>
              <w:rPr>
                <w:lang w:eastAsia="en-GB"/>
              </w:rPr>
            </w:pPr>
            <w:r w:rsidRPr="00A52AEE">
              <w:rPr>
                <w:lang w:eastAsia="en-GB"/>
              </w:rPr>
              <w:t>35%</w:t>
            </w:r>
          </w:p>
        </w:tc>
        <w:tc>
          <w:tcPr>
            <w:tcW w:w="622" w:type="pct"/>
            <w:tcBorders>
              <w:top w:val="nil"/>
              <w:left w:val="nil"/>
              <w:bottom w:val="single" w:sz="4" w:space="0" w:color="auto"/>
              <w:right w:val="single" w:sz="4" w:space="0" w:color="auto"/>
            </w:tcBorders>
            <w:shd w:val="clear" w:color="auto" w:fill="auto"/>
            <w:noWrap/>
            <w:vAlign w:val="bottom"/>
            <w:hideMark/>
          </w:tcPr>
          <w:p w14:paraId="6E5CB570" w14:textId="77777777" w:rsidR="008C027A" w:rsidRPr="00A52AEE" w:rsidRDefault="008C027A" w:rsidP="009A2373">
            <w:pPr>
              <w:jc w:val="right"/>
              <w:rPr>
                <w:lang w:eastAsia="en-GB"/>
              </w:rPr>
            </w:pPr>
            <w:r w:rsidRPr="00A52AEE">
              <w:rPr>
                <w:lang w:eastAsia="en-GB"/>
              </w:rPr>
              <w:t>36%</w:t>
            </w:r>
          </w:p>
        </w:tc>
        <w:tc>
          <w:tcPr>
            <w:tcW w:w="622" w:type="pct"/>
            <w:tcBorders>
              <w:top w:val="nil"/>
              <w:left w:val="nil"/>
              <w:bottom w:val="single" w:sz="4" w:space="0" w:color="auto"/>
              <w:right w:val="single" w:sz="4" w:space="0" w:color="auto"/>
            </w:tcBorders>
            <w:shd w:val="clear" w:color="auto" w:fill="auto"/>
            <w:noWrap/>
            <w:vAlign w:val="bottom"/>
            <w:hideMark/>
          </w:tcPr>
          <w:p w14:paraId="75A97A74" w14:textId="77777777" w:rsidR="008C027A" w:rsidRPr="00A52AEE" w:rsidRDefault="008C027A" w:rsidP="009A2373">
            <w:pPr>
              <w:jc w:val="right"/>
              <w:rPr>
                <w:lang w:eastAsia="en-GB"/>
              </w:rPr>
            </w:pPr>
            <w:r w:rsidRPr="00A52AEE">
              <w:rPr>
                <w:lang w:eastAsia="en-GB"/>
              </w:rPr>
              <w:t>38%</w:t>
            </w:r>
          </w:p>
        </w:tc>
        <w:tc>
          <w:tcPr>
            <w:tcW w:w="622" w:type="pct"/>
            <w:tcBorders>
              <w:top w:val="nil"/>
              <w:left w:val="nil"/>
              <w:bottom w:val="single" w:sz="4" w:space="0" w:color="auto"/>
              <w:right w:val="single" w:sz="4" w:space="0" w:color="auto"/>
            </w:tcBorders>
            <w:shd w:val="clear" w:color="auto" w:fill="auto"/>
            <w:noWrap/>
            <w:vAlign w:val="bottom"/>
            <w:hideMark/>
          </w:tcPr>
          <w:p w14:paraId="01CB9C38" w14:textId="77777777" w:rsidR="008C027A" w:rsidRPr="00A52AEE" w:rsidRDefault="008C027A" w:rsidP="009A2373">
            <w:pPr>
              <w:jc w:val="right"/>
              <w:rPr>
                <w:lang w:eastAsia="en-GB"/>
              </w:rPr>
            </w:pPr>
            <w:r w:rsidRPr="00A52AEE">
              <w:rPr>
                <w:lang w:eastAsia="en-GB"/>
              </w:rPr>
              <w:t>37%</w:t>
            </w:r>
          </w:p>
        </w:tc>
        <w:tc>
          <w:tcPr>
            <w:tcW w:w="622" w:type="pct"/>
            <w:tcBorders>
              <w:top w:val="nil"/>
              <w:left w:val="nil"/>
              <w:bottom w:val="single" w:sz="4" w:space="0" w:color="auto"/>
              <w:right w:val="single" w:sz="4" w:space="0" w:color="auto"/>
            </w:tcBorders>
            <w:shd w:val="clear" w:color="auto" w:fill="auto"/>
            <w:noWrap/>
            <w:vAlign w:val="bottom"/>
            <w:hideMark/>
          </w:tcPr>
          <w:p w14:paraId="7B34CF5B" w14:textId="77777777" w:rsidR="008C027A" w:rsidRPr="00A52AEE" w:rsidRDefault="008C027A" w:rsidP="009A2373">
            <w:pPr>
              <w:jc w:val="right"/>
              <w:rPr>
                <w:lang w:eastAsia="en-GB"/>
              </w:rPr>
            </w:pPr>
            <w:r w:rsidRPr="00A52AEE">
              <w:rPr>
                <w:lang w:eastAsia="en-GB"/>
              </w:rPr>
              <w:t>32%</w:t>
            </w:r>
          </w:p>
        </w:tc>
      </w:tr>
      <w:tr w:rsidR="008C027A" w:rsidRPr="00A52AEE" w14:paraId="2E4E87EF"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0DE2100" w14:textId="77777777" w:rsidR="008C027A" w:rsidRPr="00A52AEE" w:rsidRDefault="008C027A" w:rsidP="00A52AEE">
            <w:pPr>
              <w:rPr>
                <w:lang w:eastAsia="en-GB"/>
              </w:rPr>
            </w:pPr>
            <w:r w:rsidRPr="00A52AEE">
              <w:rPr>
                <w:lang w:eastAsia="en-GB"/>
              </w:rPr>
              <w:t>Hillingdon</w:t>
            </w:r>
          </w:p>
        </w:tc>
        <w:tc>
          <w:tcPr>
            <w:tcW w:w="622" w:type="pct"/>
            <w:tcBorders>
              <w:top w:val="nil"/>
              <w:left w:val="nil"/>
              <w:bottom w:val="single" w:sz="4" w:space="0" w:color="auto"/>
              <w:right w:val="single" w:sz="4" w:space="0" w:color="auto"/>
            </w:tcBorders>
            <w:shd w:val="clear" w:color="auto" w:fill="auto"/>
            <w:noWrap/>
            <w:vAlign w:val="bottom"/>
            <w:hideMark/>
          </w:tcPr>
          <w:p w14:paraId="34A4B619"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2DEAA04B"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1D143477" w14:textId="77777777" w:rsidR="008C027A" w:rsidRPr="00A52AEE" w:rsidRDefault="008C027A" w:rsidP="009A2373">
            <w:pPr>
              <w:jc w:val="right"/>
              <w:rPr>
                <w:lang w:eastAsia="en-GB"/>
              </w:rPr>
            </w:pPr>
            <w:r w:rsidRPr="00A52AEE">
              <w:rPr>
                <w:lang w:eastAsia="en-GB"/>
              </w:rPr>
              <w:t>38%</w:t>
            </w:r>
          </w:p>
        </w:tc>
        <w:tc>
          <w:tcPr>
            <w:tcW w:w="622" w:type="pct"/>
            <w:tcBorders>
              <w:top w:val="nil"/>
              <w:left w:val="nil"/>
              <w:bottom w:val="single" w:sz="4" w:space="0" w:color="auto"/>
              <w:right w:val="single" w:sz="4" w:space="0" w:color="auto"/>
            </w:tcBorders>
            <w:shd w:val="clear" w:color="auto" w:fill="auto"/>
            <w:noWrap/>
            <w:vAlign w:val="bottom"/>
            <w:hideMark/>
          </w:tcPr>
          <w:p w14:paraId="2B2D7D31"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0B2890FA" w14:textId="77777777" w:rsidR="008C027A" w:rsidRPr="00A52AEE" w:rsidRDefault="008C027A" w:rsidP="009A2373">
            <w:pPr>
              <w:jc w:val="right"/>
              <w:rPr>
                <w:lang w:eastAsia="en-GB"/>
              </w:rPr>
            </w:pPr>
            <w:r w:rsidRPr="00A52AEE">
              <w:rPr>
                <w:lang w:eastAsia="en-GB"/>
              </w:rPr>
              <w:t>38%</w:t>
            </w:r>
          </w:p>
        </w:tc>
      </w:tr>
      <w:tr w:rsidR="008C027A" w:rsidRPr="00A52AEE" w14:paraId="0D4299A6"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5C1AFBF" w14:textId="77777777" w:rsidR="008C027A" w:rsidRPr="00A52AEE" w:rsidRDefault="008C027A" w:rsidP="00A52AEE">
            <w:pPr>
              <w:rPr>
                <w:lang w:eastAsia="en-GB"/>
              </w:rPr>
            </w:pPr>
            <w:r w:rsidRPr="00A52AEE">
              <w:rPr>
                <w:lang w:eastAsia="en-GB"/>
              </w:rPr>
              <w:t>Hounslow</w:t>
            </w:r>
          </w:p>
        </w:tc>
        <w:tc>
          <w:tcPr>
            <w:tcW w:w="622" w:type="pct"/>
            <w:tcBorders>
              <w:top w:val="nil"/>
              <w:left w:val="nil"/>
              <w:bottom w:val="single" w:sz="4" w:space="0" w:color="auto"/>
              <w:right w:val="single" w:sz="4" w:space="0" w:color="auto"/>
            </w:tcBorders>
            <w:shd w:val="clear" w:color="auto" w:fill="auto"/>
            <w:noWrap/>
            <w:vAlign w:val="bottom"/>
            <w:hideMark/>
          </w:tcPr>
          <w:p w14:paraId="427FF6A6"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422603FD"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4773D7E7"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422E8E56"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0F1755C8" w14:textId="77777777" w:rsidR="008C027A" w:rsidRPr="00A52AEE" w:rsidRDefault="008C027A" w:rsidP="009A2373">
            <w:pPr>
              <w:jc w:val="right"/>
              <w:rPr>
                <w:lang w:eastAsia="en-GB"/>
              </w:rPr>
            </w:pPr>
            <w:r w:rsidRPr="00A52AEE">
              <w:rPr>
                <w:lang w:eastAsia="en-GB"/>
              </w:rPr>
              <w:t>35%</w:t>
            </w:r>
          </w:p>
        </w:tc>
      </w:tr>
      <w:tr w:rsidR="008C027A" w:rsidRPr="00A52AEE" w14:paraId="742FED39"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F0D2D6D" w14:textId="77777777" w:rsidR="008C027A" w:rsidRPr="00A52AEE" w:rsidRDefault="008C027A" w:rsidP="00A52AEE">
            <w:pPr>
              <w:rPr>
                <w:lang w:eastAsia="en-GB"/>
              </w:rPr>
            </w:pPr>
            <w:r w:rsidRPr="00A52AEE">
              <w:rPr>
                <w:lang w:eastAsia="en-GB"/>
              </w:rPr>
              <w:t>Islington</w:t>
            </w:r>
          </w:p>
        </w:tc>
        <w:tc>
          <w:tcPr>
            <w:tcW w:w="622" w:type="pct"/>
            <w:tcBorders>
              <w:top w:val="nil"/>
              <w:left w:val="nil"/>
              <w:bottom w:val="single" w:sz="4" w:space="0" w:color="auto"/>
              <w:right w:val="single" w:sz="4" w:space="0" w:color="auto"/>
            </w:tcBorders>
            <w:shd w:val="clear" w:color="auto" w:fill="auto"/>
            <w:noWrap/>
            <w:vAlign w:val="bottom"/>
            <w:hideMark/>
          </w:tcPr>
          <w:p w14:paraId="47948A4F"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288ADF21" w14:textId="77777777" w:rsidR="008C027A" w:rsidRPr="00A52AEE" w:rsidRDefault="008C027A" w:rsidP="009A2373">
            <w:pPr>
              <w:jc w:val="right"/>
              <w:rPr>
                <w:lang w:eastAsia="en-GB"/>
              </w:rPr>
            </w:pPr>
            <w:r w:rsidRPr="00A52AEE">
              <w:rPr>
                <w:lang w:eastAsia="en-GB"/>
              </w:rPr>
              <w:t>48%</w:t>
            </w:r>
          </w:p>
        </w:tc>
        <w:tc>
          <w:tcPr>
            <w:tcW w:w="622" w:type="pct"/>
            <w:tcBorders>
              <w:top w:val="nil"/>
              <w:left w:val="nil"/>
              <w:bottom w:val="single" w:sz="4" w:space="0" w:color="auto"/>
              <w:right w:val="single" w:sz="4" w:space="0" w:color="auto"/>
            </w:tcBorders>
            <w:shd w:val="clear" w:color="auto" w:fill="auto"/>
            <w:noWrap/>
            <w:vAlign w:val="bottom"/>
            <w:hideMark/>
          </w:tcPr>
          <w:p w14:paraId="729EB413" w14:textId="77777777" w:rsidR="008C027A" w:rsidRPr="00A52AEE" w:rsidRDefault="008C027A" w:rsidP="009A2373">
            <w:pPr>
              <w:jc w:val="right"/>
              <w:rPr>
                <w:lang w:eastAsia="en-GB"/>
              </w:rPr>
            </w:pPr>
            <w:r w:rsidRPr="00A52AEE">
              <w:rPr>
                <w:lang w:eastAsia="en-GB"/>
              </w:rPr>
              <w:t>46%</w:t>
            </w:r>
          </w:p>
        </w:tc>
        <w:tc>
          <w:tcPr>
            <w:tcW w:w="622" w:type="pct"/>
            <w:tcBorders>
              <w:top w:val="nil"/>
              <w:left w:val="nil"/>
              <w:bottom w:val="single" w:sz="4" w:space="0" w:color="auto"/>
              <w:right w:val="single" w:sz="4" w:space="0" w:color="auto"/>
            </w:tcBorders>
            <w:shd w:val="clear" w:color="auto" w:fill="auto"/>
            <w:noWrap/>
            <w:vAlign w:val="bottom"/>
            <w:hideMark/>
          </w:tcPr>
          <w:p w14:paraId="4D6F3ADB" w14:textId="77777777" w:rsidR="008C027A" w:rsidRPr="00A52AEE" w:rsidRDefault="008C027A" w:rsidP="009A2373">
            <w:pPr>
              <w:jc w:val="right"/>
              <w:rPr>
                <w:lang w:eastAsia="en-GB"/>
              </w:rPr>
            </w:pPr>
            <w:r w:rsidRPr="00A52AEE">
              <w:rPr>
                <w:lang w:eastAsia="en-GB"/>
              </w:rPr>
              <w:t>49%</w:t>
            </w:r>
          </w:p>
        </w:tc>
        <w:tc>
          <w:tcPr>
            <w:tcW w:w="622" w:type="pct"/>
            <w:tcBorders>
              <w:top w:val="nil"/>
              <w:left w:val="nil"/>
              <w:bottom w:val="single" w:sz="4" w:space="0" w:color="auto"/>
              <w:right w:val="single" w:sz="4" w:space="0" w:color="auto"/>
            </w:tcBorders>
            <w:shd w:val="clear" w:color="auto" w:fill="auto"/>
            <w:noWrap/>
            <w:vAlign w:val="bottom"/>
            <w:hideMark/>
          </w:tcPr>
          <w:p w14:paraId="3F31CA6F" w14:textId="77777777" w:rsidR="008C027A" w:rsidRPr="00A52AEE" w:rsidRDefault="008C027A" w:rsidP="009A2373">
            <w:pPr>
              <w:jc w:val="right"/>
              <w:rPr>
                <w:lang w:eastAsia="en-GB"/>
              </w:rPr>
            </w:pPr>
            <w:r w:rsidRPr="00A52AEE">
              <w:rPr>
                <w:lang w:eastAsia="en-GB"/>
              </w:rPr>
              <w:t>41%</w:t>
            </w:r>
          </w:p>
        </w:tc>
      </w:tr>
      <w:tr w:rsidR="008C027A" w:rsidRPr="00A52AEE" w14:paraId="34C23CAC"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6DAC88EF" w14:textId="77777777" w:rsidR="008C027A" w:rsidRPr="00A52AEE" w:rsidRDefault="008C027A" w:rsidP="00A52AEE">
            <w:pPr>
              <w:rPr>
                <w:lang w:eastAsia="en-GB"/>
              </w:rPr>
            </w:pPr>
            <w:r w:rsidRPr="00A52AEE">
              <w:rPr>
                <w:lang w:eastAsia="en-GB"/>
              </w:rPr>
              <w:t>Kensington and Chelsea</w:t>
            </w:r>
          </w:p>
        </w:tc>
        <w:tc>
          <w:tcPr>
            <w:tcW w:w="622" w:type="pct"/>
            <w:tcBorders>
              <w:top w:val="nil"/>
              <w:left w:val="nil"/>
              <w:bottom w:val="single" w:sz="4" w:space="0" w:color="auto"/>
              <w:right w:val="single" w:sz="4" w:space="0" w:color="auto"/>
            </w:tcBorders>
            <w:shd w:val="clear" w:color="auto" w:fill="auto"/>
            <w:noWrap/>
            <w:vAlign w:val="bottom"/>
            <w:hideMark/>
          </w:tcPr>
          <w:p w14:paraId="0F0E21F4"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2C393B20"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2A9DF7EB"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093CBC2E"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7A0BE0F6" w14:textId="77777777" w:rsidR="008C027A" w:rsidRPr="00A52AEE" w:rsidRDefault="008C027A" w:rsidP="009A2373">
            <w:pPr>
              <w:jc w:val="right"/>
              <w:rPr>
                <w:lang w:eastAsia="en-GB"/>
              </w:rPr>
            </w:pPr>
            <w:r w:rsidRPr="00A52AEE">
              <w:rPr>
                <w:lang w:eastAsia="en-GB"/>
              </w:rPr>
              <w:t>42%</w:t>
            </w:r>
          </w:p>
        </w:tc>
      </w:tr>
      <w:tr w:rsidR="008C027A" w:rsidRPr="00A52AEE" w14:paraId="4037ED76"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A9E5D57" w14:textId="77777777" w:rsidR="008C027A" w:rsidRPr="00A52AEE" w:rsidRDefault="008C027A" w:rsidP="00A52AEE">
            <w:pPr>
              <w:rPr>
                <w:lang w:eastAsia="en-GB"/>
              </w:rPr>
            </w:pPr>
            <w:r w:rsidRPr="00A52AEE">
              <w:rPr>
                <w:lang w:eastAsia="en-GB"/>
              </w:rPr>
              <w:t>Kingston upon Thames</w:t>
            </w:r>
          </w:p>
        </w:tc>
        <w:tc>
          <w:tcPr>
            <w:tcW w:w="622" w:type="pct"/>
            <w:tcBorders>
              <w:top w:val="nil"/>
              <w:left w:val="nil"/>
              <w:bottom w:val="single" w:sz="4" w:space="0" w:color="auto"/>
              <w:right w:val="single" w:sz="4" w:space="0" w:color="auto"/>
            </w:tcBorders>
            <w:shd w:val="clear" w:color="auto" w:fill="auto"/>
            <w:noWrap/>
            <w:vAlign w:val="bottom"/>
            <w:hideMark/>
          </w:tcPr>
          <w:p w14:paraId="486F97B0" w14:textId="77777777" w:rsidR="008C027A" w:rsidRPr="00A52AEE" w:rsidRDefault="008C027A" w:rsidP="009A2373">
            <w:pPr>
              <w:jc w:val="right"/>
              <w:rPr>
                <w:lang w:eastAsia="en-GB"/>
              </w:rPr>
            </w:pPr>
            <w:r w:rsidRPr="00A52AEE">
              <w:rPr>
                <w:lang w:eastAsia="en-GB"/>
              </w:rPr>
              <w:t>30%</w:t>
            </w:r>
          </w:p>
        </w:tc>
        <w:tc>
          <w:tcPr>
            <w:tcW w:w="622" w:type="pct"/>
            <w:tcBorders>
              <w:top w:val="nil"/>
              <w:left w:val="nil"/>
              <w:bottom w:val="single" w:sz="4" w:space="0" w:color="auto"/>
              <w:right w:val="single" w:sz="4" w:space="0" w:color="auto"/>
            </w:tcBorders>
            <w:shd w:val="clear" w:color="auto" w:fill="auto"/>
            <w:noWrap/>
            <w:vAlign w:val="bottom"/>
            <w:hideMark/>
          </w:tcPr>
          <w:p w14:paraId="7C1B26E8" w14:textId="77777777" w:rsidR="008C027A" w:rsidRPr="00A52AEE" w:rsidRDefault="008C027A" w:rsidP="009A2373">
            <w:pPr>
              <w:jc w:val="right"/>
              <w:rPr>
                <w:lang w:eastAsia="en-GB"/>
              </w:rPr>
            </w:pPr>
            <w:r w:rsidRPr="00A52AEE">
              <w:rPr>
                <w:lang w:eastAsia="en-GB"/>
              </w:rPr>
              <w:t>33%</w:t>
            </w:r>
          </w:p>
        </w:tc>
        <w:tc>
          <w:tcPr>
            <w:tcW w:w="622" w:type="pct"/>
            <w:tcBorders>
              <w:top w:val="nil"/>
              <w:left w:val="nil"/>
              <w:bottom w:val="single" w:sz="4" w:space="0" w:color="auto"/>
              <w:right w:val="single" w:sz="4" w:space="0" w:color="auto"/>
            </w:tcBorders>
            <w:shd w:val="clear" w:color="auto" w:fill="auto"/>
            <w:noWrap/>
            <w:vAlign w:val="bottom"/>
            <w:hideMark/>
          </w:tcPr>
          <w:p w14:paraId="38B088AB" w14:textId="77777777" w:rsidR="008C027A" w:rsidRPr="00A52AEE" w:rsidRDefault="008C027A" w:rsidP="009A2373">
            <w:pPr>
              <w:jc w:val="right"/>
              <w:rPr>
                <w:lang w:eastAsia="en-GB"/>
              </w:rPr>
            </w:pPr>
            <w:r w:rsidRPr="00A52AEE">
              <w:rPr>
                <w:lang w:eastAsia="en-GB"/>
              </w:rPr>
              <w:t>36%</w:t>
            </w:r>
          </w:p>
        </w:tc>
        <w:tc>
          <w:tcPr>
            <w:tcW w:w="622" w:type="pct"/>
            <w:tcBorders>
              <w:top w:val="nil"/>
              <w:left w:val="nil"/>
              <w:bottom w:val="single" w:sz="4" w:space="0" w:color="auto"/>
              <w:right w:val="single" w:sz="4" w:space="0" w:color="auto"/>
            </w:tcBorders>
            <w:shd w:val="clear" w:color="auto" w:fill="auto"/>
            <w:noWrap/>
            <w:vAlign w:val="bottom"/>
            <w:hideMark/>
          </w:tcPr>
          <w:p w14:paraId="6777E1A9" w14:textId="77777777" w:rsidR="008C027A" w:rsidRPr="00A52AEE" w:rsidRDefault="008C027A" w:rsidP="009A2373">
            <w:pPr>
              <w:jc w:val="right"/>
              <w:rPr>
                <w:lang w:eastAsia="en-GB"/>
              </w:rPr>
            </w:pPr>
            <w:r w:rsidRPr="00A52AEE">
              <w:rPr>
                <w:lang w:eastAsia="en-GB"/>
              </w:rPr>
              <w:t>33%</w:t>
            </w:r>
          </w:p>
        </w:tc>
        <w:tc>
          <w:tcPr>
            <w:tcW w:w="622" w:type="pct"/>
            <w:tcBorders>
              <w:top w:val="nil"/>
              <w:left w:val="nil"/>
              <w:bottom w:val="single" w:sz="4" w:space="0" w:color="auto"/>
              <w:right w:val="single" w:sz="4" w:space="0" w:color="auto"/>
            </w:tcBorders>
            <w:shd w:val="clear" w:color="auto" w:fill="auto"/>
            <w:noWrap/>
            <w:vAlign w:val="bottom"/>
            <w:hideMark/>
          </w:tcPr>
          <w:p w14:paraId="7D18EC8E" w14:textId="77777777" w:rsidR="008C027A" w:rsidRPr="00A52AEE" w:rsidRDefault="008C027A" w:rsidP="009A2373">
            <w:pPr>
              <w:jc w:val="right"/>
              <w:rPr>
                <w:lang w:eastAsia="en-GB"/>
              </w:rPr>
            </w:pPr>
            <w:r w:rsidRPr="00A52AEE">
              <w:rPr>
                <w:lang w:eastAsia="en-GB"/>
              </w:rPr>
              <w:t>36%</w:t>
            </w:r>
          </w:p>
        </w:tc>
      </w:tr>
      <w:tr w:rsidR="008C027A" w:rsidRPr="00A52AEE" w14:paraId="4189480C"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3C9D94AB" w14:textId="77777777" w:rsidR="008C027A" w:rsidRPr="00A52AEE" w:rsidRDefault="008C027A" w:rsidP="00A52AEE">
            <w:pPr>
              <w:rPr>
                <w:lang w:eastAsia="en-GB"/>
              </w:rPr>
            </w:pPr>
            <w:r w:rsidRPr="00A52AEE">
              <w:rPr>
                <w:lang w:eastAsia="en-GB"/>
              </w:rPr>
              <w:t>Lambeth</w:t>
            </w:r>
          </w:p>
        </w:tc>
        <w:tc>
          <w:tcPr>
            <w:tcW w:w="622" w:type="pct"/>
            <w:tcBorders>
              <w:top w:val="nil"/>
              <w:left w:val="nil"/>
              <w:bottom w:val="single" w:sz="4" w:space="0" w:color="auto"/>
              <w:right w:val="single" w:sz="4" w:space="0" w:color="auto"/>
            </w:tcBorders>
            <w:shd w:val="clear" w:color="auto" w:fill="auto"/>
            <w:noWrap/>
            <w:vAlign w:val="bottom"/>
            <w:hideMark/>
          </w:tcPr>
          <w:p w14:paraId="045D44EF"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092A2C04"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31E748DB"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10E2C444"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66901BD9" w14:textId="77777777" w:rsidR="008C027A" w:rsidRPr="00A52AEE" w:rsidRDefault="008C027A" w:rsidP="009A2373">
            <w:pPr>
              <w:jc w:val="right"/>
              <w:rPr>
                <w:lang w:eastAsia="en-GB"/>
              </w:rPr>
            </w:pPr>
            <w:r w:rsidRPr="00A52AEE">
              <w:rPr>
                <w:lang w:eastAsia="en-GB"/>
              </w:rPr>
              <w:t>40%</w:t>
            </w:r>
          </w:p>
        </w:tc>
      </w:tr>
      <w:tr w:rsidR="008C027A" w:rsidRPr="00A52AEE" w14:paraId="26D6C573"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A9DC3A2" w14:textId="77777777" w:rsidR="008C027A" w:rsidRPr="00A52AEE" w:rsidRDefault="008C027A" w:rsidP="00A52AEE">
            <w:pPr>
              <w:rPr>
                <w:lang w:eastAsia="en-GB"/>
              </w:rPr>
            </w:pPr>
            <w:r w:rsidRPr="00A52AEE">
              <w:rPr>
                <w:lang w:eastAsia="en-GB"/>
              </w:rPr>
              <w:t>Lewisham</w:t>
            </w:r>
          </w:p>
        </w:tc>
        <w:tc>
          <w:tcPr>
            <w:tcW w:w="622" w:type="pct"/>
            <w:tcBorders>
              <w:top w:val="nil"/>
              <w:left w:val="nil"/>
              <w:bottom w:val="single" w:sz="4" w:space="0" w:color="auto"/>
              <w:right w:val="single" w:sz="4" w:space="0" w:color="auto"/>
            </w:tcBorders>
            <w:shd w:val="clear" w:color="auto" w:fill="auto"/>
            <w:noWrap/>
            <w:vAlign w:val="bottom"/>
            <w:hideMark/>
          </w:tcPr>
          <w:p w14:paraId="2166FE70"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073BC756"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1B5AEE02"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0A698C4F" w14:textId="77777777" w:rsidR="008C027A" w:rsidRPr="00A52AEE" w:rsidRDefault="008C027A" w:rsidP="009A2373">
            <w:pPr>
              <w:jc w:val="right"/>
              <w:rPr>
                <w:lang w:eastAsia="en-GB"/>
              </w:rPr>
            </w:pPr>
            <w:r w:rsidRPr="00A52AEE">
              <w:rPr>
                <w:lang w:eastAsia="en-GB"/>
              </w:rPr>
              <w:t>45%</w:t>
            </w:r>
          </w:p>
        </w:tc>
        <w:tc>
          <w:tcPr>
            <w:tcW w:w="622" w:type="pct"/>
            <w:tcBorders>
              <w:top w:val="nil"/>
              <w:left w:val="nil"/>
              <w:bottom w:val="single" w:sz="4" w:space="0" w:color="auto"/>
              <w:right w:val="single" w:sz="4" w:space="0" w:color="auto"/>
            </w:tcBorders>
            <w:shd w:val="clear" w:color="auto" w:fill="auto"/>
            <w:noWrap/>
            <w:vAlign w:val="bottom"/>
            <w:hideMark/>
          </w:tcPr>
          <w:p w14:paraId="0E38746A" w14:textId="77777777" w:rsidR="008C027A" w:rsidRPr="00A52AEE" w:rsidRDefault="008C027A" w:rsidP="009A2373">
            <w:pPr>
              <w:jc w:val="right"/>
              <w:rPr>
                <w:lang w:eastAsia="en-GB"/>
              </w:rPr>
            </w:pPr>
            <w:r w:rsidRPr="00A52AEE">
              <w:rPr>
                <w:lang w:eastAsia="en-GB"/>
              </w:rPr>
              <w:t>37%</w:t>
            </w:r>
          </w:p>
        </w:tc>
      </w:tr>
      <w:tr w:rsidR="008C027A" w:rsidRPr="00A52AEE" w14:paraId="74E34667"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861966F" w14:textId="77777777" w:rsidR="008C027A" w:rsidRPr="00A52AEE" w:rsidRDefault="008C027A" w:rsidP="00A52AEE">
            <w:pPr>
              <w:rPr>
                <w:lang w:eastAsia="en-GB"/>
              </w:rPr>
            </w:pPr>
            <w:r w:rsidRPr="00A52AEE">
              <w:rPr>
                <w:lang w:eastAsia="en-GB"/>
              </w:rPr>
              <w:t>Merton</w:t>
            </w:r>
          </w:p>
        </w:tc>
        <w:tc>
          <w:tcPr>
            <w:tcW w:w="622" w:type="pct"/>
            <w:tcBorders>
              <w:top w:val="nil"/>
              <w:left w:val="nil"/>
              <w:bottom w:val="single" w:sz="4" w:space="0" w:color="auto"/>
              <w:right w:val="single" w:sz="4" w:space="0" w:color="auto"/>
            </w:tcBorders>
            <w:shd w:val="clear" w:color="auto" w:fill="auto"/>
            <w:noWrap/>
            <w:vAlign w:val="bottom"/>
            <w:hideMark/>
          </w:tcPr>
          <w:p w14:paraId="72D4E900"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6CFBAC8B"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0E1740F8"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2D240FEF"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5B84133F" w14:textId="77777777" w:rsidR="008C027A" w:rsidRPr="00A52AEE" w:rsidRDefault="008C027A" w:rsidP="009A2373">
            <w:pPr>
              <w:jc w:val="right"/>
              <w:rPr>
                <w:lang w:eastAsia="en-GB"/>
              </w:rPr>
            </w:pPr>
            <w:r w:rsidRPr="00A52AEE">
              <w:rPr>
                <w:lang w:eastAsia="en-GB"/>
              </w:rPr>
              <w:t>41%</w:t>
            </w:r>
          </w:p>
        </w:tc>
      </w:tr>
      <w:tr w:rsidR="008C027A" w:rsidRPr="00A52AEE" w14:paraId="383CFC67"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4E10DA8C" w14:textId="77777777" w:rsidR="008C027A" w:rsidRPr="00A52AEE" w:rsidRDefault="008C027A" w:rsidP="00A52AEE">
            <w:pPr>
              <w:rPr>
                <w:lang w:eastAsia="en-GB"/>
              </w:rPr>
            </w:pPr>
            <w:r w:rsidRPr="00A52AEE">
              <w:rPr>
                <w:lang w:eastAsia="en-GB"/>
              </w:rPr>
              <w:t>Newham</w:t>
            </w:r>
          </w:p>
        </w:tc>
        <w:tc>
          <w:tcPr>
            <w:tcW w:w="622" w:type="pct"/>
            <w:tcBorders>
              <w:top w:val="nil"/>
              <w:left w:val="nil"/>
              <w:bottom w:val="single" w:sz="4" w:space="0" w:color="auto"/>
              <w:right w:val="single" w:sz="4" w:space="0" w:color="auto"/>
            </w:tcBorders>
            <w:shd w:val="clear" w:color="auto" w:fill="auto"/>
            <w:noWrap/>
            <w:vAlign w:val="bottom"/>
            <w:hideMark/>
          </w:tcPr>
          <w:p w14:paraId="779D13E2" w14:textId="77777777" w:rsidR="008C027A" w:rsidRPr="00A52AEE" w:rsidRDefault="008C027A" w:rsidP="009A2373">
            <w:pPr>
              <w:jc w:val="right"/>
              <w:rPr>
                <w:lang w:eastAsia="en-GB"/>
              </w:rPr>
            </w:pPr>
            <w:r w:rsidRPr="00A52AEE">
              <w:rPr>
                <w:lang w:eastAsia="en-GB"/>
              </w:rPr>
              <w:t>57%</w:t>
            </w:r>
          </w:p>
        </w:tc>
        <w:tc>
          <w:tcPr>
            <w:tcW w:w="622" w:type="pct"/>
            <w:tcBorders>
              <w:top w:val="nil"/>
              <w:left w:val="nil"/>
              <w:bottom w:val="single" w:sz="4" w:space="0" w:color="auto"/>
              <w:right w:val="single" w:sz="4" w:space="0" w:color="auto"/>
            </w:tcBorders>
            <w:shd w:val="clear" w:color="auto" w:fill="auto"/>
            <w:noWrap/>
            <w:vAlign w:val="bottom"/>
            <w:hideMark/>
          </w:tcPr>
          <w:p w14:paraId="6010BBF0" w14:textId="77777777" w:rsidR="008C027A" w:rsidRPr="00A52AEE" w:rsidRDefault="008C027A" w:rsidP="009A2373">
            <w:pPr>
              <w:jc w:val="right"/>
              <w:rPr>
                <w:lang w:eastAsia="en-GB"/>
              </w:rPr>
            </w:pPr>
            <w:r w:rsidRPr="00A52AEE">
              <w:rPr>
                <w:lang w:eastAsia="en-GB"/>
              </w:rPr>
              <w:t>52%</w:t>
            </w:r>
          </w:p>
        </w:tc>
        <w:tc>
          <w:tcPr>
            <w:tcW w:w="622" w:type="pct"/>
            <w:tcBorders>
              <w:top w:val="nil"/>
              <w:left w:val="nil"/>
              <w:bottom w:val="single" w:sz="4" w:space="0" w:color="auto"/>
              <w:right w:val="single" w:sz="4" w:space="0" w:color="auto"/>
            </w:tcBorders>
            <w:shd w:val="clear" w:color="auto" w:fill="auto"/>
            <w:noWrap/>
            <w:vAlign w:val="bottom"/>
            <w:hideMark/>
          </w:tcPr>
          <w:p w14:paraId="7D06C352" w14:textId="77777777" w:rsidR="008C027A" w:rsidRPr="00A52AEE" w:rsidRDefault="008C027A" w:rsidP="009A2373">
            <w:pPr>
              <w:jc w:val="right"/>
              <w:rPr>
                <w:lang w:eastAsia="en-GB"/>
              </w:rPr>
            </w:pPr>
            <w:r w:rsidRPr="00A52AEE">
              <w:rPr>
                <w:lang w:eastAsia="en-GB"/>
              </w:rPr>
              <w:t>55%</w:t>
            </w:r>
          </w:p>
        </w:tc>
        <w:tc>
          <w:tcPr>
            <w:tcW w:w="622" w:type="pct"/>
            <w:tcBorders>
              <w:top w:val="nil"/>
              <w:left w:val="nil"/>
              <w:bottom w:val="single" w:sz="4" w:space="0" w:color="auto"/>
              <w:right w:val="single" w:sz="4" w:space="0" w:color="auto"/>
            </w:tcBorders>
            <w:shd w:val="clear" w:color="auto" w:fill="auto"/>
            <w:noWrap/>
            <w:vAlign w:val="bottom"/>
            <w:hideMark/>
          </w:tcPr>
          <w:p w14:paraId="07801887" w14:textId="77777777" w:rsidR="008C027A" w:rsidRPr="00A52AEE" w:rsidRDefault="008C027A" w:rsidP="009A2373">
            <w:pPr>
              <w:jc w:val="right"/>
              <w:rPr>
                <w:lang w:eastAsia="en-GB"/>
              </w:rPr>
            </w:pPr>
            <w:r w:rsidRPr="00A52AEE">
              <w:rPr>
                <w:lang w:eastAsia="en-GB"/>
              </w:rPr>
              <w:t>57%</w:t>
            </w:r>
          </w:p>
        </w:tc>
        <w:tc>
          <w:tcPr>
            <w:tcW w:w="622" w:type="pct"/>
            <w:tcBorders>
              <w:top w:val="nil"/>
              <w:left w:val="nil"/>
              <w:bottom w:val="single" w:sz="4" w:space="0" w:color="auto"/>
              <w:right w:val="single" w:sz="4" w:space="0" w:color="auto"/>
            </w:tcBorders>
            <w:shd w:val="clear" w:color="auto" w:fill="auto"/>
            <w:noWrap/>
            <w:vAlign w:val="bottom"/>
            <w:hideMark/>
          </w:tcPr>
          <w:p w14:paraId="5839B0B5" w14:textId="77777777" w:rsidR="008C027A" w:rsidRPr="00A52AEE" w:rsidRDefault="008C027A" w:rsidP="009A2373">
            <w:pPr>
              <w:jc w:val="right"/>
              <w:rPr>
                <w:lang w:eastAsia="en-GB"/>
              </w:rPr>
            </w:pPr>
            <w:r w:rsidRPr="00A52AEE">
              <w:rPr>
                <w:lang w:eastAsia="en-GB"/>
              </w:rPr>
              <w:t>47%</w:t>
            </w:r>
          </w:p>
        </w:tc>
      </w:tr>
      <w:tr w:rsidR="008C027A" w:rsidRPr="00A52AEE" w14:paraId="7F63CA93"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6ABBD6F" w14:textId="77777777" w:rsidR="008C027A" w:rsidRPr="00A52AEE" w:rsidRDefault="008C027A" w:rsidP="00A52AEE">
            <w:pPr>
              <w:rPr>
                <w:lang w:eastAsia="en-GB"/>
              </w:rPr>
            </w:pPr>
            <w:r w:rsidRPr="00A52AEE">
              <w:rPr>
                <w:lang w:eastAsia="en-GB"/>
              </w:rPr>
              <w:t>Redbridge</w:t>
            </w:r>
          </w:p>
        </w:tc>
        <w:tc>
          <w:tcPr>
            <w:tcW w:w="622" w:type="pct"/>
            <w:tcBorders>
              <w:top w:val="nil"/>
              <w:left w:val="nil"/>
              <w:bottom w:val="single" w:sz="4" w:space="0" w:color="auto"/>
              <w:right w:val="single" w:sz="4" w:space="0" w:color="auto"/>
            </w:tcBorders>
            <w:shd w:val="clear" w:color="auto" w:fill="auto"/>
            <w:noWrap/>
            <w:vAlign w:val="bottom"/>
            <w:hideMark/>
          </w:tcPr>
          <w:p w14:paraId="558EFFC6"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69F72E76"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4ABE5569" w14:textId="77777777" w:rsidR="008C027A" w:rsidRPr="00A52AEE" w:rsidRDefault="008C027A" w:rsidP="009A2373">
            <w:pPr>
              <w:jc w:val="right"/>
              <w:rPr>
                <w:lang w:eastAsia="en-GB"/>
              </w:rPr>
            </w:pPr>
            <w:r w:rsidRPr="00A52AEE">
              <w:rPr>
                <w:lang w:eastAsia="en-GB"/>
              </w:rPr>
              <w:t>43%</w:t>
            </w:r>
          </w:p>
        </w:tc>
        <w:tc>
          <w:tcPr>
            <w:tcW w:w="622" w:type="pct"/>
            <w:tcBorders>
              <w:top w:val="nil"/>
              <w:left w:val="nil"/>
              <w:bottom w:val="single" w:sz="4" w:space="0" w:color="auto"/>
              <w:right w:val="single" w:sz="4" w:space="0" w:color="auto"/>
            </w:tcBorders>
            <w:shd w:val="clear" w:color="auto" w:fill="auto"/>
            <w:noWrap/>
            <w:vAlign w:val="bottom"/>
            <w:hideMark/>
          </w:tcPr>
          <w:p w14:paraId="02DF703E" w14:textId="77777777" w:rsidR="008C027A" w:rsidRPr="00A52AEE" w:rsidRDefault="008C027A" w:rsidP="009A2373">
            <w:pPr>
              <w:jc w:val="right"/>
              <w:rPr>
                <w:lang w:eastAsia="en-GB"/>
              </w:rPr>
            </w:pPr>
            <w:r w:rsidRPr="00A52AEE">
              <w:rPr>
                <w:lang w:eastAsia="en-GB"/>
              </w:rPr>
              <w:t>46%</w:t>
            </w:r>
          </w:p>
        </w:tc>
        <w:tc>
          <w:tcPr>
            <w:tcW w:w="622" w:type="pct"/>
            <w:tcBorders>
              <w:top w:val="nil"/>
              <w:left w:val="nil"/>
              <w:bottom w:val="single" w:sz="4" w:space="0" w:color="auto"/>
              <w:right w:val="single" w:sz="4" w:space="0" w:color="auto"/>
            </w:tcBorders>
            <w:shd w:val="clear" w:color="auto" w:fill="auto"/>
            <w:noWrap/>
            <w:vAlign w:val="bottom"/>
            <w:hideMark/>
          </w:tcPr>
          <w:p w14:paraId="50E1BEDB" w14:textId="77777777" w:rsidR="008C027A" w:rsidRPr="00A52AEE" w:rsidRDefault="008C027A" w:rsidP="009A2373">
            <w:pPr>
              <w:jc w:val="right"/>
              <w:rPr>
                <w:lang w:eastAsia="en-GB"/>
              </w:rPr>
            </w:pPr>
            <w:r w:rsidRPr="00A52AEE">
              <w:rPr>
                <w:lang w:eastAsia="en-GB"/>
              </w:rPr>
              <w:t>38%</w:t>
            </w:r>
          </w:p>
        </w:tc>
      </w:tr>
      <w:tr w:rsidR="008C027A" w:rsidRPr="00A52AEE" w14:paraId="00B7DD57"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325F5347" w14:textId="77777777" w:rsidR="008C027A" w:rsidRPr="00A52AEE" w:rsidRDefault="008C027A" w:rsidP="00A52AEE">
            <w:pPr>
              <w:rPr>
                <w:lang w:eastAsia="en-GB"/>
              </w:rPr>
            </w:pPr>
            <w:r w:rsidRPr="00A52AEE">
              <w:rPr>
                <w:lang w:eastAsia="en-GB"/>
              </w:rPr>
              <w:t>Richmond upon Thames</w:t>
            </w:r>
          </w:p>
        </w:tc>
        <w:tc>
          <w:tcPr>
            <w:tcW w:w="622" w:type="pct"/>
            <w:tcBorders>
              <w:top w:val="nil"/>
              <w:left w:val="nil"/>
              <w:bottom w:val="single" w:sz="4" w:space="0" w:color="auto"/>
              <w:right w:val="single" w:sz="4" w:space="0" w:color="auto"/>
            </w:tcBorders>
            <w:shd w:val="clear" w:color="auto" w:fill="auto"/>
            <w:noWrap/>
            <w:vAlign w:val="bottom"/>
            <w:hideMark/>
          </w:tcPr>
          <w:p w14:paraId="0E0A9799" w14:textId="77777777" w:rsidR="008C027A" w:rsidRPr="00A52AEE" w:rsidRDefault="008C027A" w:rsidP="009A2373">
            <w:pPr>
              <w:jc w:val="right"/>
              <w:rPr>
                <w:lang w:eastAsia="en-GB"/>
              </w:rPr>
            </w:pPr>
            <w:r w:rsidRPr="00A52AEE">
              <w:rPr>
                <w:lang w:eastAsia="en-GB"/>
              </w:rPr>
              <w:t>32%</w:t>
            </w:r>
          </w:p>
        </w:tc>
        <w:tc>
          <w:tcPr>
            <w:tcW w:w="622" w:type="pct"/>
            <w:tcBorders>
              <w:top w:val="nil"/>
              <w:left w:val="nil"/>
              <w:bottom w:val="single" w:sz="4" w:space="0" w:color="auto"/>
              <w:right w:val="single" w:sz="4" w:space="0" w:color="auto"/>
            </w:tcBorders>
            <w:shd w:val="clear" w:color="auto" w:fill="auto"/>
            <w:noWrap/>
            <w:vAlign w:val="bottom"/>
            <w:hideMark/>
          </w:tcPr>
          <w:p w14:paraId="47668307" w14:textId="77777777" w:rsidR="008C027A" w:rsidRPr="00A52AEE" w:rsidRDefault="008C027A" w:rsidP="009A2373">
            <w:pPr>
              <w:jc w:val="right"/>
              <w:rPr>
                <w:lang w:eastAsia="en-GB"/>
              </w:rPr>
            </w:pPr>
            <w:r w:rsidRPr="00A52AEE">
              <w:rPr>
                <w:lang w:eastAsia="en-GB"/>
              </w:rPr>
              <w:t>34%</w:t>
            </w:r>
          </w:p>
        </w:tc>
        <w:tc>
          <w:tcPr>
            <w:tcW w:w="622" w:type="pct"/>
            <w:tcBorders>
              <w:top w:val="nil"/>
              <w:left w:val="nil"/>
              <w:bottom w:val="single" w:sz="4" w:space="0" w:color="auto"/>
              <w:right w:val="single" w:sz="4" w:space="0" w:color="auto"/>
            </w:tcBorders>
            <w:shd w:val="clear" w:color="auto" w:fill="auto"/>
            <w:noWrap/>
            <w:vAlign w:val="bottom"/>
            <w:hideMark/>
          </w:tcPr>
          <w:p w14:paraId="42BD7118"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78A87F7B"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732F82BF" w14:textId="77777777" w:rsidR="008C027A" w:rsidRPr="00A52AEE" w:rsidRDefault="008C027A" w:rsidP="009A2373">
            <w:pPr>
              <w:jc w:val="right"/>
              <w:rPr>
                <w:lang w:eastAsia="en-GB"/>
              </w:rPr>
            </w:pPr>
            <w:r w:rsidRPr="00A52AEE">
              <w:rPr>
                <w:lang w:eastAsia="en-GB"/>
              </w:rPr>
              <w:t>31%</w:t>
            </w:r>
          </w:p>
        </w:tc>
      </w:tr>
      <w:tr w:rsidR="008C027A" w:rsidRPr="00A52AEE" w14:paraId="70792B6F"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28B30123" w14:textId="77777777" w:rsidR="008C027A" w:rsidRPr="00A52AEE" w:rsidRDefault="008C027A" w:rsidP="00A52AEE">
            <w:pPr>
              <w:rPr>
                <w:lang w:eastAsia="en-GB"/>
              </w:rPr>
            </w:pPr>
            <w:r w:rsidRPr="00A52AEE">
              <w:rPr>
                <w:lang w:eastAsia="en-GB"/>
              </w:rPr>
              <w:t>Southwark</w:t>
            </w:r>
          </w:p>
        </w:tc>
        <w:tc>
          <w:tcPr>
            <w:tcW w:w="622" w:type="pct"/>
            <w:tcBorders>
              <w:top w:val="nil"/>
              <w:left w:val="nil"/>
              <w:bottom w:val="single" w:sz="4" w:space="0" w:color="auto"/>
              <w:right w:val="single" w:sz="4" w:space="0" w:color="auto"/>
            </w:tcBorders>
            <w:shd w:val="clear" w:color="auto" w:fill="auto"/>
            <w:noWrap/>
            <w:vAlign w:val="bottom"/>
            <w:hideMark/>
          </w:tcPr>
          <w:p w14:paraId="763F6DD6" w14:textId="77777777" w:rsidR="008C027A" w:rsidRPr="00A52AEE" w:rsidRDefault="008C027A" w:rsidP="009A2373">
            <w:pPr>
              <w:jc w:val="right"/>
              <w:rPr>
                <w:lang w:eastAsia="en-GB"/>
              </w:rPr>
            </w:pPr>
            <w:r w:rsidRPr="00A52AEE">
              <w:rPr>
                <w:lang w:eastAsia="en-GB"/>
              </w:rPr>
              <w:t>48%</w:t>
            </w:r>
          </w:p>
        </w:tc>
        <w:tc>
          <w:tcPr>
            <w:tcW w:w="622" w:type="pct"/>
            <w:tcBorders>
              <w:top w:val="nil"/>
              <w:left w:val="nil"/>
              <w:bottom w:val="single" w:sz="4" w:space="0" w:color="auto"/>
              <w:right w:val="single" w:sz="4" w:space="0" w:color="auto"/>
            </w:tcBorders>
            <w:shd w:val="clear" w:color="auto" w:fill="auto"/>
            <w:noWrap/>
            <w:vAlign w:val="bottom"/>
            <w:hideMark/>
          </w:tcPr>
          <w:p w14:paraId="7A659314" w14:textId="77777777" w:rsidR="008C027A" w:rsidRPr="00A52AEE" w:rsidRDefault="008C027A" w:rsidP="009A2373">
            <w:pPr>
              <w:jc w:val="right"/>
              <w:rPr>
                <w:lang w:eastAsia="en-GB"/>
              </w:rPr>
            </w:pPr>
            <w:r w:rsidRPr="00A52AEE">
              <w:rPr>
                <w:lang w:eastAsia="en-GB"/>
              </w:rPr>
              <w:t>49%</w:t>
            </w:r>
          </w:p>
        </w:tc>
        <w:tc>
          <w:tcPr>
            <w:tcW w:w="622" w:type="pct"/>
            <w:tcBorders>
              <w:top w:val="nil"/>
              <w:left w:val="nil"/>
              <w:bottom w:val="single" w:sz="4" w:space="0" w:color="auto"/>
              <w:right w:val="single" w:sz="4" w:space="0" w:color="auto"/>
            </w:tcBorders>
            <w:shd w:val="clear" w:color="auto" w:fill="auto"/>
            <w:noWrap/>
            <w:vAlign w:val="bottom"/>
            <w:hideMark/>
          </w:tcPr>
          <w:p w14:paraId="25C850E4" w14:textId="77777777" w:rsidR="008C027A" w:rsidRPr="00A52AEE" w:rsidRDefault="008C027A" w:rsidP="009A2373">
            <w:pPr>
              <w:jc w:val="right"/>
              <w:rPr>
                <w:lang w:eastAsia="en-GB"/>
              </w:rPr>
            </w:pPr>
            <w:r w:rsidRPr="00A52AEE">
              <w:rPr>
                <w:lang w:eastAsia="en-GB"/>
              </w:rPr>
              <w:t>46%</w:t>
            </w:r>
          </w:p>
        </w:tc>
        <w:tc>
          <w:tcPr>
            <w:tcW w:w="622" w:type="pct"/>
            <w:tcBorders>
              <w:top w:val="nil"/>
              <w:left w:val="nil"/>
              <w:bottom w:val="single" w:sz="4" w:space="0" w:color="auto"/>
              <w:right w:val="single" w:sz="4" w:space="0" w:color="auto"/>
            </w:tcBorders>
            <w:shd w:val="clear" w:color="auto" w:fill="auto"/>
            <w:noWrap/>
            <w:vAlign w:val="bottom"/>
            <w:hideMark/>
          </w:tcPr>
          <w:p w14:paraId="10D40097" w14:textId="77777777" w:rsidR="008C027A" w:rsidRPr="00A52AEE" w:rsidRDefault="008C027A" w:rsidP="009A2373">
            <w:pPr>
              <w:jc w:val="right"/>
              <w:rPr>
                <w:lang w:eastAsia="en-GB"/>
              </w:rPr>
            </w:pPr>
            <w:r w:rsidRPr="00A52AEE">
              <w:rPr>
                <w:lang w:eastAsia="en-GB"/>
              </w:rPr>
              <w:t>51%</w:t>
            </w:r>
          </w:p>
        </w:tc>
        <w:tc>
          <w:tcPr>
            <w:tcW w:w="622" w:type="pct"/>
            <w:tcBorders>
              <w:top w:val="nil"/>
              <w:left w:val="nil"/>
              <w:bottom w:val="single" w:sz="4" w:space="0" w:color="auto"/>
              <w:right w:val="single" w:sz="4" w:space="0" w:color="auto"/>
            </w:tcBorders>
            <w:shd w:val="clear" w:color="auto" w:fill="auto"/>
            <w:noWrap/>
            <w:vAlign w:val="bottom"/>
            <w:hideMark/>
          </w:tcPr>
          <w:p w14:paraId="30275874" w14:textId="77777777" w:rsidR="008C027A" w:rsidRPr="00A52AEE" w:rsidRDefault="008C027A" w:rsidP="009A2373">
            <w:pPr>
              <w:jc w:val="right"/>
              <w:rPr>
                <w:lang w:eastAsia="en-GB"/>
              </w:rPr>
            </w:pPr>
            <w:r w:rsidRPr="00A52AEE">
              <w:rPr>
                <w:lang w:eastAsia="en-GB"/>
              </w:rPr>
              <w:t>43%</w:t>
            </w:r>
          </w:p>
        </w:tc>
      </w:tr>
      <w:tr w:rsidR="008C027A" w:rsidRPr="00A52AEE" w14:paraId="4511BC22"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73844499" w14:textId="77777777" w:rsidR="008C027A" w:rsidRPr="00A52AEE" w:rsidRDefault="008C027A" w:rsidP="00A52AEE">
            <w:pPr>
              <w:rPr>
                <w:lang w:eastAsia="en-GB"/>
              </w:rPr>
            </w:pPr>
            <w:r w:rsidRPr="00A52AEE">
              <w:rPr>
                <w:lang w:eastAsia="en-GB"/>
              </w:rPr>
              <w:t>Sutton</w:t>
            </w:r>
          </w:p>
        </w:tc>
        <w:tc>
          <w:tcPr>
            <w:tcW w:w="622" w:type="pct"/>
            <w:tcBorders>
              <w:top w:val="nil"/>
              <w:left w:val="nil"/>
              <w:bottom w:val="single" w:sz="4" w:space="0" w:color="auto"/>
              <w:right w:val="single" w:sz="4" w:space="0" w:color="auto"/>
            </w:tcBorders>
            <w:shd w:val="clear" w:color="auto" w:fill="auto"/>
            <w:noWrap/>
            <w:vAlign w:val="bottom"/>
            <w:hideMark/>
          </w:tcPr>
          <w:p w14:paraId="3448846A" w14:textId="77777777" w:rsidR="008C027A" w:rsidRPr="00A52AEE" w:rsidRDefault="008C027A" w:rsidP="009A2373">
            <w:pPr>
              <w:jc w:val="right"/>
              <w:rPr>
                <w:lang w:eastAsia="en-GB"/>
              </w:rPr>
            </w:pPr>
            <w:r w:rsidRPr="00A52AEE">
              <w:rPr>
                <w:lang w:eastAsia="en-GB"/>
              </w:rPr>
              <w:t>21%</w:t>
            </w:r>
          </w:p>
        </w:tc>
        <w:tc>
          <w:tcPr>
            <w:tcW w:w="622" w:type="pct"/>
            <w:tcBorders>
              <w:top w:val="nil"/>
              <w:left w:val="nil"/>
              <w:bottom w:val="single" w:sz="4" w:space="0" w:color="auto"/>
              <w:right w:val="single" w:sz="4" w:space="0" w:color="auto"/>
            </w:tcBorders>
            <w:shd w:val="clear" w:color="auto" w:fill="auto"/>
            <w:noWrap/>
            <w:vAlign w:val="bottom"/>
            <w:hideMark/>
          </w:tcPr>
          <w:p w14:paraId="5D0CA076" w14:textId="77777777" w:rsidR="008C027A" w:rsidRPr="00A52AEE" w:rsidRDefault="008C027A" w:rsidP="009A2373">
            <w:pPr>
              <w:jc w:val="right"/>
              <w:rPr>
                <w:lang w:eastAsia="en-GB"/>
              </w:rPr>
            </w:pPr>
            <w:r w:rsidRPr="00A52AEE">
              <w:rPr>
                <w:lang w:eastAsia="en-GB"/>
              </w:rPr>
              <w:t>28%</w:t>
            </w:r>
          </w:p>
        </w:tc>
        <w:tc>
          <w:tcPr>
            <w:tcW w:w="622" w:type="pct"/>
            <w:tcBorders>
              <w:top w:val="nil"/>
              <w:left w:val="nil"/>
              <w:bottom w:val="single" w:sz="4" w:space="0" w:color="auto"/>
              <w:right w:val="single" w:sz="4" w:space="0" w:color="auto"/>
            </w:tcBorders>
            <w:shd w:val="clear" w:color="auto" w:fill="auto"/>
            <w:noWrap/>
            <w:vAlign w:val="bottom"/>
            <w:hideMark/>
          </w:tcPr>
          <w:p w14:paraId="4874B36C" w14:textId="77777777" w:rsidR="008C027A" w:rsidRPr="00A52AEE" w:rsidRDefault="008C027A" w:rsidP="009A2373">
            <w:pPr>
              <w:jc w:val="right"/>
              <w:rPr>
                <w:lang w:eastAsia="en-GB"/>
              </w:rPr>
            </w:pPr>
            <w:r w:rsidRPr="00A52AEE">
              <w:rPr>
                <w:lang w:eastAsia="en-GB"/>
              </w:rPr>
              <w:t>29%</w:t>
            </w:r>
          </w:p>
        </w:tc>
        <w:tc>
          <w:tcPr>
            <w:tcW w:w="622" w:type="pct"/>
            <w:tcBorders>
              <w:top w:val="nil"/>
              <w:left w:val="nil"/>
              <w:bottom w:val="single" w:sz="4" w:space="0" w:color="auto"/>
              <w:right w:val="single" w:sz="4" w:space="0" w:color="auto"/>
            </w:tcBorders>
            <w:shd w:val="clear" w:color="auto" w:fill="auto"/>
            <w:noWrap/>
            <w:vAlign w:val="bottom"/>
            <w:hideMark/>
          </w:tcPr>
          <w:p w14:paraId="401406EF" w14:textId="77777777" w:rsidR="008C027A" w:rsidRPr="00A52AEE" w:rsidRDefault="008C027A" w:rsidP="009A2373">
            <w:pPr>
              <w:jc w:val="right"/>
              <w:rPr>
                <w:lang w:eastAsia="en-GB"/>
              </w:rPr>
            </w:pPr>
            <w:r w:rsidRPr="00A52AEE">
              <w:rPr>
                <w:lang w:eastAsia="en-GB"/>
              </w:rPr>
              <w:t>33%</w:t>
            </w:r>
          </w:p>
        </w:tc>
        <w:tc>
          <w:tcPr>
            <w:tcW w:w="622" w:type="pct"/>
            <w:tcBorders>
              <w:top w:val="nil"/>
              <w:left w:val="nil"/>
              <w:bottom w:val="single" w:sz="4" w:space="0" w:color="auto"/>
              <w:right w:val="single" w:sz="4" w:space="0" w:color="auto"/>
            </w:tcBorders>
            <w:shd w:val="clear" w:color="auto" w:fill="auto"/>
            <w:noWrap/>
            <w:vAlign w:val="bottom"/>
            <w:hideMark/>
          </w:tcPr>
          <w:p w14:paraId="5B5ACA5A" w14:textId="77777777" w:rsidR="008C027A" w:rsidRPr="00A52AEE" w:rsidRDefault="008C027A" w:rsidP="009A2373">
            <w:pPr>
              <w:jc w:val="right"/>
              <w:rPr>
                <w:lang w:eastAsia="en-GB"/>
              </w:rPr>
            </w:pPr>
            <w:r w:rsidRPr="00A52AEE">
              <w:rPr>
                <w:lang w:eastAsia="en-GB"/>
              </w:rPr>
              <w:t>31%</w:t>
            </w:r>
          </w:p>
        </w:tc>
      </w:tr>
      <w:tr w:rsidR="008C027A" w:rsidRPr="00A52AEE" w14:paraId="44C703F4"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546B2B3C" w14:textId="77777777" w:rsidR="008C027A" w:rsidRPr="00A52AEE" w:rsidRDefault="008C027A" w:rsidP="00A52AEE">
            <w:pPr>
              <w:rPr>
                <w:lang w:eastAsia="en-GB"/>
              </w:rPr>
            </w:pPr>
            <w:r w:rsidRPr="00A52AEE">
              <w:rPr>
                <w:lang w:eastAsia="en-GB"/>
              </w:rPr>
              <w:t>Tower Hamlets</w:t>
            </w:r>
          </w:p>
        </w:tc>
        <w:tc>
          <w:tcPr>
            <w:tcW w:w="622" w:type="pct"/>
            <w:tcBorders>
              <w:top w:val="nil"/>
              <w:left w:val="nil"/>
              <w:bottom w:val="single" w:sz="4" w:space="0" w:color="auto"/>
              <w:right w:val="single" w:sz="4" w:space="0" w:color="auto"/>
            </w:tcBorders>
            <w:shd w:val="clear" w:color="auto" w:fill="auto"/>
            <w:noWrap/>
            <w:vAlign w:val="bottom"/>
            <w:hideMark/>
          </w:tcPr>
          <w:p w14:paraId="2E667032" w14:textId="77777777" w:rsidR="008C027A" w:rsidRPr="00A52AEE" w:rsidRDefault="008C027A" w:rsidP="009A2373">
            <w:pPr>
              <w:jc w:val="right"/>
              <w:rPr>
                <w:lang w:eastAsia="en-GB"/>
              </w:rPr>
            </w:pPr>
            <w:r w:rsidRPr="00A52AEE">
              <w:rPr>
                <w:lang w:eastAsia="en-GB"/>
              </w:rPr>
              <w:t>54%</w:t>
            </w:r>
          </w:p>
        </w:tc>
        <w:tc>
          <w:tcPr>
            <w:tcW w:w="622" w:type="pct"/>
            <w:tcBorders>
              <w:top w:val="nil"/>
              <w:left w:val="nil"/>
              <w:bottom w:val="single" w:sz="4" w:space="0" w:color="auto"/>
              <w:right w:val="single" w:sz="4" w:space="0" w:color="auto"/>
            </w:tcBorders>
            <w:shd w:val="clear" w:color="auto" w:fill="auto"/>
            <w:noWrap/>
            <w:vAlign w:val="bottom"/>
            <w:hideMark/>
          </w:tcPr>
          <w:p w14:paraId="2AEAE803" w14:textId="77777777" w:rsidR="008C027A" w:rsidRPr="00A52AEE" w:rsidRDefault="008C027A" w:rsidP="009A2373">
            <w:pPr>
              <w:jc w:val="right"/>
              <w:rPr>
                <w:lang w:eastAsia="en-GB"/>
              </w:rPr>
            </w:pPr>
            <w:r w:rsidRPr="00A52AEE">
              <w:rPr>
                <w:lang w:eastAsia="en-GB"/>
              </w:rPr>
              <w:t>52%</w:t>
            </w:r>
          </w:p>
        </w:tc>
        <w:tc>
          <w:tcPr>
            <w:tcW w:w="622" w:type="pct"/>
            <w:tcBorders>
              <w:top w:val="nil"/>
              <w:left w:val="nil"/>
              <w:bottom w:val="single" w:sz="4" w:space="0" w:color="auto"/>
              <w:right w:val="single" w:sz="4" w:space="0" w:color="auto"/>
            </w:tcBorders>
            <w:shd w:val="clear" w:color="auto" w:fill="auto"/>
            <w:noWrap/>
            <w:vAlign w:val="bottom"/>
            <w:hideMark/>
          </w:tcPr>
          <w:p w14:paraId="10D37743" w14:textId="77777777" w:rsidR="008C027A" w:rsidRPr="00A52AEE" w:rsidRDefault="008C027A" w:rsidP="009A2373">
            <w:pPr>
              <w:jc w:val="right"/>
              <w:rPr>
                <w:lang w:eastAsia="en-GB"/>
              </w:rPr>
            </w:pPr>
            <w:r w:rsidRPr="00A52AEE">
              <w:rPr>
                <w:lang w:eastAsia="en-GB"/>
              </w:rPr>
              <w:t>48%</w:t>
            </w:r>
          </w:p>
        </w:tc>
        <w:tc>
          <w:tcPr>
            <w:tcW w:w="622" w:type="pct"/>
            <w:tcBorders>
              <w:top w:val="nil"/>
              <w:left w:val="nil"/>
              <w:bottom w:val="single" w:sz="4" w:space="0" w:color="auto"/>
              <w:right w:val="single" w:sz="4" w:space="0" w:color="auto"/>
            </w:tcBorders>
            <w:shd w:val="clear" w:color="auto" w:fill="auto"/>
            <w:noWrap/>
            <w:vAlign w:val="bottom"/>
            <w:hideMark/>
          </w:tcPr>
          <w:p w14:paraId="1B92F359" w14:textId="77777777" w:rsidR="008C027A" w:rsidRPr="00A52AEE" w:rsidRDefault="008C027A" w:rsidP="009A2373">
            <w:pPr>
              <w:jc w:val="right"/>
              <w:rPr>
                <w:lang w:eastAsia="en-GB"/>
              </w:rPr>
            </w:pPr>
            <w:r w:rsidRPr="00A52AEE">
              <w:rPr>
                <w:lang w:eastAsia="en-GB"/>
              </w:rPr>
              <w:t>51%</w:t>
            </w:r>
          </w:p>
        </w:tc>
        <w:tc>
          <w:tcPr>
            <w:tcW w:w="622" w:type="pct"/>
            <w:tcBorders>
              <w:top w:val="nil"/>
              <w:left w:val="nil"/>
              <w:bottom w:val="single" w:sz="4" w:space="0" w:color="auto"/>
              <w:right w:val="single" w:sz="4" w:space="0" w:color="auto"/>
            </w:tcBorders>
            <w:shd w:val="clear" w:color="auto" w:fill="auto"/>
            <w:noWrap/>
            <w:vAlign w:val="bottom"/>
            <w:hideMark/>
          </w:tcPr>
          <w:p w14:paraId="6F8E6509" w14:textId="77777777" w:rsidR="008C027A" w:rsidRPr="00A52AEE" w:rsidRDefault="008C027A" w:rsidP="009A2373">
            <w:pPr>
              <w:jc w:val="right"/>
              <w:rPr>
                <w:lang w:eastAsia="en-GB"/>
              </w:rPr>
            </w:pPr>
            <w:r w:rsidRPr="00A52AEE">
              <w:rPr>
                <w:lang w:eastAsia="en-GB"/>
              </w:rPr>
              <w:t>40%</w:t>
            </w:r>
          </w:p>
        </w:tc>
      </w:tr>
      <w:tr w:rsidR="008C027A" w:rsidRPr="00A52AEE" w14:paraId="08F7EC4E"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21EF80E2" w14:textId="77777777" w:rsidR="008C027A" w:rsidRPr="00A52AEE" w:rsidRDefault="008C027A" w:rsidP="00A52AEE">
            <w:pPr>
              <w:rPr>
                <w:lang w:eastAsia="en-GB"/>
              </w:rPr>
            </w:pPr>
            <w:r w:rsidRPr="00A52AEE">
              <w:rPr>
                <w:lang w:eastAsia="en-GB"/>
              </w:rPr>
              <w:t>Waltham Forest</w:t>
            </w:r>
          </w:p>
        </w:tc>
        <w:tc>
          <w:tcPr>
            <w:tcW w:w="622" w:type="pct"/>
            <w:tcBorders>
              <w:top w:val="nil"/>
              <w:left w:val="nil"/>
              <w:bottom w:val="single" w:sz="4" w:space="0" w:color="auto"/>
              <w:right w:val="single" w:sz="4" w:space="0" w:color="auto"/>
            </w:tcBorders>
            <w:shd w:val="clear" w:color="auto" w:fill="auto"/>
            <w:noWrap/>
            <w:vAlign w:val="bottom"/>
            <w:hideMark/>
          </w:tcPr>
          <w:p w14:paraId="7C301E63" w14:textId="77777777" w:rsidR="008C027A" w:rsidRPr="00A52AEE" w:rsidRDefault="008C027A" w:rsidP="009A2373">
            <w:pPr>
              <w:jc w:val="right"/>
              <w:rPr>
                <w:lang w:eastAsia="en-GB"/>
              </w:rPr>
            </w:pPr>
            <w:r w:rsidRPr="00A52AEE">
              <w:rPr>
                <w:lang w:eastAsia="en-GB"/>
              </w:rPr>
              <w:t>50%</w:t>
            </w:r>
          </w:p>
        </w:tc>
        <w:tc>
          <w:tcPr>
            <w:tcW w:w="622" w:type="pct"/>
            <w:tcBorders>
              <w:top w:val="nil"/>
              <w:left w:val="nil"/>
              <w:bottom w:val="single" w:sz="4" w:space="0" w:color="auto"/>
              <w:right w:val="single" w:sz="4" w:space="0" w:color="auto"/>
            </w:tcBorders>
            <w:shd w:val="clear" w:color="auto" w:fill="auto"/>
            <w:noWrap/>
            <w:vAlign w:val="bottom"/>
            <w:hideMark/>
          </w:tcPr>
          <w:p w14:paraId="5D0AB652" w14:textId="77777777" w:rsidR="008C027A" w:rsidRPr="00A52AEE" w:rsidRDefault="008C027A" w:rsidP="009A2373">
            <w:pPr>
              <w:jc w:val="right"/>
              <w:rPr>
                <w:lang w:eastAsia="en-GB"/>
              </w:rPr>
            </w:pPr>
            <w:r w:rsidRPr="00A52AEE">
              <w:rPr>
                <w:lang w:eastAsia="en-GB"/>
              </w:rPr>
              <w:t>49%</w:t>
            </w:r>
          </w:p>
        </w:tc>
        <w:tc>
          <w:tcPr>
            <w:tcW w:w="622" w:type="pct"/>
            <w:tcBorders>
              <w:top w:val="nil"/>
              <w:left w:val="nil"/>
              <w:bottom w:val="single" w:sz="4" w:space="0" w:color="auto"/>
              <w:right w:val="single" w:sz="4" w:space="0" w:color="auto"/>
            </w:tcBorders>
            <w:shd w:val="clear" w:color="auto" w:fill="auto"/>
            <w:noWrap/>
            <w:vAlign w:val="bottom"/>
            <w:hideMark/>
          </w:tcPr>
          <w:p w14:paraId="7F015974" w14:textId="77777777" w:rsidR="008C027A" w:rsidRPr="00A52AEE" w:rsidRDefault="008C027A" w:rsidP="009A2373">
            <w:pPr>
              <w:jc w:val="right"/>
              <w:rPr>
                <w:lang w:eastAsia="en-GB"/>
              </w:rPr>
            </w:pPr>
            <w:r w:rsidRPr="00A52AEE">
              <w:rPr>
                <w:lang w:eastAsia="en-GB"/>
              </w:rPr>
              <w:t>51%</w:t>
            </w:r>
          </w:p>
        </w:tc>
        <w:tc>
          <w:tcPr>
            <w:tcW w:w="622" w:type="pct"/>
            <w:tcBorders>
              <w:top w:val="nil"/>
              <w:left w:val="nil"/>
              <w:bottom w:val="single" w:sz="4" w:space="0" w:color="auto"/>
              <w:right w:val="single" w:sz="4" w:space="0" w:color="auto"/>
            </w:tcBorders>
            <w:shd w:val="clear" w:color="auto" w:fill="auto"/>
            <w:noWrap/>
            <w:vAlign w:val="bottom"/>
            <w:hideMark/>
          </w:tcPr>
          <w:p w14:paraId="71D1A608" w14:textId="77777777" w:rsidR="008C027A" w:rsidRPr="00A52AEE" w:rsidRDefault="008C027A" w:rsidP="009A2373">
            <w:pPr>
              <w:jc w:val="right"/>
              <w:rPr>
                <w:lang w:eastAsia="en-GB"/>
              </w:rPr>
            </w:pPr>
            <w:r w:rsidRPr="00A52AEE">
              <w:rPr>
                <w:lang w:eastAsia="en-GB"/>
              </w:rPr>
              <w:t>50%</w:t>
            </w:r>
          </w:p>
        </w:tc>
        <w:tc>
          <w:tcPr>
            <w:tcW w:w="622" w:type="pct"/>
            <w:tcBorders>
              <w:top w:val="nil"/>
              <w:left w:val="nil"/>
              <w:bottom w:val="single" w:sz="4" w:space="0" w:color="auto"/>
              <w:right w:val="single" w:sz="4" w:space="0" w:color="auto"/>
            </w:tcBorders>
            <w:shd w:val="clear" w:color="auto" w:fill="auto"/>
            <w:noWrap/>
            <w:vAlign w:val="bottom"/>
            <w:hideMark/>
          </w:tcPr>
          <w:p w14:paraId="12DB7A85" w14:textId="77777777" w:rsidR="008C027A" w:rsidRPr="00A52AEE" w:rsidRDefault="008C027A" w:rsidP="009A2373">
            <w:pPr>
              <w:jc w:val="right"/>
              <w:rPr>
                <w:lang w:eastAsia="en-GB"/>
              </w:rPr>
            </w:pPr>
            <w:r w:rsidRPr="00A52AEE">
              <w:rPr>
                <w:lang w:eastAsia="en-GB"/>
              </w:rPr>
              <w:t>44%</w:t>
            </w:r>
          </w:p>
        </w:tc>
      </w:tr>
      <w:tr w:rsidR="008C027A" w:rsidRPr="00A52AEE" w14:paraId="30E345C0"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2A31115A" w14:textId="77777777" w:rsidR="008C027A" w:rsidRPr="00A52AEE" w:rsidRDefault="008C027A" w:rsidP="00A52AEE">
            <w:pPr>
              <w:rPr>
                <w:lang w:eastAsia="en-GB"/>
              </w:rPr>
            </w:pPr>
            <w:r w:rsidRPr="00A52AEE">
              <w:rPr>
                <w:lang w:eastAsia="en-GB"/>
              </w:rPr>
              <w:t>Wandsworth</w:t>
            </w:r>
          </w:p>
        </w:tc>
        <w:tc>
          <w:tcPr>
            <w:tcW w:w="622" w:type="pct"/>
            <w:tcBorders>
              <w:top w:val="nil"/>
              <w:left w:val="nil"/>
              <w:bottom w:val="single" w:sz="4" w:space="0" w:color="auto"/>
              <w:right w:val="single" w:sz="4" w:space="0" w:color="auto"/>
            </w:tcBorders>
            <w:shd w:val="clear" w:color="auto" w:fill="auto"/>
            <w:noWrap/>
            <w:vAlign w:val="bottom"/>
            <w:hideMark/>
          </w:tcPr>
          <w:p w14:paraId="37737932" w14:textId="77777777" w:rsidR="008C027A" w:rsidRPr="00A52AEE" w:rsidRDefault="008C027A" w:rsidP="009A2373">
            <w:pPr>
              <w:jc w:val="right"/>
              <w:rPr>
                <w:lang w:eastAsia="en-GB"/>
              </w:rPr>
            </w:pPr>
            <w:r w:rsidRPr="00A52AEE">
              <w:rPr>
                <w:lang w:eastAsia="en-GB"/>
              </w:rPr>
              <w:t>37%</w:t>
            </w:r>
          </w:p>
        </w:tc>
        <w:tc>
          <w:tcPr>
            <w:tcW w:w="622" w:type="pct"/>
            <w:tcBorders>
              <w:top w:val="nil"/>
              <w:left w:val="nil"/>
              <w:bottom w:val="single" w:sz="4" w:space="0" w:color="auto"/>
              <w:right w:val="single" w:sz="4" w:space="0" w:color="auto"/>
            </w:tcBorders>
            <w:shd w:val="clear" w:color="auto" w:fill="auto"/>
            <w:noWrap/>
            <w:vAlign w:val="bottom"/>
            <w:hideMark/>
          </w:tcPr>
          <w:p w14:paraId="63FD4249" w14:textId="77777777" w:rsidR="008C027A" w:rsidRPr="00A52AEE" w:rsidRDefault="008C027A" w:rsidP="009A2373">
            <w:pPr>
              <w:jc w:val="right"/>
              <w:rPr>
                <w:lang w:eastAsia="en-GB"/>
              </w:rPr>
            </w:pPr>
            <w:r w:rsidRPr="00A52AEE">
              <w:rPr>
                <w:lang w:eastAsia="en-GB"/>
              </w:rPr>
              <w:t>39%</w:t>
            </w:r>
          </w:p>
        </w:tc>
        <w:tc>
          <w:tcPr>
            <w:tcW w:w="622" w:type="pct"/>
            <w:tcBorders>
              <w:top w:val="nil"/>
              <w:left w:val="nil"/>
              <w:bottom w:val="single" w:sz="4" w:space="0" w:color="auto"/>
              <w:right w:val="single" w:sz="4" w:space="0" w:color="auto"/>
            </w:tcBorders>
            <w:shd w:val="clear" w:color="auto" w:fill="auto"/>
            <w:noWrap/>
            <w:vAlign w:val="bottom"/>
            <w:hideMark/>
          </w:tcPr>
          <w:p w14:paraId="05E4E388"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38F9994B" w14:textId="77777777" w:rsidR="008C027A" w:rsidRPr="00A52AEE" w:rsidRDefault="008C027A" w:rsidP="009A2373">
            <w:pPr>
              <w:jc w:val="right"/>
              <w:rPr>
                <w:lang w:eastAsia="en-GB"/>
              </w:rPr>
            </w:pPr>
            <w:r w:rsidRPr="00A52AEE">
              <w:rPr>
                <w:lang w:eastAsia="en-GB"/>
              </w:rPr>
              <w:t>41%</w:t>
            </w:r>
          </w:p>
        </w:tc>
        <w:tc>
          <w:tcPr>
            <w:tcW w:w="622" w:type="pct"/>
            <w:tcBorders>
              <w:top w:val="nil"/>
              <w:left w:val="nil"/>
              <w:bottom w:val="single" w:sz="4" w:space="0" w:color="auto"/>
              <w:right w:val="single" w:sz="4" w:space="0" w:color="auto"/>
            </w:tcBorders>
            <w:shd w:val="clear" w:color="auto" w:fill="auto"/>
            <w:noWrap/>
            <w:vAlign w:val="bottom"/>
            <w:hideMark/>
          </w:tcPr>
          <w:p w14:paraId="5A7AB79F" w14:textId="77777777" w:rsidR="008C027A" w:rsidRPr="00A52AEE" w:rsidRDefault="008C027A" w:rsidP="009A2373">
            <w:pPr>
              <w:jc w:val="right"/>
              <w:rPr>
                <w:lang w:eastAsia="en-GB"/>
              </w:rPr>
            </w:pPr>
            <w:r w:rsidRPr="00A52AEE">
              <w:rPr>
                <w:lang w:eastAsia="en-GB"/>
              </w:rPr>
              <w:t>40%</w:t>
            </w:r>
          </w:p>
        </w:tc>
      </w:tr>
      <w:tr w:rsidR="008C027A" w:rsidRPr="00A52AEE" w14:paraId="7BEBCB1F" w14:textId="77777777" w:rsidTr="008C027A">
        <w:trPr>
          <w:trHeight w:val="300"/>
        </w:trPr>
        <w:tc>
          <w:tcPr>
            <w:tcW w:w="1891" w:type="pct"/>
            <w:tcBorders>
              <w:top w:val="nil"/>
              <w:left w:val="single" w:sz="4" w:space="0" w:color="auto"/>
              <w:bottom w:val="single" w:sz="4" w:space="0" w:color="auto"/>
              <w:right w:val="single" w:sz="4" w:space="0" w:color="auto"/>
            </w:tcBorders>
            <w:shd w:val="clear" w:color="auto" w:fill="auto"/>
            <w:noWrap/>
            <w:vAlign w:val="bottom"/>
            <w:hideMark/>
          </w:tcPr>
          <w:p w14:paraId="19F79B50" w14:textId="77777777" w:rsidR="008C027A" w:rsidRPr="00A52AEE" w:rsidRDefault="008C027A" w:rsidP="00A52AEE">
            <w:pPr>
              <w:rPr>
                <w:lang w:eastAsia="en-GB"/>
              </w:rPr>
            </w:pPr>
            <w:r w:rsidRPr="00A52AEE">
              <w:rPr>
                <w:lang w:eastAsia="en-GB"/>
              </w:rPr>
              <w:t>Westminster</w:t>
            </w:r>
          </w:p>
        </w:tc>
        <w:tc>
          <w:tcPr>
            <w:tcW w:w="622" w:type="pct"/>
            <w:tcBorders>
              <w:top w:val="nil"/>
              <w:left w:val="nil"/>
              <w:bottom w:val="single" w:sz="4" w:space="0" w:color="auto"/>
              <w:right w:val="single" w:sz="4" w:space="0" w:color="auto"/>
            </w:tcBorders>
            <w:shd w:val="clear" w:color="auto" w:fill="auto"/>
            <w:noWrap/>
            <w:vAlign w:val="bottom"/>
            <w:hideMark/>
          </w:tcPr>
          <w:p w14:paraId="4B0E0741"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7439357B" w14:textId="77777777" w:rsidR="008C027A" w:rsidRPr="00A52AEE" w:rsidRDefault="008C027A" w:rsidP="009A2373">
            <w:pPr>
              <w:jc w:val="right"/>
              <w:rPr>
                <w:lang w:eastAsia="en-GB"/>
              </w:rPr>
            </w:pPr>
            <w:r w:rsidRPr="00A52AEE">
              <w:rPr>
                <w:lang w:eastAsia="en-GB"/>
              </w:rPr>
              <w:t>42%</w:t>
            </w:r>
          </w:p>
        </w:tc>
        <w:tc>
          <w:tcPr>
            <w:tcW w:w="622" w:type="pct"/>
            <w:tcBorders>
              <w:top w:val="nil"/>
              <w:left w:val="nil"/>
              <w:bottom w:val="single" w:sz="4" w:space="0" w:color="auto"/>
              <w:right w:val="single" w:sz="4" w:space="0" w:color="auto"/>
            </w:tcBorders>
            <w:shd w:val="clear" w:color="auto" w:fill="auto"/>
            <w:noWrap/>
            <w:vAlign w:val="bottom"/>
            <w:hideMark/>
          </w:tcPr>
          <w:p w14:paraId="51C5ACF7" w14:textId="77777777" w:rsidR="008C027A" w:rsidRPr="00A52AEE" w:rsidRDefault="008C027A" w:rsidP="009A2373">
            <w:pPr>
              <w:jc w:val="right"/>
              <w:rPr>
                <w:lang w:eastAsia="en-GB"/>
              </w:rPr>
            </w:pPr>
            <w:r w:rsidRPr="00A52AEE">
              <w:rPr>
                <w:lang w:eastAsia="en-GB"/>
              </w:rPr>
              <w:t>40%</w:t>
            </w:r>
          </w:p>
        </w:tc>
        <w:tc>
          <w:tcPr>
            <w:tcW w:w="622" w:type="pct"/>
            <w:tcBorders>
              <w:top w:val="nil"/>
              <w:left w:val="nil"/>
              <w:bottom w:val="single" w:sz="4" w:space="0" w:color="auto"/>
              <w:right w:val="single" w:sz="4" w:space="0" w:color="auto"/>
            </w:tcBorders>
            <w:shd w:val="clear" w:color="auto" w:fill="auto"/>
            <w:noWrap/>
            <w:vAlign w:val="bottom"/>
            <w:hideMark/>
          </w:tcPr>
          <w:p w14:paraId="27894E2F" w14:textId="77777777" w:rsidR="008C027A" w:rsidRPr="00A52AEE" w:rsidRDefault="008C027A" w:rsidP="009A2373">
            <w:pPr>
              <w:jc w:val="right"/>
              <w:rPr>
                <w:lang w:eastAsia="en-GB"/>
              </w:rPr>
            </w:pPr>
            <w:r w:rsidRPr="00A52AEE">
              <w:rPr>
                <w:lang w:eastAsia="en-GB"/>
              </w:rPr>
              <w:t>44%</w:t>
            </w:r>
          </w:p>
        </w:tc>
        <w:tc>
          <w:tcPr>
            <w:tcW w:w="622" w:type="pct"/>
            <w:tcBorders>
              <w:top w:val="nil"/>
              <w:left w:val="nil"/>
              <w:bottom w:val="single" w:sz="4" w:space="0" w:color="auto"/>
              <w:right w:val="single" w:sz="4" w:space="0" w:color="auto"/>
            </w:tcBorders>
            <w:shd w:val="clear" w:color="auto" w:fill="auto"/>
            <w:noWrap/>
            <w:vAlign w:val="bottom"/>
            <w:hideMark/>
          </w:tcPr>
          <w:p w14:paraId="59891B5E" w14:textId="77777777" w:rsidR="008C027A" w:rsidRPr="00A52AEE" w:rsidRDefault="008C027A" w:rsidP="009A2373">
            <w:pPr>
              <w:jc w:val="right"/>
              <w:rPr>
                <w:lang w:eastAsia="en-GB"/>
              </w:rPr>
            </w:pPr>
            <w:r w:rsidRPr="00A52AEE">
              <w:rPr>
                <w:lang w:eastAsia="en-GB"/>
              </w:rPr>
              <w:t>37%</w:t>
            </w:r>
          </w:p>
        </w:tc>
      </w:tr>
    </w:tbl>
    <w:p w14:paraId="68363796" w14:textId="77777777" w:rsidR="008C027A" w:rsidRPr="00A52AEE" w:rsidRDefault="008C027A" w:rsidP="00A52AEE"/>
    <w:p w14:paraId="1EABD685" w14:textId="1E2E3F19" w:rsidR="0000483F" w:rsidRPr="00A52AEE" w:rsidRDefault="00AE2C39" w:rsidP="008D527A">
      <w:pPr>
        <w:pStyle w:val="Heading2"/>
      </w:pPr>
      <w:bookmarkStart w:id="123" w:name="_Toc429151339"/>
      <w:r w:rsidRPr="00A52AEE">
        <w:t>5.15.</w:t>
      </w:r>
      <w:r w:rsidRPr="00A52AEE">
        <w:tab/>
      </w:r>
      <w:r w:rsidR="00F342FD">
        <w:t xml:space="preserve">Breakdown of </w:t>
      </w:r>
      <w:r w:rsidRPr="00A52AEE">
        <w:t>HE progression by e</w:t>
      </w:r>
      <w:r w:rsidR="0000483F" w:rsidRPr="00A52AEE">
        <w:t>thnic</w:t>
      </w:r>
      <w:r w:rsidRPr="00A52AEE">
        <w:t xml:space="preserve"> grouping</w:t>
      </w:r>
      <w:bookmarkEnd w:id="123"/>
    </w:p>
    <w:p w14:paraId="6E2CB2BB" w14:textId="6E95EF10" w:rsidR="0000483F" w:rsidRPr="00A52AEE" w:rsidRDefault="0000483F" w:rsidP="00A52AEE">
      <w:pPr>
        <w:rPr>
          <w:lang w:eastAsia="en-GB"/>
        </w:rPr>
      </w:pPr>
      <w:r w:rsidRPr="00A52AEE">
        <w:rPr>
          <w:lang w:eastAsia="en-GB"/>
        </w:rPr>
        <w:t xml:space="preserve">HE progression varies by ethnic group.  Table </w:t>
      </w:r>
      <w:r w:rsidR="00B03413">
        <w:rPr>
          <w:lang w:eastAsia="en-GB"/>
        </w:rPr>
        <w:t>33</w:t>
      </w:r>
      <w:r w:rsidRPr="00A52AEE">
        <w:rPr>
          <w:lang w:eastAsia="en-GB"/>
        </w:rPr>
        <w:t xml:space="preserve"> reveals differences in progression between White </w:t>
      </w:r>
      <w:r w:rsidR="00842186" w:rsidRPr="00A52AEE">
        <w:rPr>
          <w:lang w:eastAsia="en-GB"/>
        </w:rPr>
        <w:t>student</w:t>
      </w:r>
      <w:r w:rsidRPr="00A52AEE">
        <w:rPr>
          <w:lang w:eastAsia="en-GB"/>
        </w:rPr>
        <w:t xml:space="preserve">s in </w:t>
      </w:r>
      <w:r w:rsidR="0076166E" w:rsidRPr="00A52AEE">
        <w:rPr>
          <w:lang w:eastAsia="en-GB"/>
        </w:rPr>
        <w:t>London</w:t>
      </w:r>
      <w:r w:rsidRPr="00A52AEE">
        <w:rPr>
          <w:lang w:eastAsia="en-GB"/>
        </w:rPr>
        <w:t xml:space="preserve"> colleges and other ethnic groups. </w:t>
      </w:r>
      <w:r w:rsidR="00777675" w:rsidRPr="00A52AEE">
        <w:rPr>
          <w:lang w:eastAsia="en-GB"/>
        </w:rPr>
        <w:t xml:space="preserve">White students have lower progression rates. Asian </w:t>
      </w:r>
      <w:r w:rsidR="00842186" w:rsidRPr="00A52AEE">
        <w:rPr>
          <w:lang w:eastAsia="en-GB"/>
        </w:rPr>
        <w:t>student</w:t>
      </w:r>
      <w:r w:rsidR="00777675" w:rsidRPr="00A52AEE">
        <w:rPr>
          <w:lang w:eastAsia="en-GB"/>
        </w:rPr>
        <w:t xml:space="preserve">s have the higher progression rates to HE but it is noted that Asian Bangladeshi </w:t>
      </w:r>
      <w:r w:rsidR="00842186" w:rsidRPr="00A52AEE">
        <w:rPr>
          <w:lang w:eastAsia="en-GB"/>
        </w:rPr>
        <w:t>student</w:t>
      </w:r>
      <w:r w:rsidR="00777675" w:rsidRPr="00A52AEE">
        <w:rPr>
          <w:lang w:eastAsia="en-GB"/>
        </w:rPr>
        <w:t>s saw a higher than average decline in rates in 2012.</w:t>
      </w:r>
      <w:r w:rsidRPr="00A52AEE">
        <w:rPr>
          <w:lang w:eastAsia="en-GB"/>
        </w:rPr>
        <w:t xml:space="preserve"> P</w:t>
      </w:r>
      <w:r w:rsidR="00F342FD">
        <w:rPr>
          <w:lang w:eastAsia="en-GB"/>
        </w:rPr>
        <w:t>rogression, age and et</w:t>
      </w:r>
      <w:r w:rsidR="00B03413">
        <w:rPr>
          <w:lang w:eastAsia="en-GB"/>
        </w:rPr>
        <w:t>hnicity are explored in Table 34</w:t>
      </w:r>
      <w:r w:rsidRPr="00A52AEE">
        <w:rPr>
          <w:lang w:eastAsia="en-GB"/>
        </w:rPr>
        <w:t>.</w:t>
      </w:r>
    </w:p>
    <w:p w14:paraId="19540E00" w14:textId="77777777" w:rsidR="0000483F" w:rsidRPr="00A52AEE" w:rsidRDefault="0000483F" w:rsidP="00A52AEE">
      <w:pPr>
        <w:rPr>
          <w:lang w:eastAsia="en-GB"/>
        </w:rPr>
      </w:pPr>
    </w:p>
    <w:p w14:paraId="2278E2D2" w14:textId="4B0440C7" w:rsidR="0000483F" w:rsidRDefault="0000483F" w:rsidP="00A52AEE">
      <w:pPr>
        <w:rPr>
          <w:b/>
        </w:rPr>
      </w:pPr>
      <w:r w:rsidRPr="00F342FD">
        <w:rPr>
          <w:b/>
        </w:rPr>
        <w:t xml:space="preserve">Table </w:t>
      </w:r>
      <w:r w:rsidR="0022142D">
        <w:rPr>
          <w:b/>
        </w:rPr>
        <w:t>33</w:t>
      </w:r>
      <w:r w:rsidR="00F342FD">
        <w:rPr>
          <w:b/>
        </w:rPr>
        <w:t>: Immediate HE progression by London b</w:t>
      </w:r>
      <w:r w:rsidRPr="00F342FD">
        <w:rPr>
          <w:b/>
        </w:rPr>
        <w:t>orough</w:t>
      </w:r>
    </w:p>
    <w:p w14:paraId="4EE30435" w14:textId="77777777" w:rsidR="00F342FD" w:rsidRPr="00F342FD" w:rsidRDefault="00F342FD" w:rsidP="00A52AE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876"/>
        <w:gridCol w:w="876"/>
        <w:gridCol w:w="876"/>
        <w:gridCol w:w="876"/>
        <w:gridCol w:w="882"/>
      </w:tblGrid>
      <w:tr w:rsidR="00F342FD" w:rsidRPr="00F342FD" w14:paraId="29C2CD2E" w14:textId="77777777" w:rsidTr="00F342FD">
        <w:trPr>
          <w:trHeight w:val="735"/>
        </w:trPr>
        <w:tc>
          <w:tcPr>
            <w:tcW w:w="2552" w:type="pct"/>
            <w:vMerge w:val="restart"/>
            <w:shd w:val="clear" w:color="auto" w:fill="1F4E79" w:themeFill="accent1" w:themeFillShade="80"/>
            <w:noWrap/>
            <w:vAlign w:val="center"/>
            <w:hideMark/>
          </w:tcPr>
          <w:p w14:paraId="52FB706E" w14:textId="77777777" w:rsidR="0000483F" w:rsidRPr="00F342FD" w:rsidRDefault="0000483F" w:rsidP="00F342FD">
            <w:pPr>
              <w:rPr>
                <w:b/>
                <w:color w:val="FFFFFF" w:themeColor="background1"/>
                <w:lang w:eastAsia="en-GB"/>
              </w:rPr>
            </w:pPr>
            <w:r w:rsidRPr="00F342FD">
              <w:rPr>
                <w:b/>
                <w:color w:val="FFFFFF" w:themeColor="background1"/>
                <w:lang w:eastAsia="en-GB"/>
              </w:rPr>
              <w:t>Ethnic Groups</w:t>
            </w:r>
          </w:p>
        </w:tc>
        <w:tc>
          <w:tcPr>
            <w:tcW w:w="2448" w:type="pct"/>
            <w:gridSpan w:val="5"/>
            <w:shd w:val="clear" w:color="auto" w:fill="1F4E79" w:themeFill="accent1" w:themeFillShade="80"/>
            <w:noWrap/>
            <w:vAlign w:val="center"/>
            <w:hideMark/>
          </w:tcPr>
          <w:p w14:paraId="13150DE5" w14:textId="77777777" w:rsidR="0000483F" w:rsidRPr="00F342FD" w:rsidRDefault="0000483F" w:rsidP="00F342FD">
            <w:pPr>
              <w:jc w:val="center"/>
              <w:rPr>
                <w:b/>
                <w:color w:val="FFFFFF" w:themeColor="background1"/>
                <w:lang w:eastAsia="en-GB"/>
              </w:rPr>
            </w:pPr>
            <w:r w:rsidRPr="00F342FD">
              <w:rPr>
                <w:b/>
                <w:color w:val="FFFFFF" w:themeColor="background1"/>
                <w:lang w:eastAsia="en-GB"/>
              </w:rPr>
              <w:t>Immediate HE progression rate trends</w:t>
            </w:r>
          </w:p>
        </w:tc>
      </w:tr>
      <w:tr w:rsidR="00F342FD" w:rsidRPr="00F342FD" w14:paraId="499E5FFB" w14:textId="77777777" w:rsidTr="00F342FD">
        <w:trPr>
          <w:trHeight w:val="1539"/>
        </w:trPr>
        <w:tc>
          <w:tcPr>
            <w:tcW w:w="2552" w:type="pct"/>
            <w:vMerge/>
            <w:shd w:val="clear" w:color="auto" w:fill="1F4E79" w:themeFill="accent1" w:themeFillShade="80"/>
            <w:vAlign w:val="center"/>
            <w:hideMark/>
          </w:tcPr>
          <w:p w14:paraId="31462006" w14:textId="77777777" w:rsidR="0000483F" w:rsidRPr="00F342FD" w:rsidRDefault="0000483F" w:rsidP="00F342FD">
            <w:pPr>
              <w:jc w:val="center"/>
              <w:rPr>
                <w:b/>
                <w:color w:val="FFFFFF" w:themeColor="background1"/>
                <w:lang w:eastAsia="en-GB"/>
              </w:rPr>
            </w:pPr>
          </w:p>
        </w:tc>
        <w:tc>
          <w:tcPr>
            <w:tcW w:w="489" w:type="pct"/>
            <w:shd w:val="clear" w:color="auto" w:fill="1F4E79" w:themeFill="accent1" w:themeFillShade="80"/>
            <w:textDirection w:val="btLr"/>
            <w:vAlign w:val="center"/>
            <w:hideMark/>
          </w:tcPr>
          <w:p w14:paraId="6A475680" w14:textId="48A9C37B" w:rsidR="0000483F" w:rsidRPr="00F342FD" w:rsidRDefault="0000483F" w:rsidP="00F342FD">
            <w:pPr>
              <w:jc w:val="center"/>
              <w:rPr>
                <w:b/>
                <w:color w:val="FFFFFF" w:themeColor="background1"/>
                <w:lang w:eastAsia="en-GB"/>
              </w:rPr>
            </w:pPr>
            <w:r w:rsidRPr="00F342FD">
              <w:rPr>
                <w:b/>
                <w:color w:val="FFFFFF" w:themeColor="background1"/>
                <w:lang w:eastAsia="en-GB"/>
              </w:rPr>
              <w:t>2007-08 into HE 2008-09</w:t>
            </w:r>
          </w:p>
        </w:tc>
        <w:tc>
          <w:tcPr>
            <w:tcW w:w="489" w:type="pct"/>
            <w:shd w:val="clear" w:color="auto" w:fill="1F4E79" w:themeFill="accent1" w:themeFillShade="80"/>
            <w:textDirection w:val="btLr"/>
            <w:vAlign w:val="center"/>
            <w:hideMark/>
          </w:tcPr>
          <w:p w14:paraId="4DCE61EA" w14:textId="33BD2957" w:rsidR="0000483F" w:rsidRPr="00F342FD" w:rsidRDefault="0000483F" w:rsidP="00F342FD">
            <w:pPr>
              <w:jc w:val="center"/>
              <w:rPr>
                <w:b/>
                <w:color w:val="FFFFFF" w:themeColor="background1"/>
                <w:lang w:eastAsia="en-GB"/>
              </w:rPr>
            </w:pPr>
            <w:r w:rsidRPr="00F342FD">
              <w:rPr>
                <w:b/>
                <w:color w:val="FFFFFF" w:themeColor="background1"/>
                <w:lang w:eastAsia="en-GB"/>
              </w:rPr>
              <w:t>2008-09  into HE 2009-10</w:t>
            </w:r>
          </w:p>
        </w:tc>
        <w:tc>
          <w:tcPr>
            <w:tcW w:w="489" w:type="pct"/>
            <w:shd w:val="clear" w:color="auto" w:fill="1F4E79" w:themeFill="accent1" w:themeFillShade="80"/>
            <w:textDirection w:val="btLr"/>
            <w:vAlign w:val="center"/>
            <w:hideMark/>
          </w:tcPr>
          <w:p w14:paraId="018F19B1" w14:textId="04C55B58" w:rsidR="0000483F" w:rsidRPr="00F342FD" w:rsidRDefault="0000483F" w:rsidP="00F342FD">
            <w:pPr>
              <w:jc w:val="center"/>
              <w:rPr>
                <w:b/>
                <w:color w:val="FFFFFF" w:themeColor="background1"/>
                <w:lang w:eastAsia="en-GB"/>
              </w:rPr>
            </w:pPr>
            <w:r w:rsidRPr="00F342FD">
              <w:rPr>
                <w:b/>
                <w:color w:val="FFFFFF" w:themeColor="background1"/>
                <w:lang w:eastAsia="en-GB"/>
              </w:rPr>
              <w:t>2009-10 into HE 2010-11</w:t>
            </w:r>
          </w:p>
        </w:tc>
        <w:tc>
          <w:tcPr>
            <w:tcW w:w="489" w:type="pct"/>
            <w:shd w:val="clear" w:color="auto" w:fill="1F4E79" w:themeFill="accent1" w:themeFillShade="80"/>
            <w:textDirection w:val="btLr"/>
            <w:vAlign w:val="center"/>
            <w:hideMark/>
          </w:tcPr>
          <w:p w14:paraId="69D939F2" w14:textId="224E0507" w:rsidR="0000483F" w:rsidRPr="00F342FD" w:rsidRDefault="0000483F" w:rsidP="00F342FD">
            <w:pPr>
              <w:jc w:val="center"/>
              <w:rPr>
                <w:b/>
                <w:color w:val="FFFFFF" w:themeColor="background1"/>
                <w:lang w:eastAsia="en-GB"/>
              </w:rPr>
            </w:pPr>
            <w:r w:rsidRPr="00F342FD">
              <w:rPr>
                <w:b/>
                <w:color w:val="FFFFFF" w:themeColor="background1"/>
                <w:lang w:eastAsia="en-GB"/>
              </w:rPr>
              <w:t>2010-11 into HE 2011-12</w:t>
            </w:r>
          </w:p>
        </w:tc>
        <w:tc>
          <w:tcPr>
            <w:tcW w:w="492" w:type="pct"/>
            <w:shd w:val="clear" w:color="auto" w:fill="1F4E79" w:themeFill="accent1" w:themeFillShade="80"/>
            <w:textDirection w:val="btLr"/>
            <w:vAlign w:val="center"/>
            <w:hideMark/>
          </w:tcPr>
          <w:p w14:paraId="4D90DDEB" w14:textId="2623B104" w:rsidR="0000483F" w:rsidRPr="00F342FD" w:rsidRDefault="0000483F" w:rsidP="00F342FD">
            <w:pPr>
              <w:jc w:val="center"/>
              <w:rPr>
                <w:b/>
                <w:color w:val="FFFFFF" w:themeColor="background1"/>
                <w:lang w:eastAsia="en-GB"/>
              </w:rPr>
            </w:pPr>
            <w:r w:rsidRPr="00F342FD">
              <w:rPr>
                <w:b/>
                <w:color w:val="FFFFFF" w:themeColor="background1"/>
                <w:lang w:eastAsia="en-GB"/>
              </w:rPr>
              <w:t>2011-12 into HE 2012-13</w:t>
            </w:r>
          </w:p>
        </w:tc>
      </w:tr>
      <w:tr w:rsidR="0000483F" w:rsidRPr="00A52AEE" w14:paraId="0B97600F" w14:textId="77777777" w:rsidTr="00A34D6D">
        <w:trPr>
          <w:trHeight w:val="315"/>
        </w:trPr>
        <w:tc>
          <w:tcPr>
            <w:tcW w:w="2552" w:type="pct"/>
            <w:shd w:val="clear" w:color="auto" w:fill="auto"/>
            <w:noWrap/>
            <w:vAlign w:val="bottom"/>
            <w:hideMark/>
          </w:tcPr>
          <w:p w14:paraId="11762EE5" w14:textId="77777777" w:rsidR="0000483F" w:rsidRPr="00A52AEE" w:rsidRDefault="0000483F" w:rsidP="00A52AEE">
            <w:pPr>
              <w:rPr>
                <w:lang w:eastAsia="en-GB"/>
              </w:rPr>
            </w:pPr>
            <w:r w:rsidRPr="00A52AEE">
              <w:rPr>
                <w:lang w:eastAsia="en-GB"/>
              </w:rPr>
              <w:t>Asian or Asian British - any other Asian background</w:t>
            </w:r>
          </w:p>
        </w:tc>
        <w:tc>
          <w:tcPr>
            <w:tcW w:w="489" w:type="pct"/>
            <w:shd w:val="clear" w:color="auto" w:fill="auto"/>
            <w:noWrap/>
            <w:vAlign w:val="center"/>
            <w:hideMark/>
          </w:tcPr>
          <w:p w14:paraId="7DF1D184" w14:textId="77777777" w:rsidR="0000483F" w:rsidRPr="00A52AEE" w:rsidRDefault="0000483F" w:rsidP="009A2373">
            <w:pPr>
              <w:jc w:val="right"/>
              <w:rPr>
                <w:lang w:eastAsia="en-GB"/>
              </w:rPr>
            </w:pPr>
            <w:r w:rsidRPr="00A52AEE">
              <w:rPr>
                <w:lang w:eastAsia="en-GB"/>
              </w:rPr>
              <w:t>55%</w:t>
            </w:r>
          </w:p>
        </w:tc>
        <w:tc>
          <w:tcPr>
            <w:tcW w:w="489" w:type="pct"/>
            <w:shd w:val="clear" w:color="auto" w:fill="auto"/>
            <w:noWrap/>
            <w:vAlign w:val="center"/>
            <w:hideMark/>
          </w:tcPr>
          <w:p w14:paraId="40FFBC59" w14:textId="77777777" w:rsidR="0000483F" w:rsidRPr="00A52AEE" w:rsidRDefault="0000483F" w:rsidP="009A2373">
            <w:pPr>
              <w:jc w:val="right"/>
              <w:rPr>
                <w:lang w:eastAsia="en-GB"/>
              </w:rPr>
            </w:pPr>
            <w:r w:rsidRPr="00A52AEE">
              <w:rPr>
                <w:lang w:eastAsia="en-GB"/>
              </w:rPr>
              <w:t>51%</w:t>
            </w:r>
          </w:p>
        </w:tc>
        <w:tc>
          <w:tcPr>
            <w:tcW w:w="489" w:type="pct"/>
            <w:shd w:val="clear" w:color="auto" w:fill="auto"/>
            <w:noWrap/>
            <w:vAlign w:val="center"/>
            <w:hideMark/>
          </w:tcPr>
          <w:p w14:paraId="2DE984DD" w14:textId="77777777" w:rsidR="0000483F" w:rsidRPr="00A52AEE" w:rsidRDefault="0000483F" w:rsidP="009A2373">
            <w:pPr>
              <w:jc w:val="right"/>
              <w:rPr>
                <w:lang w:eastAsia="en-GB"/>
              </w:rPr>
            </w:pPr>
            <w:r w:rsidRPr="00A52AEE">
              <w:rPr>
                <w:lang w:eastAsia="en-GB"/>
              </w:rPr>
              <w:t>52%</w:t>
            </w:r>
          </w:p>
        </w:tc>
        <w:tc>
          <w:tcPr>
            <w:tcW w:w="489" w:type="pct"/>
            <w:shd w:val="clear" w:color="auto" w:fill="auto"/>
            <w:noWrap/>
            <w:vAlign w:val="center"/>
            <w:hideMark/>
          </w:tcPr>
          <w:p w14:paraId="729AE6A7" w14:textId="77777777" w:rsidR="0000483F" w:rsidRPr="00A52AEE" w:rsidRDefault="0000483F" w:rsidP="009A2373">
            <w:pPr>
              <w:jc w:val="right"/>
              <w:rPr>
                <w:lang w:eastAsia="en-GB"/>
              </w:rPr>
            </w:pPr>
            <w:r w:rsidRPr="00A52AEE">
              <w:rPr>
                <w:lang w:eastAsia="en-GB"/>
              </w:rPr>
              <w:t>52%</w:t>
            </w:r>
          </w:p>
        </w:tc>
        <w:tc>
          <w:tcPr>
            <w:tcW w:w="492" w:type="pct"/>
            <w:shd w:val="clear" w:color="auto" w:fill="auto"/>
            <w:noWrap/>
            <w:vAlign w:val="center"/>
            <w:hideMark/>
          </w:tcPr>
          <w:p w14:paraId="3B8F82BD" w14:textId="77777777" w:rsidR="0000483F" w:rsidRPr="00A52AEE" w:rsidRDefault="0000483F" w:rsidP="009A2373">
            <w:pPr>
              <w:jc w:val="right"/>
              <w:rPr>
                <w:lang w:eastAsia="en-GB"/>
              </w:rPr>
            </w:pPr>
            <w:r w:rsidRPr="00A52AEE">
              <w:rPr>
                <w:lang w:eastAsia="en-GB"/>
              </w:rPr>
              <w:t>45%</w:t>
            </w:r>
          </w:p>
        </w:tc>
      </w:tr>
      <w:tr w:rsidR="0000483F" w:rsidRPr="00A52AEE" w14:paraId="0EB8FE86" w14:textId="77777777" w:rsidTr="00A34D6D">
        <w:trPr>
          <w:trHeight w:val="315"/>
        </w:trPr>
        <w:tc>
          <w:tcPr>
            <w:tcW w:w="2552" w:type="pct"/>
            <w:shd w:val="clear" w:color="auto" w:fill="auto"/>
            <w:noWrap/>
            <w:vAlign w:val="bottom"/>
            <w:hideMark/>
          </w:tcPr>
          <w:p w14:paraId="494CD94B" w14:textId="77777777" w:rsidR="0000483F" w:rsidRPr="00A52AEE" w:rsidRDefault="0000483F" w:rsidP="00A52AEE">
            <w:pPr>
              <w:rPr>
                <w:lang w:eastAsia="en-GB"/>
              </w:rPr>
            </w:pPr>
            <w:r w:rsidRPr="00A52AEE">
              <w:rPr>
                <w:lang w:eastAsia="en-GB"/>
              </w:rPr>
              <w:t>Asian or Asian British –Bangladeshi</w:t>
            </w:r>
          </w:p>
        </w:tc>
        <w:tc>
          <w:tcPr>
            <w:tcW w:w="489" w:type="pct"/>
            <w:shd w:val="clear" w:color="auto" w:fill="auto"/>
            <w:noWrap/>
            <w:vAlign w:val="center"/>
            <w:hideMark/>
          </w:tcPr>
          <w:p w14:paraId="2438F4C7" w14:textId="77777777" w:rsidR="0000483F" w:rsidRPr="00A52AEE" w:rsidRDefault="0000483F" w:rsidP="009A2373">
            <w:pPr>
              <w:jc w:val="right"/>
              <w:rPr>
                <w:lang w:eastAsia="en-GB"/>
              </w:rPr>
            </w:pPr>
            <w:r w:rsidRPr="00A52AEE">
              <w:rPr>
                <w:lang w:eastAsia="en-GB"/>
              </w:rPr>
              <w:t>69%</w:t>
            </w:r>
          </w:p>
        </w:tc>
        <w:tc>
          <w:tcPr>
            <w:tcW w:w="489" w:type="pct"/>
            <w:shd w:val="clear" w:color="auto" w:fill="auto"/>
            <w:noWrap/>
            <w:vAlign w:val="center"/>
            <w:hideMark/>
          </w:tcPr>
          <w:p w14:paraId="38134AAA" w14:textId="77777777" w:rsidR="0000483F" w:rsidRPr="00A52AEE" w:rsidRDefault="0000483F" w:rsidP="009A2373">
            <w:pPr>
              <w:jc w:val="right"/>
              <w:rPr>
                <w:lang w:eastAsia="en-GB"/>
              </w:rPr>
            </w:pPr>
            <w:r w:rsidRPr="00A52AEE">
              <w:rPr>
                <w:lang w:eastAsia="en-GB"/>
              </w:rPr>
              <w:t>63%</w:t>
            </w:r>
          </w:p>
        </w:tc>
        <w:tc>
          <w:tcPr>
            <w:tcW w:w="489" w:type="pct"/>
            <w:shd w:val="clear" w:color="auto" w:fill="auto"/>
            <w:noWrap/>
            <w:vAlign w:val="center"/>
            <w:hideMark/>
          </w:tcPr>
          <w:p w14:paraId="57242377" w14:textId="77777777" w:rsidR="0000483F" w:rsidRPr="00A52AEE" w:rsidRDefault="0000483F" w:rsidP="009A2373">
            <w:pPr>
              <w:jc w:val="right"/>
              <w:rPr>
                <w:lang w:eastAsia="en-GB"/>
              </w:rPr>
            </w:pPr>
            <w:r w:rsidRPr="00A52AEE">
              <w:rPr>
                <w:lang w:eastAsia="en-GB"/>
              </w:rPr>
              <w:t>57%</w:t>
            </w:r>
          </w:p>
        </w:tc>
        <w:tc>
          <w:tcPr>
            <w:tcW w:w="489" w:type="pct"/>
            <w:shd w:val="clear" w:color="auto" w:fill="auto"/>
            <w:noWrap/>
            <w:vAlign w:val="center"/>
            <w:hideMark/>
          </w:tcPr>
          <w:p w14:paraId="20715F8E" w14:textId="77777777" w:rsidR="0000483F" w:rsidRPr="00A52AEE" w:rsidRDefault="0000483F" w:rsidP="009A2373">
            <w:pPr>
              <w:jc w:val="right"/>
              <w:rPr>
                <w:lang w:eastAsia="en-GB"/>
              </w:rPr>
            </w:pPr>
            <w:r w:rsidRPr="00A52AEE">
              <w:rPr>
                <w:lang w:eastAsia="en-GB"/>
              </w:rPr>
              <w:t>58%</w:t>
            </w:r>
          </w:p>
        </w:tc>
        <w:tc>
          <w:tcPr>
            <w:tcW w:w="492" w:type="pct"/>
            <w:shd w:val="clear" w:color="auto" w:fill="auto"/>
            <w:noWrap/>
            <w:vAlign w:val="center"/>
            <w:hideMark/>
          </w:tcPr>
          <w:p w14:paraId="386B7D77" w14:textId="77777777" w:rsidR="0000483F" w:rsidRPr="00A52AEE" w:rsidRDefault="0000483F" w:rsidP="009A2373">
            <w:pPr>
              <w:jc w:val="right"/>
              <w:rPr>
                <w:lang w:eastAsia="en-GB"/>
              </w:rPr>
            </w:pPr>
            <w:r w:rsidRPr="00A52AEE">
              <w:rPr>
                <w:lang w:eastAsia="en-GB"/>
              </w:rPr>
              <w:t>51%</w:t>
            </w:r>
          </w:p>
        </w:tc>
      </w:tr>
      <w:tr w:rsidR="0000483F" w:rsidRPr="00A52AEE" w14:paraId="1FF7AE4F" w14:textId="77777777" w:rsidTr="00A34D6D">
        <w:trPr>
          <w:trHeight w:val="315"/>
        </w:trPr>
        <w:tc>
          <w:tcPr>
            <w:tcW w:w="2552" w:type="pct"/>
            <w:shd w:val="clear" w:color="auto" w:fill="auto"/>
            <w:noWrap/>
            <w:vAlign w:val="bottom"/>
            <w:hideMark/>
          </w:tcPr>
          <w:p w14:paraId="6A09084F" w14:textId="77777777" w:rsidR="0000483F" w:rsidRPr="00A52AEE" w:rsidRDefault="0000483F" w:rsidP="00A52AEE">
            <w:pPr>
              <w:rPr>
                <w:lang w:eastAsia="en-GB"/>
              </w:rPr>
            </w:pPr>
            <w:r w:rsidRPr="00A52AEE">
              <w:rPr>
                <w:lang w:eastAsia="en-GB"/>
              </w:rPr>
              <w:t>Asian or Asian British –Indian</w:t>
            </w:r>
          </w:p>
        </w:tc>
        <w:tc>
          <w:tcPr>
            <w:tcW w:w="489" w:type="pct"/>
            <w:shd w:val="clear" w:color="auto" w:fill="auto"/>
            <w:noWrap/>
            <w:vAlign w:val="center"/>
            <w:hideMark/>
          </w:tcPr>
          <w:p w14:paraId="7790B04A" w14:textId="77777777" w:rsidR="0000483F" w:rsidRPr="00A52AEE" w:rsidRDefault="0000483F" w:rsidP="009A2373">
            <w:pPr>
              <w:jc w:val="right"/>
              <w:rPr>
                <w:lang w:eastAsia="en-GB"/>
              </w:rPr>
            </w:pPr>
            <w:r w:rsidRPr="00A52AEE">
              <w:rPr>
                <w:lang w:eastAsia="en-GB"/>
              </w:rPr>
              <w:t>58%</w:t>
            </w:r>
          </w:p>
        </w:tc>
        <w:tc>
          <w:tcPr>
            <w:tcW w:w="489" w:type="pct"/>
            <w:shd w:val="clear" w:color="auto" w:fill="auto"/>
            <w:noWrap/>
            <w:vAlign w:val="center"/>
            <w:hideMark/>
          </w:tcPr>
          <w:p w14:paraId="04C7EED0" w14:textId="77777777" w:rsidR="0000483F" w:rsidRPr="00A52AEE" w:rsidRDefault="0000483F" w:rsidP="009A2373">
            <w:pPr>
              <w:jc w:val="right"/>
              <w:rPr>
                <w:lang w:eastAsia="en-GB"/>
              </w:rPr>
            </w:pPr>
            <w:r w:rsidRPr="00A52AEE">
              <w:rPr>
                <w:lang w:eastAsia="en-GB"/>
              </w:rPr>
              <w:t>55%</w:t>
            </w:r>
          </w:p>
        </w:tc>
        <w:tc>
          <w:tcPr>
            <w:tcW w:w="489" w:type="pct"/>
            <w:shd w:val="clear" w:color="auto" w:fill="auto"/>
            <w:noWrap/>
            <w:vAlign w:val="center"/>
            <w:hideMark/>
          </w:tcPr>
          <w:p w14:paraId="052152A5" w14:textId="77777777" w:rsidR="0000483F" w:rsidRPr="00A52AEE" w:rsidRDefault="0000483F" w:rsidP="009A2373">
            <w:pPr>
              <w:jc w:val="right"/>
              <w:rPr>
                <w:lang w:eastAsia="en-GB"/>
              </w:rPr>
            </w:pPr>
            <w:r w:rsidRPr="00A52AEE">
              <w:rPr>
                <w:lang w:eastAsia="en-GB"/>
              </w:rPr>
              <w:t>53%</w:t>
            </w:r>
          </w:p>
        </w:tc>
        <w:tc>
          <w:tcPr>
            <w:tcW w:w="489" w:type="pct"/>
            <w:shd w:val="clear" w:color="auto" w:fill="auto"/>
            <w:noWrap/>
            <w:vAlign w:val="center"/>
            <w:hideMark/>
          </w:tcPr>
          <w:p w14:paraId="6A6C3671" w14:textId="77777777" w:rsidR="0000483F" w:rsidRPr="00A52AEE" w:rsidRDefault="0000483F" w:rsidP="009A2373">
            <w:pPr>
              <w:jc w:val="right"/>
              <w:rPr>
                <w:lang w:eastAsia="en-GB"/>
              </w:rPr>
            </w:pPr>
            <w:r w:rsidRPr="00A52AEE">
              <w:rPr>
                <w:lang w:eastAsia="en-GB"/>
              </w:rPr>
              <w:t>54%</w:t>
            </w:r>
          </w:p>
        </w:tc>
        <w:tc>
          <w:tcPr>
            <w:tcW w:w="492" w:type="pct"/>
            <w:shd w:val="clear" w:color="auto" w:fill="auto"/>
            <w:noWrap/>
            <w:vAlign w:val="center"/>
            <w:hideMark/>
          </w:tcPr>
          <w:p w14:paraId="54717739" w14:textId="77777777" w:rsidR="0000483F" w:rsidRPr="00A52AEE" w:rsidRDefault="0000483F" w:rsidP="009A2373">
            <w:pPr>
              <w:jc w:val="right"/>
              <w:rPr>
                <w:lang w:eastAsia="en-GB"/>
              </w:rPr>
            </w:pPr>
            <w:r w:rsidRPr="00A52AEE">
              <w:rPr>
                <w:lang w:eastAsia="en-GB"/>
              </w:rPr>
              <w:t>51%</w:t>
            </w:r>
          </w:p>
        </w:tc>
      </w:tr>
      <w:tr w:rsidR="00A34D6D" w:rsidRPr="00A52AEE" w14:paraId="65CE387A" w14:textId="77777777" w:rsidTr="00A34D6D">
        <w:trPr>
          <w:trHeight w:val="315"/>
        </w:trPr>
        <w:tc>
          <w:tcPr>
            <w:tcW w:w="2552" w:type="pct"/>
            <w:shd w:val="clear" w:color="auto" w:fill="auto"/>
            <w:noWrap/>
            <w:vAlign w:val="bottom"/>
            <w:hideMark/>
          </w:tcPr>
          <w:p w14:paraId="7BE6D60D" w14:textId="77777777" w:rsidR="0000483F" w:rsidRPr="00A52AEE" w:rsidRDefault="0000483F" w:rsidP="00A52AEE">
            <w:pPr>
              <w:rPr>
                <w:lang w:eastAsia="en-GB"/>
              </w:rPr>
            </w:pPr>
            <w:r w:rsidRPr="00A52AEE">
              <w:rPr>
                <w:lang w:eastAsia="en-GB"/>
              </w:rPr>
              <w:t>Asian or Asian British –Pakistani</w:t>
            </w:r>
          </w:p>
        </w:tc>
        <w:tc>
          <w:tcPr>
            <w:tcW w:w="489" w:type="pct"/>
            <w:shd w:val="clear" w:color="auto" w:fill="auto"/>
            <w:noWrap/>
            <w:vAlign w:val="center"/>
            <w:hideMark/>
          </w:tcPr>
          <w:p w14:paraId="61AEAA41" w14:textId="77777777" w:rsidR="0000483F" w:rsidRPr="00A52AEE" w:rsidRDefault="0000483F" w:rsidP="009A2373">
            <w:pPr>
              <w:jc w:val="right"/>
              <w:rPr>
                <w:lang w:eastAsia="en-GB"/>
              </w:rPr>
            </w:pPr>
            <w:r w:rsidRPr="00A52AEE">
              <w:rPr>
                <w:lang w:eastAsia="en-GB"/>
              </w:rPr>
              <w:t>62%</w:t>
            </w:r>
          </w:p>
        </w:tc>
        <w:tc>
          <w:tcPr>
            <w:tcW w:w="489" w:type="pct"/>
            <w:shd w:val="clear" w:color="auto" w:fill="auto"/>
            <w:noWrap/>
            <w:vAlign w:val="center"/>
            <w:hideMark/>
          </w:tcPr>
          <w:p w14:paraId="04C6716F" w14:textId="77777777" w:rsidR="0000483F" w:rsidRPr="00A52AEE" w:rsidRDefault="0000483F" w:rsidP="009A2373">
            <w:pPr>
              <w:jc w:val="right"/>
              <w:rPr>
                <w:lang w:eastAsia="en-GB"/>
              </w:rPr>
            </w:pPr>
            <w:r w:rsidRPr="00A52AEE">
              <w:rPr>
                <w:lang w:eastAsia="en-GB"/>
              </w:rPr>
              <w:t>60%</w:t>
            </w:r>
          </w:p>
        </w:tc>
        <w:tc>
          <w:tcPr>
            <w:tcW w:w="489" w:type="pct"/>
            <w:shd w:val="clear" w:color="auto" w:fill="auto"/>
            <w:noWrap/>
            <w:vAlign w:val="center"/>
            <w:hideMark/>
          </w:tcPr>
          <w:p w14:paraId="4BFA5F6E" w14:textId="77777777" w:rsidR="0000483F" w:rsidRPr="00A52AEE" w:rsidRDefault="0000483F" w:rsidP="009A2373">
            <w:pPr>
              <w:jc w:val="right"/>
              <w:rPr>
                <w:lang w:eastAsia="en-GB"/>
              </w:rPr>
            </w:pPr>
            <w:r w:rsidRPr="00A52AEE">
              <w:rPr>
                <w:lang w:eastAsia="en-GB"/>
              </w:rPr>
              <w:t>59%</w:t>
            </w:r>
          </w:p>
        </w:tc>
        <w:tc>
          <w:tcPr>
            <w:tcW w:w="489" w:type="pct"/>
            <w:shd w:val="clear" w:color="auto" w:fill="auto"/>
            <w:noWrap/>
            <w:vAlign w:val="center"/>
            <w:hideMark/>
          </w:tcPr>
          <w:p w14:paraId="5F2BC9F6" w14:textId="77777777" w:rsidR="0000483F" w:rsidRPr="00A52AEE" w:rsidRDefault="0000483F" w:rsidP="009A2373">
            <w:pPr>
              <w:jc w:val="right"/>
              <w:rPr>
                <w:lang w:eastAsia="en-GB"/>
              </w:rPr>
            </w:pPr>
            <w:r w:rsidRPr="00A52AEE">
              <w:rPr>
                <w:lang w:eastAsia="en-GB"/>
              </w:rPr>
              <w:t>59%</w:t>
            </w:r>
          </w:p>
        </w:tc>
        <w:tc>
          <w:tcPr>
            <w:tcW w:w="492" w:type="pct"/>
            <w:shd w:val="clear" w:color="auto" w:fill="auto"/>
            <w:noWrap/>
            <w:vAlign w:val="center"/>
            <w:hideMark/>
          </w:tcPr>
          <w:p w14:paraId="2DEFDBC1" w14:textId="77777777" w:rsidR="0000483F" w:rsidRPr="00A52AEE" w:rsidRDefault="0000483F" w:rsidP="009A2373">
            <w:pPr>
              <w:jc w:val="right"/>
              <w:rPr>
                <w:lang w:eastAsia="en-GB"/>
              </w:rPr>
            </w:pPr>
            <w:r w:rsidRPr="00A52AEE">
              <w:rPr>
                <w:lang w:eastAsia="en-GB"/>
              </w:rPr>
              <w:t>49%</w:t>
            </w:r>
          </w:p>
        </w:tc>
      </w:tr>
      <w:tr w:rsidR="0000483F" w:rsidRPr="00A52AEE" w14:paraId="02CFC2A5" w14:textId="77777777" w:rsidTr="00A34D6D">
        <w:trPr>
          <w:trHeight w:val="315"/>
        </w:trPr>
        <w:tc>
          <w:tcPr>
            <w:tcW w:w="2552" w:type="pct"/>
            <w:shd w:val="clear" w:color="auto" w:fill="auto"/>
            <w:noWrap/>
            <w:vAlign w:val="bottom"/>
            <w:hideMark/>
          </w:tcPr>
          <w:p w14:paraId="33599775" w14:textId="77777777" w:rsidR="0000483F" w:rsidRPr="00A52AEE" w:rsidRDefault="0000483F" w:rsidP="00A52AEE">
            <w:pPr>
              <w:rPr>
                <w:lang w:eastAsia="en-GB"/>
              </w:rPr>
            </w:pPr>
            <w:r w:rsidRPr="00A52AEE">
              <w:rPr>
                <w:lang w:eastAsia="en-GB"/>
              </w:rPr>
              <w:t>Black or Black British - any other Black background</w:t>
            </w:r>
          </w:p>
        </w:tc>
        <w:tc>
          <w:tcPr>
            <w:tcW w:w="489" w:type="pct"/>
            <w:shd w:val="clear" w:color="auto" w:fill="auto"/>
            <w:noWrap/>
            <w:vAlign w:val="center"/>
            <w:hideMark/>
          </w:tcPr>
          <w:p w14:paraId="0F143601" w14:textId="77777777" w:rsidR="0000483F" w:rsidRPr="00A52AEE" w:rsidRDefault="0000483F" w:rsidP="009A2373">
            <w:pPr>
              <w:jc w:val="right"/>
              <w:rPr>
                <w:lang w:eastAsia="en-GB"/>
              </w:rPr>
            </w:pPr>
            <w:r w:rsidRPr="00A52AEE">
              <w:rPr>
                <w:lang w:eastAsia="en-GB"/>
              </w:rPr>
              <w:t>51%</w:t>
            </w:r>
          </w:p>
        </w:tc>
        <w:tc>
          <w:tcPr>
            <w:tcW w:w="489" w:type="pct"/>
            <w:shd w:val="clear" w:color="auto" w:fill="auto"/>
            <w:noWrap/>
            <w:vAlign w:val="center"/>
            <w:hideMark/>
          </w:tcPr>
          <w:p w14:paraId="15687751" w14:textId="77777777" w:rsidR="0000483F" w:rsidRPr="00A52AEE" w:rsidRDefault="0000483F" w:rsidP="009A2373">
            <w:pPr>
              <w:jc w:val="right"/>
              <w:rPr>
                <w:lang w:eastAsia="en-GB"/>
              </w:rPr>
            </w:pPr>
            <w:r w:rsidRPr="00A52AEE">
              <w:rPr>
                <w:lang w:eastAsia="en-GB"/>
              </w:rPr>
              <w:t>48%</w:t>
            </w:r>
          </w:p>
        </w:tc>
        <w:tc>
          <w:tcPr>
            <w:tcW w:w="489" w:type="pct"/>
            <w:shd w:val="clear" w:color="auto" w:fill="auto"/>
            <w:noWrap/>
            <w:vAlign w:val="center"/>
            <w:hideMark/>
          </w:tcPr>
          <w:p w14:paraId="63B625AE" w14:textId="77777777" w:rsidR="0000483F" w:rsidRPr="00A52AEE" w:rsidRDefault="0000483F" w:rsidP="009A2373">
            <w:pPr>
              <w:jc w:val="right"/>
              <w:rPr>
                <w:lang w:eastAsia="en-GB"/>
              </w:rPr>
            </w:pPr>
            <w:r w:rsidRPr="00A52AEE">
              <w:rPr>
                <w:lang w:eastAsia="en-GB"/>
              </w:rPr>
              <w:t>49%</w:t>
            </w:r>
          </w:p>
        </w:tc>
        <w:tc>
          <w:tcPr>
            <w:tcW w:w="489" w:type="pct"/>
            <w:shd w:val="clear" w:color="auto" w:fill="auto"/>
            <w:noWrap/>
            <w:vAlign w:val="center"/>
            <w:hideMark/>
          </w:tcPr>
          <w:p w14:paraId="5DD07A72" w14:textId="77777777" w:rsidR="0000483F" w:rsidRPr="00A52AEE" w:rsidRDefault="0000483F" w:rsidP="009A2373">
            <w:pPr>
              <w:jc w:val="right"/>
              <w:rPr>
                <w:lang w:eastAsia="en-GB"/>
              </w:rPr>
            </w:pPr>
            <w:r w:rsidRPr="00A52AEE">
              <w:rPr>
                <w:lang w:eastAsia="en-GB"/>
              </w:rPr>
              <w:t>50%</w:t>
            </w:r>
          </w:p>
        </w:tc>
        <w:tc>
          <w:tcPr>
            <w:tcW w:w="492" w:type="pct"/>
            <w:shd w:val="clear" w:color="auto" w:fill="auto"/>
            <w:noWrap/>
            <w:vAlign w:val="center"/>
            <w:hideMark/>
          </w:tcPr>
          <w:p w14:paraId="21F65962" w14:textId="77777777" w:rsidR="0000483F" w:rsidRPr="00A52AEE" w:rsidRDefault="0000483F" w:rsidP="009A2373">
            <w:pPr>
              <w:jc w:val="right"/>
              <w:rPr>
                <w:lang w:eastAsia="en-GB"/>
              </w:rPr>
            </w:pPr>
            <w:r w:rsidRPr="00A52AEE">
              <w:rPr>
                <w:lang w:eastAsia="en-GB"/>
              </w:rPr>
              <w:t>42%</w:t>
            </w:r>
          </w:p>
        </w:tc>
      </w:tr>
      <w:tr w:rsidR="0000483F" w:rsidRPr="00A52AEE" w14:paraId="3DEDCEDB" w14:textId="77777777" w:rsidTr="00A34D6D">
        <w:trPr>
          <w:trHeight w:val="315"/>
        </w:trPr>
        <w:tc>
          <w:tcPr>
            <w:tcW w:w="2552" w:type="pct"/>
            <w:shd w:val="clear" w:color="auto" w:fill="auto"/>
            <w:noWrap/>
            <w:vAlign w:val="bottom"/>
            <w:hideMark/>
          </w:tcPr>
          <w:p w14:paraId="776AF6B3" w14:textId="77777777" w:rsidR="0000483F" w:rsidRPr="00A52AEE" w:rsidRDefault="0000483F" w:rsidP="00A52AEE">
            <w:pPr>
              <w:rPr>
                <w:lang w:eastAsia="en-GB"/>
              </w:rPr>
            </w:pPr>
            <w:r w:rsidRPr="00A52AEE">
              <w:rPr>
                <w:lang w:eastAsia="en-GB"/>
              </w:rPr>
              <w:t>Black or Black British –African</w:t>
            </w:r>
          </w:p>
        </w:tc>
        <w:tc>
          <w:tcPr>
            <w:tcW w:w="489" w:type="pct"/>
            <w:shd w:val="clear" w:color="auto" w:fill="auto"/>
            <w:noWrap/>
            <w:vAlign w:val="center"/>
            <w:hideMark/>
          </w:tcPr>
          <w:p w14:paraId="5D872B29" w14:textId="77777777" w:rsidR="0000483F" w:rsidRPr="00A52AEE" w:rsidRDefault="0000483F" w:rsidP="009A2373">
            <w:pPr>
              <w:jc w:val="right"/>
              <w:rPr>
                <w:lang w:eastAsia="en-GB"/>
              </w:rPr>
            </w:pPr>
            <w:r w:rsidRPr="00A52AEE">
              <w:rPr>
                <w:lang w:eastAsia="en-GB"/>
              </w:rPr>
              <w:t>59%</w:t>
            </w:r>
          </w:p>
        </w:tc>
        <w:tc>
          <w:tcPr>
            <w:tcW w:w="489" w:type="pct"/>
            <w:shd w:val="clear" w:color="auto" w:fill="auto"/>
            <w:noWrap/>
            <w:vAlign w:val="center"/>
            <w:hideMark/>
          </w:tcPr>
          <w:p w14:paraId="258FB7A9" w14:textId="77777777" w:rsidR="0000483F" w:rsidRPr="00A52AEE" w:rsidRDefault="0000483F" w:rsidP="009A2373">
            <w:pPr>
              <w:jc w:val="right"/>
              <w:rPr>
                <w:lang w:eastAsia="en-GB"/>
              </w:rPr>
            </w:pPr>
            <w:r w:rsidRPr="00A52AEE">
              <w:rPr>
                <w:lang w:eastAsia="en-GB"/>
              </w:rPr>
              <w:t>56%</w:t>
            </w:r>
          </w:p>
        </w:tc>
        <w:tc>
          <w:tcPr>
            <w:tcW w:w="489" w:type="pct"/>
            <w:shd w:val="clear" w:color="auto" w:fill="auto"/>
            <w:noWrap/>
            <w:vAlign w:val="center"/>
            <w:hideMark/>
          </w:tcPr>
          <w:p w14:paraId="15859A3A" w14:textId="77777777" w:rsidR="0000483F" w:rsidRPr="00A52AEE" w:rsidRDefault="0000483F" w:rsidP="009A2373">
            <w:pPr>
              <w:jc w:val="right"/>
              <w:rPr>
                <w:lang w:eastAsia="en-GB"/>
              </w:rPr>
            </w:pPr>
            <w:r w:rsidRPr="00A52AEE">
              <w:rPr>
                <w:lang w:eastAsia="en-GB"/>
              </w:rPr>
              <w:t>54%</w:t>
            </w:r>
          </w:p>
        </w:tc>
        <w:tc>
          <w:tcPr>
            <w:tcW w:w="489" w:type="pct"/>
            <w:shd w:val="clear" w:color="auto" w:fill="auto"/>
            <w:noWrap/>
            <w:vAlign w:val="center"/>
            <w:hideMark/>
          </w:tcPr>
          <w:p w14:paraId="417A4FA7" w14:textId="77777777" w:rsidR="0000483F" w:rsidRPr="00A52AEE" w:rsidRDefault="0000483F" w:rsidP="009A2373">
            <w:pPr>
              <w:jc w:val="right"/>
              <w:rPr>
                <w:lang w:eastAsia="en-GB"/>
              </w:rPr>
            </w:pPr>
            <w:r w:rsidRPr="00A52AEE">
              <w:rPr>
                <w:lang w:eastAsia="en-GB"/>
              </w:rPr>
              <w:t>57%</w:t>
            </w:r>
          </w:p>
        </w:tc>
        <w:tc>
          <w:tcPr>
            <w:tcW w:w="492" w:type="pct"/>
            <w:shd w:val="clear" w:color="auto" w:fill="auto"/>
            <w:noWrap/>
            <w:vAlign w:val="center"/>
            <w:hideMark/>
          </w:tcPr>
          <w:p w14:paraId="0C4E966F" w14:textId="77777777" w:rsidR="0000483F" w:rsidRPr="00A52AEE" w:rsidRDefault="0000483F" w:rsidP="009A2373">
            <w:pPr>
              <w:jc w:val="right"/>
              <w:rPr>
                <w:lang w:eastAsia="en-GB"/>
              </w:rPr>
            </w:pPr>
            <w:r w:rsidRPr="00A52AEE">
              <w:rPr>
                <w:lang w:eastAsia="en-GB"/>
              </w:rPr>
              <w:t>50%</w:t>
            </w:r>
          </w:p>
        </w:tc>
      </w:tr>
      <w:tr w:rsidR="0000483F" w:rsidRPr="00A52AEE" w14:paraId="34443B4C" w14:textId="77777777" w:rsidTr="00A34D6D">
        <w:trPr>
          <w:trHeight w:val="315"/>
        </w:trPr>
        <w:tc>
          <w:tcPr>
            <w:tcW w:w="2552" w:type="pct"/>
            <w:shd w:val="clear" w:color="auto" w:fill="auto"/>
            <w:noWrap/>
            <w:vAlign w:val="bottom"/>
            <w:hideMark/>
          </w:tcPr>
          <w:p w14:paraId="672579AE" w14:textId="77777777" w:rsidR="0000483F" w:rsidRPr="00A52AEE" w:rsidRDefault="0000483F" w:rsidP="00A52AEE">
            <w:pPr>
              <w:rPr>
                <w:lang w:eastAsia="en-GB"/>
              </w:rPr>
            </w:pPr>
            <w:r w:rsidRPr="00A52AEE">
              <w:rPr>
                <w:lang w:eastAsia="en-GB"/>
              </w:rPr>
              <w:t>Black or Black British –Caribbean</w:t>
            </w:r>
          </w:p>
        </w:tc>
        <w:tc>
          <w:tcPr>
            <w:tcW w:w="489" w:type="pct"/>
            <w:shd w:val="clear" w:color="auto" w:fill="auto"/>
            <w:noWrap/>
            <w:vAlign w:val="center"/>
            <w:hideMark/>
          </w:tcPr>
          <w:p w14:paraId="23B9E50D" w14:textId="77777777" w:rsidR="0000483F" w:rsidRPr="00A52AEE" w:rsidRDefault="0000483F" w:rsidP="009A2373">
            <w:pPr>
              <w:jc w:val="right"/>
              <w:rPr>
                <w:lang w:eastAsia="en-GB"/>
              </w:rPr>
            </w:pPr>
            <w:r w:rsidRPr="00A52AEE">
              <w:rPr>
                <w:lang w:eastAsia="en-GB"/>
              </w:rPr>
              <w:t>47%</w:t>
            </w:r>
          </w:p>
        </w:tc>
        <w:tc>
          <w:tcPr>
            <w:tcW w:w="489" w:type="pct"/>
            <w:shd w:val="clear" w:color="auto" w:fill="auto"/>
            <w:noWrap/>
            <w:vAlign w:val="center"/>
            <w:hideMark/>
          </w:tcPr>
          <w:p w14:paraId="2D94D939" w14:textId="77777777" w:rsidR="0000483F" w:rsidRPr="00A52AEE" w:rsidRDefault="0000483F" w:rsidP="009A2373">
            <w:pPr>
              <w:jc w:val="right"/>
              <w:rPr>
                <w:lang w:eastAsia="en-GB"/>
              </w:rPr>
            </w:pPr>
            <w:r w:rsidRPr="00A52AEE">
              <w:rPr>
                <w:lang w:eastAsia="en-GB"/>
              </w:rPr>
              <w:t>45%</w:t>
            </w:r>
          </w:p>
        </w:tc>
        <w:tc>
          <w:tcPr>
            <w:tcW w:w="489" w:type="pct"/>
            <w:shd w:val="clear" w:color="auto" w:fill="auto"/>
            <w:noWrap/>
            <w:vAlign w:val="center"/>
            <w:hideMark/>
          </w:tcPr>
          <w:p w14:paraId="425E2DB5" w14:textId="77777777" w:rsidR="0000483F" w:rsidRPr="00A52AEE" w:rsidRDefault="0000483F" w:rsidP="009A2373">
            <w:pPr>
              <w:jc w:val="right"/>
              <w:rPr>
                <w:lang w:eastAsia="en-GB"/>
              </w:rPr>
            </w:pPr>
            <w:r w:rsidRPr="00A52AEE">
              <w:rPr>
                <w:lang w:eastAsia="en-GB"/>
              </w:rPr>
              <w:t>44%</w:t>
            </w:r>
          </w:p>
        </w:tc>
        <w:tc>
          <w:tcPr>
            <w:tcW w:w="489" w:type="pct"/>
            <w:shd w:val="clear" w:color="auto" w:fill="auto"/>
            <w:noWrap/>
            <w:vAlign w:val="center"/>
            <w:hideMark/>
          </w:tcPr>
          <w:p w14:paraId="320C55F7" w14:textId="77777777" w:rsidR="0000483F" w:rsidRPr="00A52AEE" w:rsidRDefault="0000483F" w:rsidP="009A2373">
            <w:pPr>
              <w:jc w:val="right"/>
              <w:rPr>
                <w:lang w:eastAsia="en-GB"/>
              </w:rPr>
            </w:pPr>
            <w:r w:rsidRPr="00A52AEE">
              <w:rPr>
                <w:lang w:eastAsia="en-GB"/>
              </w:rPr>
              <w:t>44%</w:t>
            </w:r>
          </w:p>
        </w:tc>
        <w:tc>
          <w:tcPr>
            <w:tcW w:w="492" w:type="pct"/>
            <w:shd w:val="clear" w:color="auto" w:fill="auto"/>
            <w:noWrap/>
            <w:vAlign w:val="center"/>
            <w:hideMark/>
          </w:tcPr>
          <w:p w14:paraId="1E4ABD13" w14:textId="77777777" w:rsidR="0000483F" w:rsidRPr="00A52AEE" w:rsidRDefault="0000483F" w:rsidP="009A2373">
            <w:pPr>
              <w:jc w:val="right"/>
              <w:rPr>
                <w:lang w:eastAsia="en-GB"/>
              </w:rPr>
            </w:pPr>
            <w:r w:rsidRPr="00A52AEE">
              <w:rPr>
                <w:lang w:eastAsia="en-GB"/>
              </w:rPr>
              <w:t>39%</w:t>
            </w:r>
          </w:p>
        </w:tc>
      </w:tr>
      <w:tr w:rsidR="0000483F" w:rsidRPr="00A52AEE" w14:paraId="16A42A7E" w14:textId="77777777" w:rsidTr="00A34D6D">
        <w:trPr>
          <w:trHeight w:val="315"/>
        </w:trPr>
        <w:tc>
          <w:tcPr>
            <w:tcW w:w="2552" w:type="pct"/>
            <w:shd w:val="clear" w:color="auto" w:fill="auto"/>
            <w:noWrap/>
            <w:vAlign w:val="bottom"/>
            <w:hideMark/>
          </w:tcPr>
          <w:p w14:paraId="38A3B1B2" w14:textId="77777777" w:rsidR="0000483F" w:rsidRPr="00A52AEE" w:rsidRDefault="0000483F" w:rsidP="00A52AEE">
            <w:pPr>
              <w:rPr>
                <w:lang w:eastAsia="en-GB"/>
              </w:rPr>
            </w:pPr>
            <w:r w:rsidRPr="00A52AEE">
              <w:rPr>
                <w:lang w:eastAsia="en-GB"/>
              </w:rPr>
              <w:t>Chinese</w:t>
            </w:r>
          </w:p>
        </w:tc>
        <w:tc>
          <w:tcPr>
            <w:tcW w:w="489" w:type="pct"/>
            <w:shd w:val="clear" w:color="auto" w:fill="auto"/>
            <w:noWrap/>
            <w:vAlign w:val="center"/>
            <w:hideMark/>
          </w:tcPr>
          <w:p w14:paraId="7AE4C065" w14:textId="77777777" w:rsidR="0000483F" w:rsidRPr="00A52AEE" w:rsidRDefault="0000483F" w:rsidP="009A2373">
            <w:pPr>
              <w:jc w:val="right"/>
              <w:rPr>
                <w:lang w:eastAsia="en-GB"/>
              </w:rPr>
            </w:pPr>
            <w:r w:rsidRPr="00A52AEE">
              <w:rPr>
                <w:lang w:eastAsia="en-GB"/>
              </w:rPr>
              <w:t>55%</w:t>
            </w:r>
          </w:p>
        </w:tc>
        <w:tc>
          <w:tcPr>
            <w:tcW w:w="489" w:type="pct"/>
            <w:shd w:val="clear" w:color="auto" w:fill="auto"/>
            <w:noWrap/>
            <w:vAlign w:val="center"/>
            <w:hideMark/>
          </w:tcPr>
          <w:p w14:paraId="34B5CE84" w14:textId="77777777" w:rsidR="0000483F" w:rsidRPr="00A52AEE" w:rsidRDefault="0000483F" w:rsidP="009A2373">
            <w:pPr>
              <w:jc w:val="right"/>
              <w:rPr>
                <w:lang w:eastAsia="en-GB"/>
              </w:rPr>
            </w:pPr>
            <w:r w:rsidRPr="00A52AEE">
              <w:rPr>
                <w:lang w:eastAsia="en-GB"/>
              </w:rPr>
              <w:t>53%</w:t>
            </w:r>
          </w:p>
        </w:tc>
        <w:tc>
          <w:tcPr>
            <w:tcW w:w="489" w:type="pct"/>
            <w:shd w:val="clear" w:color="auto" w:fill="auto"/>
            <w:noWrap/>
            <w:vAlign w:val="center"/>
            <w:hideMark/>
          </w:tcPr>
          <w:p w14:paraId="3DC0601E" w14:textId="77777777" w:rsidR="0000483F" w:rsidRPr="00A52AEE" w:rsidRDefault="0000483F" w:rsidP="009A2373">
            <w:pPr>
              <w:jc w:val="right"/>
              <w:rPr>
                <w:lang w:eastAsia="en-GB"/>
              </w:rPr>
            </w:pPr>
            <w:r w:rsidRPr="00A52AEE">
              <w:rPr>
                <w:lang w:eastAsia="en-GB"/>
              </w:rPr>
              <w:t>59%</w:t>
            </w:r>
          </w:p>
        </w:tc>
        <w:tc>
          <w:tcPr>
            <w:tcW w:w="489" w:type="pct"/>
            <w:shd w:val="clear" w:color="auto" w:fill="auto"/>
            <w:noWrap/>
            <w:vAlign w:val="center"/>
            <w:hideMark/>
          </w:tcPr>
          <w:p w14:paraId="1834214A" w14:textId="77777777" w:rsidR="0000483F" w:rsidRPr="00A52AEE" w:rsidRDefault="0000483F" w:rsidP="009A2373">
            <w:pPr>
              <w:jc w:val="right"/>
              <w:rPr>
                <w:lang w:eastAsia="en-GB"/>
              </w:rPr>
            </w:pPr>
            <w:r w:rsidRPr="00A52AEE">
              <w:rPr>
                <w:lang w:eastAsia="en-GB"/>
              </w:rPr>
              <w:t>58%</w:t>
            </w:r>
          </w:p>
        </w:tc>
        <w:tc>
          <w:tcPr>
            <w:tcW w:w="492" w:type="pct"/>
            <w:shd w:val="clear" w:color="auto" w:fill="auto"/>
            <w:noWrap/>
            <w:vAlign w:val="center"/>
            <w:hideMark/>
          </w:tcPr>
          <w:p w14:paraId="22EDC4D0" w14:textId="77777777" w:rsidR="0000483F" w:rsidRPr="00A52AEE" w:rsidRDefault="0000483F" w:rsidP="009A2373">
            <w:pPr>
              <w:jc w:val="right"/>
              <w:rPr>
                <w:lang w:eastAsia="en-GB"/>
              </w:rPr>
            </w:pPr>
            <w:r w:rsidRPr="00A52AEE">
              <w:rPr>
                <w:lang w:eastAsia="en-GB"/>
              </w:rPr>
              <w:t>45%</w:t>
            </w:r>
          </w:p>
        </w:tc>
      </w:tr>
      <w:tr w:rsidR="0000483F" w:rsidRPr="00A52AEE" w14:paraId="3FBC905C" w14:textId="77777777" w:rsidTr="00A34D6D">
        <w:trPr>
          <w:trHeight w:val="315"/>
        </w:trPr>
        <w:tc>
          <w:tcPr>
            <w:tcW w:w="2552" w:type="pct"/>
            <w:shd w:val="clear" w:color="auto" w:fill="auto"/>
            <w:noWrap/>
            <w:vAlign w:val="bottom"/>
            <w:hideMark/>
          </w:tcPr>
          <w:p w14:paraId="32FEEFD4" w14:textId="77777777" w:rsidR="0000483F" w:rsidRPr="00A52AEE" w:rsidRDefault="0000483F" w:rsidP="00A52AEE">
            <w:pPr>
              <w:rPr>
                <w:lang w:eastAsia="en-GB"/>
              </w:rPr>
            </w:pPr>
            <w:r w:rsidRPr="00A52AEE">
              <w:rPr>
                <w:lang w:eastAsia="en-GB"/>
              </w:rPr>
              <w:t>Mixed - White and Asian</w:t>
            </w:r>
          </w:p>
        </w:tc>
        <w:tc>
          <w:tcPr>
            <w:tcW w:w="489" w:type="pct"/>
            <w:shd w:val="clear" w:color="auto" w:fill="auto"/>
            <w:noWrap/>
            <w:vAlign w:val="center"/>
            <w:hideMark/>
          </w:tcPr>
          <w:p w14:paraId="79435980"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27CD7A43"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10D83270" w14:textId="77777777" w:rsidR="0000483F" w:rsidRPr="00A52AEE" w:rsidRDefault="0000483F" w:rsidP="009A2373">
            <w:pPr>
              <w:jc w:val="right"/>
              <w:rPr>
                <w:lang w:eastAsia="en-GB"/>
              </w:rPr>
            </w:pPr>
            <w:r w:rsidRPr="00A52AEE">
              <w:rPr>
                <w:lang w:eastAsia="en-GB"/>
              </w:rPr>
              <w:t>50%</w:t>
            </w:r>
          </w:p>
        </w:tc>
        <w:tc>
          <w:tcPr>
            <w:tcW w:w="489" w:type="pct"/>
            <w:shd w:val="clear" w:color="auto" w:fill="auto"/>
            <w:noWrap/>
            <w:vAlign w:val="center"/>
            <w:hideMark/>
          </w:tcPr>
          <w:p w14:paraId="51139AD9" w14:textId="77777777" w:rsidR="0000483F" w:rsidRPr="00A52AEE" w:rsidRDefault="0000483F" w:rsidP="009A2373">
            <w:pPr>
              <w:jc w:val="right"/>
              <w:rPr>
                <w:lang w:eastAsia="en-GB"/>
              </w:rPr>
            </w:pPr>
            <w:r w:rsidRPr="00A52AEE">
              <w:rPr>
                <w:lang w:eastAsia="en-GB"/>
              </w:rPr>
              <w:t>50%</w:t>
            </w:r>
          </w:p>
        </w:tc>
        <w:tc>
          <w:tcPr>
            <w:tcW w:w="492" w:type="pct"/>
            <w:shd w:val="clear" w:color="auto" w:fill="auto"/>
            <w:noWrap/>
            <w:vAlign w:val="center"/>
            <w:hideMark/>
          </w:tcPr>
          <w:p w14:paraId="78285E74" w14:textId="77777777" w:rsidR="0000483F" w:rsidRPr="00A52AEE" w:rsidRDefault="0000483F" w:rsidP="009A2373">
            <w:pPr>
              <w:jc w:val="right"/>
              <w:rPr>
                <w:lang w:eastAsia="en-GB"/>
              </w:rPr>
            </w:pPr>
            <w:r w:rsidRPr="00A52AEE">
              <w:rPr>
                <w:lang w:eastAsia="en-GB"/>
              </w:rPr>
              <w:t>41%</w:t>
            </w:r>
          </w:p>
        </w:tc>
      </w:tr>
      <w:tr w:rsidR="0000483F" w:rsidRPr="00A52AEE" w14:paraId="5C314BB4" w14:textId="77777777" w:rsidTr="00A34D6D">
        <w:trPr>
          <w:trHeight w:val="315"/>
        </w:trPr>
        <w:tc>
          <w:tcPr>
            <w:tcW w:w="2552" w:type="pct"/>
            <w:shd w:val="clear" w:color="auto" w:fill="auto"/>
            <w:noWrap/>
            <w:vAlign w:val="bottom"/>
            <w:hideMark/>
          </w:tcPr>
          <w:p w14:paraId="3FFAFBF4" w14:textId="77777777" w:rsidR="0000483F" w:rsidRPr="00A52AEE" w:rsidRDefault="0000483F" w:rsidP="00A52AEE">
            <w:pPr>
              <w:rPr>
                <w:lang w:eastAsia="en-GB"/>
              </w:rPr>
            </w:pPr>
            <w:r w:rsidRPr="00A52AEE">
              <w:rPr>
                <w:lang w:eastAsia="en-GB"/>
              </w:rPr>
              <w:t>Mixed - White and Black African</w:t>
            </w:r>
          </w:p>
        </w:tc>
        <w:tc>
          <w:tcPr>
            <w:tcW w:w="489" w:type="pct"/>
            <w:shd w:val="clear" w:color="auto" w:fill="auto"/>
            <w:noWrap/>
            <w:vAlign w:val="center"/>
            <w:hideMark/>
          </w:tcPr>
          <w:p w14:paraId="1AA09403" w14:textId="77777777" w:rsidR="0000483F" w:rsidRPr="00A52AEE" w:rsidRDefault="0000483F" w:rsidP="009A2373">
            <w:pPr>
              <w:jc w:val="right"/>
              <w:rPr>
                <w:lang w:eastAsia="en-GB"/>
              </w:rPr>
            </w:pPr>
            <w:r w:rsidRPr="00A52AEE">
              <w:rPr>
                <w:lang w:eastAsia="en-GB"/>
              </w:rPr>
              <w:t>47%</w:t>
            </w:r>
          </w:p>
        </w:tc>
        <w:tc>
          <w:tcPr>
            <w:tcW w:w="489" w:type="pct"/>
            <w:shd w:val="clear" w:color="auto" w:fill="auto"/>
            <w:noWrap/>
            <w:vAlign w:val="center"/>
            <w:hideMark/>
          </w:tcPr>
          <w:p w14:paraId="1D5AFECC"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46EDAB6E"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26D67434" w14:textId="77777777" w:rsidR="0000483F" w:rsidRPr="00A52AEE" w:rsidRDefault="0000483F" w:rsidP="009A2373">
            <w:pPr>
              <w:jc w:val="right"/>
              <w:rPr>
                <w:lang w:eastAsia="en-GB"/>
              </w:rPr>
            </w:pPr>
            <w:r w:rsidRPr="00A52AEE">
              <w:rPr>
                <w:lang w:eastAsia="en-GB"/>
              </w:rPr>
              <w:t>45%</w:t>
            </w:r>
          </w:p>
        </w:tc>
        <w:tc>
          <w:tcPr>
            <w:tcW w:w="492" w:type="pct"/>
            <w:shd w:val="clear" w:color="auto" w:fill="auto"/>
            <w:noWrap/>
            <w:vAlign w:val="center"/>
            <w:hideMark/>
          </w:tcPr>
          <w:p w14:paraId="0C34AF2F" w14:textId="77777777" w:rsidR="0000483F" w:rsidRPr="00A52AEE" w:rsidRDefault="0000483F" w:rsidP="009A2373">
            <w:pPr>
              <w:jc w:val="right"/>
              <w:rPr>
                <w:lang w:eastAsia="en-GB"/>
              </w:rPr>
            </w:pPr>
            <w:r w:rsidRPr="00A52AEE">
              <w:rPr>
                <w:lang w:eastAsia="en-GB"/>
              </w:rPr>
              <w:t>38%</w:t>
            </w:r>
          </w:p>
        </w:tc>
      </w:tr>
      <w:tr w:rsidR="0000483F" w:rsidRPr="00A52AEE" w14:paraId="0D261ADD" w14:textId="77777777" w:rsidTr="00A34D6D">
        <w:trPr>
          <w:trHeight w:val="315"/>
        </w:trPr>
        <w:tc>
          <w:tcPr>
            <w:tcW w:w="2552" w:type="pct"/>
            <w:shd w:val="clear" w:color="auto" w:fill="auto"/>
            <w:noWrap/>
            <w:vAlign w:val="bottom"/>
            <w:hideMark/>
          </w:tcPr>
          <w:p w14:paraId="6A3229FB" w14:textId="77777777" w:rsidR="0000483F" w:rsidRPr="00A52AEE" w:rsidRDefault="0000483F" w:rsidP="00A52AEE">
            <w:pPr>
              <w:rPr>
                <w:lang w:eastAsia="en-GB"/>
              </w:rPr>
            </w:pPr>
            <w:r w:rsidRPr="00A52AEE">
              <w:rPr>
                <w:lang w:eastAsia="en-GB"/>
              </w:rPr>
              <w:t>Mixed - White and Black Caribbean</w:t>
            </w:r>
          </w:p>
        </w:tc>
        <w:tc>
          <w:tcPr>
            <w:tcW w:w="489" w:type="pct"/>
            <w:shd w:val="clear" w:color="auto" w:fill="auto"/>
            <w:noWrap/>
            <w:vAlign w:val="center"/>
            <w:hideMark/>
          </w:tcPr>
          <w:p w14:paraId="21816A1C" w14:textId="77777777" w:rsidR="0000483F" w:rsidRPr="00A52AEE" w:rsidRDefault="0000483F" w:rsidP="009A2373">
            <w:pPr>
              <w:jc w:val="right"/>
              <w:rPr>
                <w:lang w:eastAsia="en-GB"/>
              </w:rPr>
            </w:pPr>
            <w:r w:rsidRPr="00A52AEE">
              <w:rPr>
                <w:lang w:eastAsia="en-GB"/>
              </w:rPr>
              <w:t>44%</w:t>
            </w:r>
          </w:p>
        </w:tc>
        <w:tc>
          <w:tcPr>
            <w:tcW w:w="489" w:type="pct"/>
            <w:shd w:val="clear" w:color="auto" w:fill="auto"/>
            <w:noWrap/>
            <w:vAlign w:val="center"/>
            <w:hideMark/>
          </w:tcPr>
          <w:p w14:paraId="7CD08B89"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6785FF07" w14:textId="77777777" w:rsidR="0000483F" w:rsidRPr="00A52AEE" w:rsidRDefault="0000483F" w:rsidP="009A2373">
            <w:pPr>
              <w:jc w:val="right"/>
              <w:rPr>
                <w:lang w:eastAsia="en-GB"/>
              </w:rPr>
            </w:pPr>
            <w:r w:rsidRPr="00A52AEE">
              <w:rPr>
                <w:lang w:eastAsia="en-GB"/>
              </w:rPr>
              <w:t>39%</w:t>
            </w:r>
          </w:p>
        </w:tc>
        <w:tc>
          <w:tcPr>
            <w:tcW w:w="489" w:type="pct"/>
            <w:shd w:val="clear" w:color="auto" w:fill="auto"/>
            <w:noWrap/>
            <w:vAlign w:val="center"/>
            <w:hideMark/>
          </w:tcPr>
          <w:p w14:paraId="1A959DEA" w14:textId="77777777" w:rsidR="0000483F" w:rsidRPr="00A52AEE" w:rsidRDefault="0000483F" w:rsidP="009A2373">
            <w:pPr>
              <w:jc w:val="right"/>
              <w:rPr>
                <w:lang w:eastAsia="en-GB"/>
              </w:rPr>
            </w:pPr>
            <w:r w:rsidRPr="00A52AEE">
              <w:rPr>
                <w:lang w:eastAsia="en-GB"/>
              </w:rPr>
              <w:t>43%</w:t>
            </w:r>
          </w:p>
        </w:tc>
        <w:tc>
          <w:tcPr>
            <w:tcW w:w="492" w:type="pct"/>
            <w:shd w:val="clear" w:color="auto" w:fill="auto"/>
            <w:noWrap/>
            <w:vAlign w:val="center"/>
            <w:hideMark/>
          </w:tcPr>
          <w:p w14:paraId="78D7E2D6" w14:textId="77777777" w:rsidR="0000483F" w:rsidRPr="00A52AEE" w:rsidRDefault="0000483F" w:rsidP="009A2373">
            <w:pPr>
              <w:jc w:val="right"/>
              <w:rPr>
                <w:lang w:eastAsia="en-GB"/>
              </w:rPr>
            </w:pPr>
            <w:r w:rsidRPr="00A52AEE">
              <w:rPr>
                <w:lang w:eastAsia="en-GB"/>
              </w:rPr>
              <w:t>32%</w:t>
            </w:r>
          </w:p>
        </w:tc>
      </w:tr>
      <w:tr w:rsidR="0000483F" w:rsidRPr="00A52AEE" w14:paraId="11C313E5" w14:textId="77777777" w:rsidTr="00A34D6D">
        <w:trPr>
          <w:trHeight w:val="315"/>
        </w:trPr>
        <w:tc>
          <w:tcPr>
            <w:tcW w:w="2552" w:type="pct"/>
            <w:shd w:val="clear" w:color="auto" w:fill="auto"/>
            <w:noWrap/>
            <w:vAlign w:val="bottom"/>
            <w:hideMark/>
          </w:tcPr>
          <w:p w14:paraId="09E15227" w14:textId="77777777" w:rsidR="0000483F" w:rsidRPr="00A52AEE" w:rsidRDefault="0000483F" w:rsidP="00A52AEE">
            <w:pPr>
              <w:rPr>
                <w:lang w:eastAsia="en-GB"/>
              </w:rPr>
            </w:pPr>
            <w:r w:rsidRPr="00A52AEE">
              <w:rPr>
                <w:lang w:eastAsia="en-GB"/>
              </w:rPr>
              <w:t>not known/not provided</w:t>
            </w:r>
          </w:p>
        </w:tc>
        <w:tc>
          <w:tcPr>
            <w:tcW w:w="489" w:type="pct"/>
            <w:shd w:val="clear" w:color="auto" w:fill="auto"/>
            <w:noWrap/>
            <w:vAlign w:val="center"/>
            <w:hideMark/>
          </w:tcPr>
          <w:p w14:paraId="241948AF" w14:textId="77777777" w:rsidR="0000483F" w:rsidRPr="00A52AEE" w:rsidRDefault="0000483F" w:rsidP="009A2373">
            <w:pPr>
              <w:jc w:val="right"/>
              <w:rPr>
                <w:lang w:eastAsia="en-GB"/>
              </w:rPr>
            </w:pPr>
            <w:r w:rsidRPr="00A52AEE">
              <w:rPr>
                <w:lang w:eastAsia="en-GB"/>
              </w:rPr>
              <w:t>33%</w:t>
            </w:r>
          </w:p>
        </w:tc>
        <w:tc>
          <w:tcPr>
            <w:tcW w:w="489" w:type="pct"/>
            <w:shd w:val="clear" w:color="auto" w:fill="auto"/>
            <w:noWrap/>
            <w:vAlign w:val="center"/>
            <w:hideMark/>
          </w:tcPr>
          <w:p w14:paraId="790622FC" w14:textId="77777777" w:rsidR="0000483F" w:rsidRPr="00A52AEE" w:rsidRDefault="0000483F" w:rsidP="009A2373">
            <w:pPr>
              <w:jc w:val="right"/>
              <w:rPr>
                <w:lang w:eastAsia="en-GB"/>
              </w:rPr>
            </w:pPr>
            <w:r w:rsidRPr="00A52AEE">
              <w:rPr>
                <w:lang w:eastAsia="en-GB"/>
              </w:rPr>
              <w:t>25%</w:t>
            </w:r>
          </w:p>
        </w:tc>
        <w:tc>
          <w:tcPr>
            <w:tcW w:w="489" w:type="pct"/>
            <w:shd w:val="clear" w:color="auto" w:fill="auto"/>
            <w:noWrap/>
            <w:vAlign w:val="center"/>
            <w:hideMark/>
          </w:tcPr>
          <w:p w14:paraId="7B790D56" w14:textId="77777777" w:rsidR="0000483F" w:rsidRPr="00A52AEE" w:rsidRDefault="0000483F" w:rsidP="009A2373">
            <w:pPr>
              <w:jc w:val="right"/>
              <w:rPr>
                <w:lang w:eastAsia="en-GB"/>
              </w:rPr>
            </w:pPr>
            <w:r w:rsidRPr="00A52AEE">
              <w:rPr>
                <w:lang w:eastAsia="en-GB"/>
              </w:rPr>
              <w:t>25%</w:t>
            </w:r>
          </w:p>
        </w:tc>
        <w:tc>
          <w:tcPr>
            <w:tcW w:w="489" w:type="pct"/>
            <w:shd w:val="clear" w:color="auto" w:fill="auto"/>
            <w:noWrap/>
            <w:vAlign w:val="center"/>
            <w:hideMark/>
          </w:tcPr>
          <w:p w14:paraId="6E019CBE" w14:textId="77777777" w:rsidR="0000483F" w:rsidRPr="00A52AEE" w:rsidRDefault="0000483F" w:rsidP="009A2373">
            <w:pPr>
              <w:jc w:val="right"/>
              <w:rPr>
                <w:lang w:eastAsia="en-GB"/>
              </w:rPr>
            </w:pPr>
            <w:r w:rsidRPr="00A52AEE">
              <w:rPr>
                <w:lang w:eastAsia="en-GB"/>
              </w:rPr>
              <w:t>32%</w:t>
            </w:r>
          </w:p>
        </w:tc>
        <w:tc>
          <w:tcPr>
            <w:tcW w:w="492" w:type="pct"/>
            <w:shd w:val="clear" w:color="auto" w:fill="auto"/>
            <w:noWrap/>
            <w:vAlign w:val="center"/>
            <w:hideMark/>
          </w:tcPr>
          <w:p w14:paraId="4EE712A5" w14:textId="77777777" w:rsidR="0000483F" w:rsidRPr="00A52AEE" w:rsidRDefault="0000483F" w:rsidP="009A2373">
            <w:pPr>
              <w:jc w:val="right"/>
              <w:rPr>
                <w:lang w:eastAsia="en-GB"/>
              </w:rPr>
            </w:pPr>
            <w:r w:rsidRPr="00A52AEE">
              <w:rPr>
                <w:lang w:eastAsia="en-GB"/>
              </w:rPr>
              <w:t>31%</w:t>
            </w:r>
          </w:p>
        </w:tc>
      </w:tr>
      <w:tr w:rsidR="0000483F" w:rsidRPr="00A52AEE" w14:paraId="3D0D2CF7" w14:textId="77777777" w:rsidTr="00A34D6D">
        <w:trPr>
          <w:trHeight w:val="315"/>
        </w:trPr>
        <w:tc>
          <w:tcPr>
            <w:tcW w:w="2552" w:type="pct"/>
            <w:shd w:val="clear" w:color="auto" w:fill="auto"/>
            <w:noWrap/>
            <w:vAlign w:val="bottom"/>
            <w:hideMark/>
          </w:tcPr>
          <w:p w14:paraId="03DEE467" w14:textId="77777777" w:rsidR="0000483F" w:rsidRPr="00A52AEE" w:rsidRDefault="0000483F" w:rsidP="00A52AEE">
            <w:pPr>
              <w:rPr>
                <w:lang w:eastAsia="en-GB"/>
              </w:rPr>
            </w:pPr>
            <w:r w:rsidRPr="00A52AEE">
              <w:rPr>
                <w:lang w:eastAsia="en-GB"/>
              </w:rPr>
              <w:t>Other ethnic group</w:t>
            </w:r>
          </w:p>
        </w:tc>
        <w:tc>
          <w:tcPr>
            <w:tcW w:w="489" w:type="pct"/>
            <w:shd w:val="clear" w:color="auto" w:fill="auto"/>
            <w:noWrap/>
            <w:vAlign w:val="center"/>
            <w:hideMark/>
          </w:tcPr>
          <w:p w14:paraId="18ECFD57" w14:textId="77777777" w:rsidR="0000483F" w:rsidRPr="00A52AEE" w:rsidRDefault="0000483F" w:rsidP="009A2373">
            <w:pPr>
              <w:jc w:val="right"/>
              <w:rPr>
                <w:lang w:eastAsia="en-GB"/>
              </w:rPr>
            </w:pPr>
            <w:r w:rsidRPr="00A52AEE">
              <w:rPr>
                <w:lang w:eastAsia="en-GB"/>
              </w:rPr>
              <w:t>46%</w:t>
            </w:r>
          </w:p>
        </w:tc>
        <w:tc>
          <w:tcPr>
            <w:tcW w:w="489" w:type="pct"/>
            <w:shd w:val="clear" w:color="auto" w:fill="auto"/>
            <w:noWrap/>
            <w:vAlign w:val="center"/>
            <w:hideMark/>
          </w:tcPr>
          <w:p w14:paraId="56BFB5BD" w14:textId="77777777" w:rsidR="0000483F" w:rsidRPr="00A52AEE" w:rsidRDefault="0000483F" w:rsidP="009A2373">
            <w:pPr>
              <w:jc w:val="right"/>
              <w:rPr>
                <w:lang w:eastAsia="en-GB"/>
              </w:rPr>
            </w:pPr>
            <w:r w:rsidRPr="00A52AEE">
              <w:rPr>
                <w:lang w:eastAsia="en-GB"/>
              </w:rPr>
              <w:t>42%</w:t>
            </w:r>
          </w:p>
        </w:tc>
        <w:tc>
          <w:tcPr>
            <w:tcW w:w="489" w:type="pct"/>
            <w:shd w:val="clear" w:color="auto" w:fill="auto"/>
            <w:noWrap/>
            <w:vAlign w:val="center"/>
            <w:hideMark/>
          </w:tcPr>
          <w:p w14:paraId="13AC0A46" w14:textId="77777777" w:rsidR="0000483F" w:rsidRPr="00A52AEE" w:rsidRDefault="0000483F" w:rsidP="009A2373">
            <w:pPr>
              <w:jc w:val="right"/>
              <w:rPr>
                <w:lang w:eastAsia="en-GB"/>
              </w:rPr>
            </w:pPr>
            <w:r w:rsidRPr="00A52AEE">
              <w:rPr>
                <w:lang w:eastAsia="en-GB"/>
              </w:rPr>
              <w:t>41%</w:t>
            </w:r>
          </w:p>
        </w:tc>
        <w:tc>
          <w:tcPr>
            <w:tcW w:w="489" w:type="pct"/>
            <w:shd w:val="clear" w:color="auto" w:fill="auto"/>
            <w:noWrap/>
            <w:vAlign w:val="center"/>
            <w:hideMark/>
          </w:tcPr>
          <w:p w14:paraId="4A12E783" w14:textId="77777777" w:rsidR="0000483F" w:rsidRPr="00A52AEE" w:rsidRDefault="0000483F" w:rsidP="009A2373">
            <w:pPr>
              <w:jc w:val="right"/>
              <w:rPr>
                <w:lang w:eastAsia="en-GB"/>
              </w:rPr>
            </w:pPr>
            <w:r w:rsidRPr="00A52AEE">
              <w:rPr>
                <w:lang w:eastAsia="en-GB"/>
              </w:rPr>
              <w:t>46%</w:t>
            </w:r>
          </w:p>
        </w:tc>
        <w:tc>
          <w:tcPr>
            <w:tcW w:w="492" w:type="pct"/>
            <w:shd w:val="clear" w:color="auto" w:fill="auto"/>
            <w:noWrap/>
            <w:vAlign w:val="center"/>
            <w:hideMark/>
          </w:tcPr>
          <w:p w14:paraId="52485C63" w14:textId="77777777" w:rsidR="0000483F" w:rsidRPr="00A52AEE" w:rsidRDefault="0000483F" w:rsidP="009A2373">
            <w:pPr>
              <w:jc w:val="right"/>
              <w:rPr>
                <w:lang w:eastAsia="en-GB"/>
              </w:rPr>
            </w:pPr>
            <w:r w:rsidRPr="00A52AEE">
              <w:rPr>
                <w:lang w:eastAsia="en-GB"/>
              </w:rPr>
              <w:t>43%</w:t>
            </w:r>
          </w:p>
        </w:tc>
      </w:tr>
      <w:tr w:rsidR="0000483F" w:rsidRPr="00A52AEE" w14:paraId="719DB6D8" w14:textId="77777777" w:rsidTr="00A34D6D">
        <w:trPr>
          <w:trHeight w:val="315"/>
        </w:trPr>
        <w:tc>
          <w:tcPr>
            <w:tcW w:w="2552" w:type="pct"/>
            <w:shd w:val="clear" w:color="auto" w:fill="auto"/>
            <w:noWrap/>
            <w:vAlign w:val="bottom"/>
            <w:hideMark/>
          </w:tcPr>
          <w:p w14:paraId="3D82C1E5" w14:textId="77777777" w:rsidR="0000483F" w:rsidRPr="00A52AEE" w:rsidRDefault="0000483F" w:rsidP="00A52AEE">
            <w:pPr>
              <w:rPr>
                <w:lang w:eastAsia="en-GB"/>
              </w:rPr>
            </w:pPr>
            <w:r w:rsidRPr="00A52AEE">
              <w:rPr>
                <w:lang w:eastAsia="en-GB"/>
              </w:rPr>
              <w:t>Other Mixed / multiple ethnic background</w:t>
            </w:r>
          </w:p>
        </w:tc>
        <w:tc>
          <w:tcPr>
            <w:tcW w:w="489" w:type="pct"/>
            <w:shd w:val="clear" w:color="auto" w:fill="auto"/>
            <w:noWrap/>
            <w:vAlign w:val="center"/>
            <w:hideMark/>
          </w:tcPr>
          <w:p w14:paraId="5C553094" w14:textId="77777777" w:rsidR="0000483F" w:rsidRPr="00A52AEE" w:rsidRDefault="0000483F" w:rsidP="009A2373">
            <w:pPr>
              <w:jc w:val="right"/>
              <w:rPr>
                <w:lang w:eastAsia="en-GB"/>
              </w:rPr>
            </w:pPr>
            <w:r w:rsidRPr="00A52AEE">
              <w:rPr>
                <w:lang w:eastAsia="en-GB"/>
              </w:rPr>
              <w:t>50%</w:t>
            </w:r>
          </w:p>
        </w:tc>
        <w:tc>
          <w:tcPr>
            <w:tcW w:w="489" w:type="pct"/>
            <w:shd w:val="clear" w:color="auto" w:fill="auto"/>
            <w:noWrap/>
            <w:vAlign w:val="center"/>
            <w:hideMark/>
          </w:tcPr>
          <w:p w14:paraId="4B35750F" w14:textId="77777777" w:rsidR="0000483F" w:rsidRPr="00A52AEE" w:rsidRDefault="0000483F" w:rsidP="009A2373">
            <w:pPr>
              <w:jc w:val="right"/>
              <w:rPr>
                <w:lang w:eastAsia="en-GB"/>
              </w:rPr>
            </w:pPr>
            <w:r w:rsidRPr="00A52AEE">
              <w:rPr>
                <w:lang w:eastAsia="en-GB"/>
              </w:rPr>
              <w:t>48%</w:t>
            </w:r>
          </w:p>
        </w:tc>
        <w:tc>
          <w:tcPr>
            <w:tcW w:w="489" w:type="pct"/>
            <w:shd w:val="clear" w:color="auto" w:fill="auto"/>
            <w:noWrap/>
            <w:vAlign w:val="center"/>
            <w:hideMark/>
          </w:tcPr>
          <w:p w14:paraId="5CD88B60" w14:textId="77777777" w:rsidR="0000483F" w:rsidRPr="00A52AEE" w:rsidRDefault="0000483F" w:rsidP="009A2373">
            <w:pPr>
              <w:jc w:val="right"/>
              <w:rPr>
                <w:lang w:eastAsia="en-GB"/>
              </w:rPr>
            </w:pPr>
            <w:r w:rsidRPr="00A52AEE">
              <w:rPr>
                <w:lang w:eastAsia="en-GB"/>
              </w:rPr>
              <w:t>44%</w:t>
            </w:r>
          </w:p>
        </w:tc>
        <w:tc>
          <w:tcPr>
            <w:tcW w:w="489" w:type="pct"/>
            <w:shd w:val="clear" w:color="auto" w:fill="auto"/>
            <w:noWrap/>
            <w:vAlign w:val="center"/>
            <w:hideMark/>
          </w:tcPr>
          <w:p w14:paraId="7A67D44A" w14:textId="77777777" w:rsidR="0000483F" w:rsidRPr="00A52AEE" w:rsidRDefault="0000483F" w:rsidP="009A2373">
            <w:pPr>
              <w:jc w:val="right"/>
              <w:rPr>
                <w:lang w:eastAsia="en-GB"/>
              </w:rPr>
            </w:pPr>
            <w:r w:rsidRPr="00A52AEE">
              <w:rPr>
                <w:lang w:eastAsia="en-GB"/>
              </w:rPr>
              <w:t>48%</w:t>
            </w:r>
          </w:p>
        </w:tc>
        <w:tc>
          <w:tcPr>
            <w:tcW w:w="492" w:type="pct"/>
            <w:shd w:val="clear" w:color="auto" w:fill="auto"/>
            <w:noWrap/>
            <w:vAlign w:val="center"/>
            <w:hideMark/>
          </w:tcPr>
          <w:p w14:paraId="7C4802BB" w14:textId="77777777" w:rsidR="0000483F" w:rsidRPr="00A52AEE" w:rsidRDefault="0000483F" w:rsidP="009A2373">
            <w:pPr>
              <w:jc w:val="right"/>
              <w:rPr>
                <w:lang w:eastAsia="en-GB"/>
              </w:rPr>
            </w:pPr>
            <w:r w:rsidRPr="00A52AEE">
              <w:rPr>
                <w:lang w:eastAsia="en-GB"/>
              </w:rPr>
              <w:t>38%</w:t>
            </w:r>
          </w:p>
        </w:tc>
      </w:tr>
      <w:tr w:rsidR="0000483F" w:rsidRPr="00A52AEE" w14:paraId="6E8EFDDF" w14:textId="77777777" w:rsidTr="00A34D6D">
        <w:trPr>
          <w:trHeight w:val="315"/>
        </w:trPr>
        <w:tc>
          <w:tcPr>
            <w:tcW w:w="2552" w:type="pct"/>
            <w:shd w:val="clear" w:color="auto" w:fill="auto"/>
            <w:noWrap/>
            <w:vAlign w:val="bottom"/>
            <w:hideMark/>
          </w:tcPr>
          <w:p w14:paraId="4A7C607F" w14:textId="77777777" w:rsidR="0000483F" w:rsidRPr="00A52AEE" w:rsidRDefault="0000483F" w:rsidP="00A52AEE">
            <w:pPr>
              <w:rPr>
                <w:lang w:eastAsia="en-GB"/>
              </w:rPr>
            </w:pPr>
            <w:r w:rsidRPr="00A52AEE">
              <w:rPr>
                <w:lang w:eastAsia="en-GB"/>
              </w:rPr>
              <w:t>White - any other White background</w:t>
            </w:r>
          </w:p>
        </w:tc>
        <w:tc>
          <w:tcPr>
            <w:tcW w:w="489" w:type="pct"/>
            <w:shd w:val="clear" w:color="auto" w:fill="auto"/>
            <w:noWrap/>
            <w:vAlign w:val="center"/>
            <w:hideMark/>
          </w:tcPr>
          <w:p w14:paraId="208ED4DC" w14:textId="77777777" w:rsidR="0000483F" w:rsidRPr="00A52AEE" w:rsidRDefault="0000483F" w:rsidP="009A2373">
            <w:pPr>
              <w:jc w:val="right"/>
              <w:rPr>
                <w:lang w:eastAsia="en-GB"/>
              </w:rPr>
            </w:pPr>
            <w:r w:rsidRPr="00A52AEE">
              <w:rPr>
                <w:lang w:eastAsia="en-GB"/>
              </w:rPr>
              <w:t>32%</w:t>
            </w:r>
          </w:p>
        </w:tc>
        <w:tc>
          <w:tcPr>
            <w:tcW w:w="489" w:type="pct"/>
            <w:shd w:val="clear" w:color="auto" w:fill="auto"/>
            <w:noWrap/>
            <w:vAlign w:val="center"/>
            <w:hideMark/>
          </w:tcPr>
          <w:p w14:paraId="2288C4E7" w14:textId="77777777" w:rsidR="0000483F" w:rsidRPr="00A52AEE" w:rsidRDefault="0000483F" w:rsidP="009A2373">
            <w:pPr>
              <w:jc w:val="right"/>
              <w:rPr>
                <w:lang w:eastAsia="en-GB"/>
              </w:rPr>
            </w:pPr>
            <w:r w:rsidRPr="00A52AEE">
              <w:rPr>
                <w:lang w:eastAsia="en-GB"/>
              </w:rPr>
              <w:t>35%</w:t>
            </w:r>
          </w:p>
        </w:tc>
        <w:tc>
          <w:tcPr>
            <w:tcW w:w="489" w:type="pct"/>
            <w:shd w:val="clear" w:color="auto" w:fill="auto"/>
            <w:noWrap/>
            <w:vAlign w:val="center"/>
            <w:hideMark/>
          </w:tcPr>
          <w:p w14:paraId="73F6A89B" w14:textId="77777777" w:rsidR="0000483F" w:rsidRPr="00A52AEE" w:rsidRDefault="0000483F" w:rsidP="009A2373">
            <w:pPr>
              <w:jc w:val="right"/>
              <w:rPr>
                <w:lang w:eastAsia="en-GB"/>
              </w:rPr>
            </w:pPr>
            <w:r w:rsidRPr="00A52AEE">
              <w:rPr>
                <w:lang w:eastAsia="en-GB"/>
              </w:rPr>
              <w:t>36%</w:t>
            </w:r>
          </w:p>
        </w:tc>
        <w:tc>
          <w:tcPr>
            <w:tcW w:w="489" w:type="pct"/>
            <w:shd w:val="clear" w:color="auto" w:fill="auto"/>
            <w:noWrap/>
            <w:vAlign w:val="center"/>
            <w:hideMark/>
          </w:tcPr>
          <w:p w14:paraId="58AF4894" w14:textId="77777777" w:rsidR="0000483F" w:rsidRPr="00A52AEE" w:rsidRDefault="0000483F" w:rsidP="009A2373">
            <w:pPr>
              <w:jc w:val="right"/>
              <w:rPr>
                <w:lang w:eastAsia="en-GB"/>
              </w:rPr>
            </w:pPr>
            <w:r w:rsidRPr="00A52AEE">
              <w:rPr>
                <w:lang w:eastAsia="en-GB"/>
              </w:rPr>
              <w:t>38%</w:t>
            </w:r>
          </w:p>
        </w:tc>
        <w:tc>
          <w:tcPr>
            <w:tcW w:w="492" w:type="pct"/>
            <w:shd w:val="clear" w:color="auto" w:fill="auto"/>
            <w:noWrap/>
            <w:vAlign w:val="center"/>
            <w:hideMark/>
          </w:tcPr>
          <w:p w14:paraId="578042C9" w14:textId="77777777" w:rsidR="0000483F" w:rsidRPr="00A52AEE" w:rsidRDefault="0000483F" w:rsidP="009A2373">
            <w:pPr>
              <w:jc w:val="right"/>
              <w:rPr>
                <w:lang w:eastAsia="en-GB"/>
              </w:rPr>
            </w:pPr>
            <w:r w:rsidRPr="00A52AEE">
              <w:rPr>
                <w:lang w:eastAsia="en-GB"/>
              </w:rPr>
              <w:t>34%</w:t>
            </w:r>
          </w:p>
        </w:tc>
      </w:tr>
      <w:tr w:rsidR="0000483F" w:rsidRPr="00A52AEE" w14:paraId="1EEFB3A1" w14:textId="77777777" w:rsidTr="00A34D6D">
        <w:trPr>
          <w:trHeight w:val="300"/>
        </w:trPr>
        <w:tc>
          <w:tcPr>
            <w:tcW w:w="2552" w:type="pct"/>
            <w:shd w:val="clear" w:color="auto" w:fill="auto"/>
            <w:noWrap/>
            <w:vAlign w:val="bottom"/>
            <w:hideMark/>
          </w:tcPr>
          <w:p w14:paraId="7EAE4094" w14:textId="77777777" w:rsidR="0000483F" w:rsidRPr="00A52AEE" w:rsidRDefault="0000483F" w:rsidP="00A52AEE">
            <w:pPr>
              <w:rPr>
                <w:lang w:eastAsia="en-GB"/>
              </w:rPr>
            </w:pPr>
            <w:r w:rsidRPr="00A52AEE">
              <w:rPr>
                <w:lang w:eastAsia="en-GB"/>
              </w:rPr>
              <w:t>White –British</w:t>
            </w:r>
          </w:p>
        </w:tc>
        <w:tc>
          <w:tcPr>
            <w:tcW w:w="489" w:type="pct"/>
            <w:shd w:val="clear" w:color="auto" w:fill="auto"/>
            <w:noWrap/>
            <w:vAlign w:val="center"/>
            <w:hideMark/>
          </w:tcPr>
          <w:p w14:paraId="7DF0759B" w14:textId="77777777" w:rsidR="0000483F" w:rsidRPr="00A52AEE" w:rsidRDefault="0000483F" w:rsidP="009A2373">
            <w:pPr>
              <w:jc w:val="right"/>
              <w:rPr>
                <w:lang w:eastAsia="en-GB"/>
              </w:rPr>
            </w:pPr>
            <w:r w:rsidRPr="00A52AEE">
              <w:rPr>
                <w:lang w:eastAsia="en-GB"/>
              </w:rPr>
              <w:t>25%</w:t>
            </w:r>
          </w:p>
        </w:tc>
        <w:tc>
          <w:tcPr>
            <w:tcW w:w="489" w:type="pct"/>
            <w:shd w:val="clear" w:color="auto" w:fill="auto"/>
            <w:noWrap/>
            <w:vAlign w:val="center"/>
            <w:hideMark/>
          </w:tcPr>
          <w:p w14:paraId="0CDCC7A7" w14:textId="77777777" w:rsidR="0000483F" w:rsidRPr="00A52AEE" w:rsidRDefault="0000483F" w:rsidP="009A2373">
            <w:pPr>
              <w:jc w:val="right"/>
              <w:rPr>
                <w:lang w:eastAsia="en-GB"/>
              </w:rPr>
            </w:pPr>
            <w:r w:rsidRPr="00A52AEE">
              <w:rPr>
                <w:lang w:eastAsia="en-GB"/>
              </w:rPr>
              <w:t>24%</w:t>
            </w:r>
          </w:p>
        </w:tc>
        <w:tc>
          <w:tcPr>
            <w:tcW w:w="489" w:type="pct"/>
            <w:shd w:val="clear" w:color="auto" w:fill="auto"/>
            <w:noWrap/>
            <w:vAlign w:val="center"/>
            <w:hideMark/>
          </w:tcPr>
          <w:p w14:paraId="0CE40D64" w14:textId="77777777" w:rsidR="0000483F" w:rsidRPr="00A52AEE" w:rsidRDefault="0000483F" w:rsidP="009A2373">
            <w:pPr>
              <w:jc w:val="right"/>
              <w:rPr>
                <w:lang w:eastAsia="en-GB"/>
              </w:rPr>
            </w:pPr>
            <w:r w:rsidRPr="00A52AEE">
              <w:rPr>
                <w:lang w:eastAsia="en-GB"/>
              </w:rPr>
              <w:t>24%</w:t>
            </w:r>
          </w:p>
        </w:tc>
        <w:tc>
          <w:tcPr>
            <w:tcW w:w="489" w:type="pct"/>
            <w:shd w:val="clear" w:color="auto" w:fill="auto"/>
            <w:noWrap/>
            <w:vAlign w:val="center"/>
            <w:hideMark/>
          </w:tcPr>
          <w:p w14:paraId="23E25FE4" w14:textId="77777777" w:rsidR="0000483F" w:rsidRPr="00A52AEE" w:rsidRDefault="0000483F" w:rsidP="009A2373">
            <w:pPr>
              <w:jc w:val="right"/>
              <w:rPr>
                <w:lang w:eastAsia="en-GB"/>
              </w:rPr>
            </w:pPr>
            <w:r w:rsidRPr="00A52AEE">
              <w:rPr>
                <w:lang w:eastAsia="en-GB"/>
              </w:rPr>
              <w:t>28%</w:t>
            </w:r>
          </w:p>
        </w:tc>
        <w:tc>
          <w:tcPr>
            <w:tcW w:w="492" w:type="pct"/>
            <w:shd w:val="clear" w:color="auto" w:fill="auto"/>
            <w:noWrap/>
            <w:vAlign w:val="center"/>
            <w:hideMark/>
          </w:tcPr>
          <w:p w14:paraId="3E8567E6" w14:textId="77777777" w:rsidR="0000483F" w:rsidRPr="00A52AEE" w:rsidRDefault="0000483F" w:rsidP="009A2373">
            <w:pPr>
              <w:jc w:val="right"/>
              <w:rPr>
                <w:lang w:eastAsia="en-GB"/>
              </w:rPr>
            </w:pPr>
            <w:r w:rsidRPr="00A52AEE">
              <w:rPr>
                <w:lang w:eastAsia="en-GB"/>
              </w:rPr>
              <w:t>26%</w:t>
            </w:r>
          </w:p>
        </w:tc>
      </w:tr>
      <w:tr w:rsidR="0000483F" w:rsidRPr="00A52AEE" w14:paraId="7013C4AF" w14:textId="77777777" w:rsidTr="00A34D6D">
        <w:trPr>
          <w:trHeight w:val="300"/>
        </w:trPr>
        <w:tc>
          <w:tcPr>
            <w:tcW w:w="2552" w:type="pct"/>
            <w:shd w:val="clear" w:color="auto" w:fill="auto"/>
            <w:noWrap/>
            <w:vAlign w:val="bottom"/>
            <w:hideMark/>
          </w:tcPr>
          <w:p w14:paraId="6CCAEF7E" w14:textId="77777777" w:rsidR="0000483F" w:rsidRPr="00A52AEE" w:rsidRDefault="0000483F" w:rsidP="00A52AEE">
            <w:pPr>
              <w:rPr>
                <w:lang w:eastAsia="en-GB"/>
              </w:rPr>
            </w:pPr>
            <w:r w:rsidRPr="00A52AEE">
              <w:rPr>
                <w:lang w:eastAsia="en-GB"/>
              </w:rPr>
              <w:t>Total</w:t>
            </w:r>
          </w:p>
        </w:tc>
        <w:tc>
          <w:tcPr>
            <w:tcW w:w="489" w:type="pct"/>
            <w:shd w:val="clear" w:color="auto" w:fill="auto"/>
            <w:noWrap/>
            <w:vAlign w:val="center"/>
            <w:hideMark/>
          </w:tcPr>
          <w:p w14:paraId="4052A3F8" w14:textId="77777777" w:rsidR="0000483F" w:rsidRPr="00A52AEE" w:rsidRDefault="0000483F" w:rsidP="009A2373">
            <w:pPr>
              <w:jc w:val="right"/>
              <w:rPr>
                <w:lang w:eastAsia="en-GB"/>
              </w:rPr>
            </w:pPr>
            <w:r w:rsidRPr="00A52AEE">
              <w:rPr>
                <w:lang w:eastAsia="en-GB"/>
              </w:rPr>
              <w:t>42%</w:t>
            </w:r>
          </w:p>
        </w:tc>
        <w:tc>
          <w:tcPr>
            <w:tcW w:w="489" w:type="pct"/>
            <w:shd w:val="clear" w:color="auto" w:fill="auto"/>
            <w:noWrap/>
            <w:vAlign w:val="center"/>
            <w:hideMark/>
          </w:tcPr>
          <w:p w14:paraId="3D6929D9" w14:textId="77777777" w:rsidR="0000483F" w:rsidRPr="00A52AEE" w:rsidRDefault="0000483F" w:rsidP="009A2373">
            <w:pPr>
              <w:jc w:val="right"/>
              <w:rPr>
                <w:lang w:eastAsia="en-GB"/>
              </w:rPr>
            </w:pPr>
            <w:r w:rsidRPr="00A52AEE">
              <w:rPr>
                <w:lang w:eastAsia="en-GB"/>
              </w:rPr>
              <w:t>40%</w:t>
            </w:r>
          </w:p>
        </w:tc>
        <w:tc>
          <w:tcPr>
            <w:tcW w:w="489" w:type="pct"/>
            <w:shd w:val="clear" w:color="auto" w:fill="auto"/>
            <w:noWrap/>
            <w:vAlign w:val="center"/>
            <w:hideMark/>
          </w:tcPr>
          <w:p w14:paraId="067751FC" w14:textId="77777777" w:rsidR="0000483F" w:rsidRPr="00A52AEE" w:rsidRDefault="0000483F" w:rsidP="009A2373">
            <w:pPr>
              <w:jc w:val="right"/>
              <w:rPr>
                <w:lang w:eastAsia="en-GB"/>
              </w:rPr>
            </w:pPr>
            <w:r w:rsidRPr="00A52AEE">
              <w:rPr>
                <w:lang w:eastAsia="en-GB"/>
              </w:rPr>
              <w:t>39%</w:t>
            </w:r>
          </w:p>
        </w:tc>
        <w:tc>
          <w:tcPr>
            <w:tcW w:w="489" w:type="pct"/>
            <w:shd w:val="clear" w:color="auto" w:fill="auto"/>
            <w:noWrap/>
            <w:vAlign w:val="center"/>
            <w:hideMark/>
          </w:tcPr>
          <w:p w14:paraId="2A90F675" w14:textId="77777777" w:rsidR="0000483F" w:rsidRPr="00A52AEE" w:rsidRDefault="0000483F" w:rsidP="009A2373">
            <w:pPr>
              <w:jc w:val="right"/>
              <w:rPr>
                <w:lang w:eastAsia="en-GB"/>
              </w:rPr>
            </w:pPr>
            <w:r w:rsidRPr="00A52AEE">
              <w:rPr>
                <w:lang w:eastAsia="en-GB"/>
              </w:rPr>
              <w:t>43%</w:t>
            </w:r>
          </w:p>
        </w:tc>
        <w:tc>
          <w:tcPr>
            <w:tcW w:w="492" w:type="pct"/>
            <w:shd w:val="clear" w:color="auto" w:fill="auto"/>
            <w:noWrap/>
            <w:vAlign w:val="center"/>
            <w:hideMark/>
          </w:tcPr>
          <w:p w14:paraId="164BAC0A" w14:textId="77777777" w:rsidR="0000483F" w:rsidRPr="00A52AEE" w:rsidRDefault="0000483F" w:rsidP="009A2373">
            <w:pPr>
              <w:jc w:val="right"/>
              <w:rPr>
                <w:lang w:eastAsia="en-GB"/>
              </w:rPr>
            </w:pPr>
            <w:r w:rsidRPr="00A52AEE">
              <w:rPr>
                <w:lang w:eastAsia="en-GB"/>
              </w:rPr>
              <w:t>38%</w:t>
            </w:r>
          </w:p>
        </w:tc>
      </w:tr>
    </w:tbl>
    <w:p w14:paraId="7E3E1C90" w14:textId="77777777" w:rsidR="0000483F" w:rsidRPr="00A52AEE" w:rsidRDefault="0000483F" w:rsidP="00A52AEE"/>
    <w:p w14:paraId="2379FF49" w14:textId="77410BFA" w:rsidR="00A34D6D" w:rsidRPr="00A52AEE" w:rsidRDefault="00CB50A9" w:rsidP="008D527A">
      <w:pPr>
        <w:pStyle w:val="Heading2"/>
      </w:pPr>
      <w:bookmarkStart w:id="124" w:name="_Toc429151340"/>
      <w:r w:rsidRPr="00A52AEE">
        <w:t>5.1</w:t>
      </w:r>
      <w:r w:rsidR="00AE2C39" w:rsidRPr="00A52AEE">
        <w:t>6</w:t>
      </w:r>
      <w:r w:rsidRPr="00A52AEE">
        <w:tab/>
      </w:r>
      <w:r w:rsidR="00F342FD">
        <w:tab/>
      </w:r>
      <w:r w:rsidR="0059233C" w:rsidRPr="00A52AEE">
        <w:t>HE progression by ethnic background and a</w:t>
      </w:r>
      <w:r w:rsidR="00A34D6D" w:rsidRPr="00A52AEE">
        <w:t>ge</w:t>
      </w:r>
      <w:bookmarkEnd w:id="124"/>
    </w:p>
    <w:p w14:paraId="29E945A4" w14:textId="74946B11" w:rsidR="00C15F96" w:rsidRPr="00A52AEE" w:rsidRDefault="00C15F96" w:rsidP="00A52AEE">
      <w:pPr>
        <w:rPr>
          <w:lang w:eastAsia="en-GB"/>
        </w:rPr>
      </w:pPr>
      <w:r w:rsidRPr="00A52AEE">
        <w:rPr>
          <w:lang w:eastAsia="en-GB"/>
        </w:rPr>
        <w:t>Two cohort</w:t>
      </w:r>
      <w:r w:rsidR="00CB50A9" w:rsidRPr="00A52AEE">
        <w:rPr>
          <w:lang w:eastAsia="en-GB"/>
        </w:rPr>
        <w:t xml:space="preserve">s of </w:t>
      </w:r>
      <w:r w:rsidR="00842186" w:rsidRPr="00A52AEE">
        <w:rPr>
          <w:lang w:eastAsia="en-GB"/>
        </w:rPr>
        <w:t>student</w:t>
      </w:r>
      <w:r w:rsidR="00CB50A9" w:rsidRPr="00A52AEE">
        <w:rPr>
          <w:lang w:eastAsia="en-GB"/>
        </w:rPr>
        <w:t>s are presented in T</w:t>
      </w:r>
      <w:r w:rsidRPr="00A52AEE">
        <w:rPr>
          <w:lang w:eastAsia="en-GB"/>
        </w:rPr>
        <w:t xml:space="preserve">able </w:t>
      </w:r>
      <w:r w:rsidR="00B03413">
        <w:rPr>
          <w:lang w:eastAsia="en-GB"/>
        </w:rPr>
        <w:t>34</w:t>
      </w:r>
      <w:r w:rsidRPr="00A52AEE">
        <w:rPr>
          <w:lang w:eastAsia="en-GB"/>
        </w:rPr>
        <w:t>, the earliest and latest tracked</w:t>
      </w:r>
      <w:r w:rsidR="00F342FD" w:rsidRPr="00F342FD">
        <w:rPr>
          <w:lang w:eastAsia="en-GB"/>
        </w:rPr>
        <w:t xml:space="preserve"> </w:t>
      </w:r>
      <w:r w:rsidR="00F342FD" w:rsidRPr="00A52AEE">
        <w:rPr>
          <w:lang w:eastAsia="en-GB"/>
        </w:rPr>
        <w:t>cohort</w:t>
      </w:r>
      <w:r w:rsidRPr="00A52AEE">
        <w:rPr>
          <w:lang w:eastAsia="en-GB"/>
        </w:rPr>
        <w:t xml:space="preserve">. By examining progression at ethnic group level and age, it can be seen that White students in </w:t>
      </w:r>
      <w:r w:rsidR="0076166E" w:rsidRPr="00A52AEE">
        <w:rPr>
          <w:lang w:eastAsia="en-GB"/>
        </w:rPr>
        <w:t>London</w:t>
      </w:r>
      <w:r w:rsidRPr="00A52AEE">
        <w:rPr>
          <w:lang w:eastAsia="en-GB"/>
        </w:rPr>
        <w:t xml:space="preserve"> colleges have lower progression rates than other ethnic groups at all age levels. </w:t>
      </w:r>
      <w:r w:rsidR="00777675" w:rsidRPr="00A52AEE">
        <w:rPr>
          <w:lang w:eastAsia="en-GB"/>
        </w:rPr>
        <w:t xml:space="preserve">In section 4, ethnic breakdowns revealed that White students were more likely to be older and studying different qualifications and subjects than </w:t>
      </w:r>
      <w:r w:rsidR="00F342FD">
        <w:rPr>
          <w:lang w:eastAsia="en-GB"/>
        </w:rPr>
        <w:t xml:space="preserve">other </w:t>
      </w:r>
      <w:r w:rsidR="00777675" w:rsidRPr="00A52AEE">
        <w:rPr>
          <w:lang w:eastAsia="en-GB"/>
        </w:rPr>
        <w:t>ethnic group</w:t>
      </w:r>
      <w:r w:rsidR="00F342FD">
        <w:rPr>
          <w:lang w:eastAsia="en-GB"/>
        </w:rPr>
        <w:t>s</w:t>
      </w:r>
      <w:r w:rsidR="00777675" w:rsidRPr="00A52AEE">
        <w:rPr>
          <w:lang w:eastAsia="en-GB"/>
        </w:rPr>
        <w:t xml:space="preserve"> and this may explain differences in patterns of progression. </w:t>
      </w:r>
      <w:r w:rsidRPr="00A52AEE">
        <w:rPr>
          <w:lang w:eastAsia="en-GB"/>
        </w:rPr>
        <w:t>Asian Bangladeshi and Indian young students have the highest rates. Meanwhile, Black students aged 25+ had the highest progression rates.</w:t>
      </w:r>
    </w:p>
    <w:p w14:paraId="62EA37D0" w14:textId="77777777" w:rsidR="005E08C9" w:rsidRDefault="005E08C9" w:rsidP="00A52AEE">
      <w:pPr>
        <w:rPr>
          <w:b/>
        </w:rPr>
      </w:pPr>
    </w:p>
    <w:p w14:paraId="415EA539" w14:textId="77777777" w:rsidR="002F1965" w:rsidRDefault="002F1965" w:rsidP="00A52AEE">
      <w:pPr>
        <w:rPr>
          <w:b/>
        </w:rPr>
      </w:pPr>
    </w:p>
    <w:p w14:paraId="324DA9DA" w14:textId="77777777" w:rsidR="002F1965" w:rsidRDefault="002F1965" w:rsidP="00A52AEE">
      <w:pPr>
        <w:rPr>
          <w:b/>
        </w:rPr>
      </w:pPr>
    </w:p>
    <w:p w14:paraId="79F2341F" w14:textId="77777777" w:rsidR="002F1965" w:rsidRDefault="002F1965" w:rsidP="00A52AEE">
      <w:pPr>
        <w:rPr>
          <w:b/>
        </w:rPr>
      </w:pPr>
    </w:p>
    <w:p w14:paraId="37A84732" w14:textId="77777777" w:rsidR="002F1965" w:rsidRDefault="002F1965" w:rsidP="00A52AEE">
      <w:pPr>
        <w:rPr>
          <w:b/>
        </w:rPr>
      </w:pPr>
    </w:p>
    <w:p w14:paraId="75D42510" w14:textId="77777777" w:rsidR="002F1965" w:rsidRDefault="002F1965" w:rsidP="00A52AEE">
      <w:pPr>
        <w:rPr>
          <w:b/>
        </w:rPr>
      </w:pPr>
    </w:p>
    <w:p w14:paraId="5E6BD2BE" w14:textId="77777777" w:rsidR="002F1965" w:rsidRDefault="002F1965" w:rsidP="00A52AEE">
      <w:pPr>
        <w:rPr>
          <w:b/>
        </w:rPr>
      </w:pPr>
    </w:p>
    <w:p w14:paraId="119F4EF6" w14:textId="4E6C1BC0" w:rsidR="00C15F96" w:rsidRPr="00F342FD" w:rsidRDefault="005E08C9" w:rsidP="00A52AEE">
      <w:pPr>
        <w:rPr>
          <w:b/>
        </w:rPr>
      </w:pPr>
      <w:r>
        <w:rPr>
          <w:b/>
        </w:rPr>
        <w:t>T</w:t>
      </w:r>
      <w:r w:rsidR="00C15F96" w:rsidRPr="00F342FD">
        <w:rPr>
          <w:b/>
        </w:rPr>
        <w:t xml:space="preserve">able </w:t>
      </w:r>
      <w:r w:rsidR="0022142D">
        <w:rPr>
          <w:b/>
        </w:rPr>
        <w:t>34</w:t>
      </w:r>
      <w:r w:rsidR="00C15F96" w:rsidRPr="00F342FD">
        <w:rPr>
          <w:b/>
        </w:rPr>
        <w:t xml:space="preserve">: Immediate HE progression by </w:t>
      </w:r>
      <w:r w:rsidR="007E698B" w:rsidRPr="00F342FD">
        <w:rPr>
          <w:b/>
        </w:rPr>
        <w:t>ethnicity and age</w:t>
      </w:r>
    </w:p>
    <w:p w14:paraId="792CB8AF" w14:textId="77777777" w:rsidR="0059233C" w:rsidRPr="00A52AEE" w:rsidRDefault="0059233C" w:rsidP="00A52AEE">
      <w:pPr>
        <w:rPr>
          <w:lang w:eastAsia="en-GB"/>
        </w:rPr>
      </w:pPr>
    </w:p>
    <w:tbl>
      <w:tblPr>
        <w:tblW w:w="5120" w:type="pct"/>
        <w:tblLayout w:type="fixed"/>
        <w:tblLook w:val="04A0" w:firstRow="1" w:lastRow="0" w:firstColumn="1" w:lastColumn="0" w:noHBand="0" w:noVBand="1"/>
      </w:tblPr>
      <w:tblGrid>
        <w:gridCol w:w="4214"/>
        <w:gridCol w:w="1034"/>
        <w:gridCol w:w="848"/>
        <w:gridCol w:w="1055"/>
        <w:gridCol w:w="942"/>
        <w:gridCol w:w="818"/>
        <w:gridCol w:w="879"/>
      </w:tblGrid>
      <w:tr w:rsidR="00CB50A9" w:rsidRPr="00F342FD" w14:paraId="3230A72A" w14:textId="77777777" w:rsidTr="0059233C">
        <w:trPr>
          <w:trHeight w:val="482"/>
          <w:tblHeader/>
        </w:trPr>
        <w:tc>
          <w:tcPr>
            <w:tcW w:w="2152" w:type="pct"/>
            <w:vMerge w:val="restart"/>
            <w:tcBorders>
              <w:top w:val="single" w:sz="8" w:space="0" w:color="auto"/>
              <w:left w:val="single" w:sz="8" w:space="0" w:color="auto"/>
              <w:bottom w:val="single" w:sz="4" w:space="0" w:color="000000"/>
              <w:right w:val="single" w:sz="8" w:space="0" w:color="auto"/>
            </w:tcBorders>
            <w:shd w:val="clear" w:color="auto" w:fill="1F4E79" w:themeFill="accent1" w:themeFillShade="80"/>
            <w:noWrap/>
            <w:vAlign w:val="center"/>
            <w:hideMark/>
          </w:tcPr>
          <w:p w14:paraId="10122309" w14:textId="77777777" w:rsidR="00A34D6D" w:rsidRPr="00F342FD" w:rsidRDefault="00A34D6D" w:rsidP="00F342FD">
            <w:pPr>
              <w:rPr>
                <w:b/>
                <w:color w:val="FFFFFF" w:themeColor="background1"/>
                <w:lang w:eastAsia="en-GB"/>
              </w:rPr>
            </w:pPr>
            <w:r w:rsidRPr="00F342FD">
              <w:rPr>
                <w:b/>
                <w:color w:val="FFFFFF" w:themeColor="background1"/>
                <w:lang w:eastAsia="en-GB"/>
              </w:rPr>
              <w:t>Ethnic Group</w:t>
            </w:r>
          </w:p>
        </w:tc>
        <w:tc>
          <w:tcPr>
            <w:tcW w:w="1500" w:type="pct"/>
            <w:gridSpan w:val="3"/>
            <w:tcBorders>
              <w:top w:val="single" w:sz="8" w:space="0" w:color="auto"/>
              <w:left w:val="nil"/>
              <w:bottom w:val="single" w:sz="4" w:space="0" w:color="auto"/>
              <w:right w:val="single" w:sz="8" w:space="0" w:color="000000"/>
            </w:tcBorders>
            <w:shd w:val="clear" w:color="auto" w:fill="1F4E79" w:themeFill="accent1" w:themeFillShade="80"/>
            <w:noWrap/>
            <w:vAlign w:val="center"/>
            <w:hideMark/>
          </w:tcPr>
          <w:p w14:paraId="22D6DAD3" w14:textId="77777777" w:rsidR="00A34D6D" w:rsidRPr="00F342FD" w:rsidRDefault="00A34D6D" w:rsidP="00F342FD">
            <w:pPr>
              <w:jc w:val="center"/>
              <w:rPr>
                <w:b/>
                <w:color w:val="FFFFFF" w:themeColor="background1"/>
                <w:lang w:eastAsia="en-GB"/>
              </w:rPr>
            </w:pPr>
            <w:r w:rsidRPr="00F342FD">
              <w:rPr>
                <w:b/>
                <w:color w:val="FFFFFF" w:themeColor="background1"/>
                <w:lang w:eastAsia="en-GB"/>
              </w:rPr>
              <w:t>2007-08</w:t>
            </w:r>
          </w:p>
        </w:tc>
        <w:tc>
          <w:tcPr>
            <w:tcW w:w="1348" w:type="pct"/>
            <w:gridSpan w:val="3"/>
            <w:tcBorders>
              <w:top w:val="single" w:sz="8" w:space="0" w:color="auto"/>
              <w:left w:val="nil"/>
              <w:bottom w:val="single" w:sz="4" w:space="0" w:color="auto"/>
              <w:right w:val="single" w:sz="8" w:space="0" w:color="000000"/>
            </w:tcBorders>
            <w:shd w:val="clear" w:color="auto" w:fill="1F4E79" w:themeFill="accent1" w:themeFillShade="80"/>
            <w:noWrap/>
            <w:vAlign w:val="center"/>
            <w:hideMark/>
          </w:tcPr>
          <w:p w14:paraId="2795A03A" w14:textId="77777777" w:rsidR="00A34D6D" w:rsidRPr="00F342FD" w:rsidRDefault="00A34D6D" w:rsidP="00F342FD">
            <w:pPr>
              <w:jc w:val="center"/>
              <w:rPr>
                <w:b/>
                <w:color w:val="FFFFFF" w:themeColor="background1"/>
                <w:lang w:eastAsia="en-GB"/>
              </w:rPr>
            </w:pPr>
            <w:r w:rsidRPr="00F342FD">
              <w:rPr>
                <w:b/>
                <w:color w:val="FFFFFF" w:themeColor="background1"/>
                <w:lang w:eastAsia="en-GB"/>
              </w:rPr>
              <w:t>2011-12</w:t>
            </w:r>
          </w:p>
        </w:tc>
      </w:tr>
      <w:tr w:rsidR="00CB50A9" w:rsidRPr="00F342FD" w14:paraId="72034745" w14:textId="77777777" w:rsidTr="003E1556">
        <w:trPr>
          <w:trHeight w:val="556"/>
          <w:tblHeader/>
        </w:trPr>
        <w:tc>
          <w:tcPr>
            <w:tcW w:w="2152" w:type="pct"/>
            <w:vMerge/>
            <w:tcBorders>
              <w:top w:val="single" w:sz="8" w:space="0" w:color="auto"/>
              <w:left w:val="single" w:sz="8" w:space="0" w:color="auto"/>
              <w:bottom w:val="single" w:sz="4" w:space="0" w:color="000000"/>
              <w:right w:val="single" w:sz="8" w:space="0" w:color="auto"/>
            </w:tcBorders>
            <w:shd w:val="clear" w:color="auto" w:fill="1F4E79" w:themeFill="accent1" w:themeFillShade="80"/>
            <w:vAlign w:val="center"/>
            <w:hideMark/>
          </w:tcPr>
          <w:p w14:paraId="0F89C4C9" w14:textId="77777777" w:rsidR="008957CE" w:rsidRPr="00F342FD" w:rsidRDefault="008957CE" w:rsidP="00F342FD">
            <w:pPr>
              <w:jc w:val="center"/>
              <w:rPr>
                <w:b/>
                <w:color w:val="FFFFFF" w:themeColor="background1"/>
                <w:lang w:eastAsia="en-GB"/>
              </w:rPr>
            </w:pPr>
          </w:p>
        </w:tc>
        <w:tc>
          <w:tcPr>
            <w:tcW w:w="528" w:type="pct"/>
            <w:tcBorders>
              <w:top w:val="nil"/>
              <w:left w:val="nil"/>
              <w:bottom w:val="single" w:sz="4" w:space="0" w:color="auto"/>
              <w:right w:val="single" w:sz="4" w:space="0" w:color="auto"/>
            </w:tcBorders>
            <w:shd w:val="clear" w:color="auto" w:fill="1F4E79" w:themeFill="accent1" w:themeFillShade="80"/>
            <w:noWrap/>
            <w:vAlign w:val="center"/>
            <w:hideMark/>
          </w:tcPr>
          <w:p w14:paraId="334F1448" w14:textId="32B02D3B" w:rsidR="008957CE" w:rsidRPr="00F342FD" w:rsidRDefault="005175E4" w:rsidP="00F342FD">
            <w:pPr>
              <w:jc w:val="center"/>
              <w:rPr>
                <w:b/>
                <w:color w:val="FFFFFF" w:themeColor="background1"/>
                <w:lang w:eastAsia="en-GB"/>
              </w:rPr>
            </w:pPr>
            <w:r w:rsidRPr="00F342FD">
              <w:rPr>
                <w:b/>
                <w:color w:val="FFFFFF" w:themeColor="background1"/>
                <w:lang w:eastAsia="en-GB"/>
              </w:rPr>
              <w:t>17-19</w:t>
            </w:r>
          </w:p>
        </w:tc>
        <w:tc>
          <w:tcPr>
            <w:tcW w:w="433" w:type="pct"/>
            <w:tcBorders>
              <w:top w:val="nil"/>
              <w:left w:val="nil"/>
              <w:bottom w:val="single" w:sz="4" w:space="0" w:color="auto"/>
              <w:right w:val="single" w:sz="4" w:space="0" w:color="auto"/>
            </w:tcBorders>
            <w:shd w:val="clear" w:color="auto" w:fill="1F4E79" w:themeFill="accent1" w:themeFillShade="80"/>
            <w:noWrap/>
            <w:vAlign w:val="center"/>
            <w:hideMark/>
          </w:tcPr>
          <w:p w14:paraId="7BC9F002" w14:textId="24D339BB" w:rsidR="008957CE" w:rsidRPr="00F342FD" w:rsidRDefault="008957CE" w:rsidP="00F342FD">
            <w:pPr>
              <w:jc w:val="center"/>
              <w:rPr>
                <w:b/>
                <w:color w:val="FFFFFF" w:themeColor="background1"/>
                <w:lang w:eastAsia="en-GB"/>
              </w:rPr>
            </w:pPr>
            <w:r w:rsidRPr="00F342FD">
              <w:rPr>
                <w:b/>
                <w:color w:val="FFFFFF" w:themeColor="background1"/>
                <w:lang w:eastAsia="en-GB"/>
              </w:rPr>
              <w:t>20-24</w:t>
            </w:r>
          </w:p>
        </w:tc>
        <w:tc>
          <w:tcPr>
            <w:tcW w:w="539" w:type="pct"/>
            <w:tcBorders>
              <w:top w:val="nil"/>
              <w:left w:val="nil"/>
              <w:bottom w:val="single" w:sz="4" w:space="0" w:color="auto"/>
              <w:right w:val="single" w:sz="8" w:space="0" w:color="auto"/>
            </w:tcBorders>
            <w:shd w:val="clear" w:color="auto" w:fill="1F4E79" w:themeFill="accent1" w:themeFillShade="80"/>
            <w:noWrap/>
            <w:vAlign w:val="center"/>
            <w:hideMark/>
          </w:tcPr>
          <w:p w14:paraId="0D098579" w14:textId="565A8EED" w:rsidR="008957CE" w:rsidRPr="00F342FD" w:rsidRDefault="008957CE" w:rsidP="00F342FD">
            <w:pPr>
              <w:jc w:val="center"/>
              <w:rPr>
                <w:b/>
                <w:color w:val="FFFFFF" w:themeColor="background1"/>
                <w:lang w:eastAsia="en-GB"/>
              </w:rPr>
            </w:pPr>
            <w:r w:rsidRPr="00F342FD">
              <w:rPr>
                <w:b/>
                <w:color w:val="FFFFFF" w:themeColor="background1"/>
                <w:lang w:eastAsia="en-GB"/>
              </w:rPr>
              <w:t>25+</w:t>
            </w:r>
          </w:p>
        </w:tc>
        <w:tc>
          <w:tcPr>
            <w:tcW w:w="481" w:type="pct"/>
            <w:tcBorders>
              <w:top w:val="nil"/>
              <w:left w:val="nil"/>
              <w:bottom w:val="single" w:sz="4" w:space="0" w:color="auto"/>
              <w:right w:val="single" w:sz="4" w:space="0" w:color="auto"/>
            </w:tcBorders>
            <w:shd w:val="clear" w:color="auto" w:fill="1F4E79" w:themeFill="accent1" w:themeFillShade="80"/>
            <w:noWrap/>
            <w:vAlign w:val="center"/>
            <w:hideMark/>
          </w:tcPr>
          <w:p w14:paraId="41523977" w14:textId="16F99D13" w:rsidR="008957CE" w:rsidRPr="00F342FD" w:rsidRDefault="005175E4" w:rsidP="00F342FD">
            <w:pPr>
              <w:jc w:val="center"/>
              <w:rPr>
                <w:b/>
                <w:color w:val="FFFFFF" w:themeColor="background1"/>
                <w:lang w:eastAsia="en-GB"/>
              </w:rPr>
            </w:pPr>
            <w:r w:rsidRPr="00F342FD">
              <w:rPr>
                <w:b/>
                <w:color w:val="FFFFFF" w:themeColor="background1"/>
                <w:lang w:eastAsia="en-GB"/>
              </w:rPr>
              <w:t>17-19</w:t>
            </w:r>
          </w:p>
        </w:tc>
        <w:tc>
          <w:tcPr>
            <w:tcW w:w="418" w:type="pct"/>
            <w:tcBorders>
              <w:top w:val="nil"/>
              <w:left w:val="nil"/>
              <w:bottom w:val="single" w:sz="4" w:space="0" w:color="auto"/>
              <w:right w:val="single" w:sz="4" w:space="0" w:color="auto"/>
            </w:tcBorders>
            <w:shd w:val="clear" w:color="auto" w:fill="1F4E79" w:themeFill="accent1" w:themeFillShade="80"/>
            <w:noWrap/>
            <w:vAlign w:val="center"/>
            <w:hideMark/>
          </w:tcPr>
          <w:p w14:paraId="0A736127" w14:textId="6B2A0BB0" w:rsidR="008957CE" w:rsidRPr="00F342FD" w:rsidRDefault="008957CE" w:rsidP="00F342FD">
            <w:pPr>
              <w:jc w:val="center"/>
              <w:rPr>
                <w:b/>
                <w:color w:val="FFFFFF" w:themeColor="background1"/>
                <w:lang w:eastAsia="en-GB"/>
              </w:rPr>
            </w:pPr>
            <w:r w:rsidRPr="00F342FD">
              <w:rPr>
                <w:b/>
                <w:color w:val="FFFFFF" w:themeColor="background1"/>
                <w:lang w:eastAsia="en-GB"/>
              </w:rPr>
              <w:t>20-24</w:t>
            </w:r>
          </w:p>
        </w:tc>
        <w:tc>
          <w:tcPr>
            <w:tcW w:w="449" w:type="pct"/>
            <w:tcBorders>
              <w:top w:val="nil"/>
              <w:left w:val="nil"/>
              <w:bottom w:val="single" w:sz="4" w:space="0" w:color="auto"/>
              <w:right w:val="single" w:sz="8" w:space="0" w:color="auto"/>
            </w:tcBorders>
            <w:shd w:val="clear" w:color="auto" w:fill="1F4E79" w:themeFill="accent1" w:themeFillShade="80"/>
            <w:noWrap/>
            <w:vAlign w:val="center"/>
            <w:hideMark/>
          </w:tcPr>
          <w:p w14:paraId="0762BD42" w14:textId="470F46DD" w:rsidR="008957CE" w:rsidRPr="00F342FD" w:rsidRDefault="008957CE" w:rsidP="00F342FD">
            <w:pPr>
              <w:jc w:val="center"/>
              <w:rPr>
                <w:b/>
                <w:color w:val="FFFFFF" w:themeColor="background1"/>
                <w:lang w:eastAsia="en-GB"/>
              </w:rPr>
            </w:pPr>
            <w:r w:rsidRPr="00F342FD">
              <w:rPr>
                <w:b/>
                <w:color w:val="FFFFFF" w:themeColor="background1"/>
                <w:lang w:eastAsia="en-GB"/>
              </w:rPr>
              <w:t>25+</w:t>
            </w:r>
          </w:p>
        </w:tc>
      </w:tr>
      <w:tr w:rsidR="00A34D6D" w:rsidRPr="00A52AEE" w14:paraId="5A0F4D4E"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02D2080C" w14:textId="77777777" w:rsidR="00A34D6D" w:rsidRPr="00A52AEE" w:rsidRDefault="00A34D6D" w:rsidP="00A52AEE">
            <w:pPr>
              <w:rPr>
                <w:lang w:eastAsia="en-GB"/>
              </w:rPr>
            </w:pPr>
            <w:r w:rsidRPr="00A52AEE">
              <w:rPr>
                <w:lang w:eastAsia="en-GB"/>
              </w:rPr>
              <w:t>Asian or Asian British - any other Asian background</w:t>
            </w:r>
          </w:p>
        </w:tc>
        <w:tc>
          <w:tcPr>
            <w:tcW w:w="528" w:type="pct"/>
            <w:tcBorders>
              <w:top w:val="nil"/>
              <w:left w:val="nil"/>
              <w:bottom w:val="single" w:sz="4" w:space="0" w:color="auto"/>
              <w:right w:val="single" w:sz="4" w:space="0" w:color="auto"/>
            </w:tcBorders>
            <w:shd w:val="clear" w:color="auto" w:fill="auto"/>
            <w:noWrap/>
            <w:vAlign w:val="bottom"/>
            <w:hideMark/>
          </w:tcPr>
          <w:p w14:paraId="4E8B7014" w14:textId="77777777" w:rsidR="00A34D6D" w:rsidRPr="00A52AEE" w:rsidRDefault="00A34D6D" w:rsidP="009A2373">
            <w:pPr>
              <w:jc w:val="right"/>
              <w:rPr>
                <w:lang w:eastAsia="en-GB"/>
              </w:rPr>
            </w:pPr>
            <w:r w:rsidRPr="00A52AEE">
              <w:rPr>
                <w:lang w:eastAsia="en-GB"/>
              </w:rPr>
              <w:t>70%</w:t>
            </w:r>
          </w:p>
        </w:tc>
        <w:tc>
          <w:tcPr>
            <w:tcW w:w="433" w:type="pct"/>
            <w:tcBorders>
              <w:top w:val="nil"/>
              <w:left w:val="nil"/>
              <w:bottom w:val="single" w:sz="4" w:space="0" w:color="auto"/>
              <w:right w:val="single" w:sz="4" w:space="0" w:color="auto"/>
            </w:tcBorders>
            <w:shd w:val="clear" w:color="auto" w:fill="auto"/>
            <w:noWrap/>
            <w:vAlign w:val="bottom"/>
            <w:hideMark/>
          </w:tcPr>
          <w:p w14:paraId="56578031" w14:textId="77777777" w:rsidR="00A34D6D" w:rsidRPr="00A52AEE" w:rsidRDefault="00A34D6D" w:rsidP="009A2373">
            <w:pPr>
              <w:jc w:val="right"/>
              <w:rPr>
                <w:lang w:eastAsia="en-GB"/>
              </w:rPr>
            </w:pPr>
            <w:r w:rsidRPr="00A52AEE">
              <w:rPr>
                <w:lang w:eastAsia="en-GB"/>
              </w:rPr>
              <w:t>56%</w:t>
            </w:r>
          </w:p>
        </w:tc>
        <w:tc>
          <w:tcPr>
            <w:tcW w:w="539" w:type="pct"/>
            <w:tcBorders>
              <w:top w:val="nil"/>
              <w:left w:val="nil"/>
              <w:bottom w:val="single" w:sz="4" w:space="0" w:color="auto"/>
              <w:right w:val="single" w:sz="8" w:space="0" w:color="auto"/>
            </w:tcBorders>
            <w:shd w:val="clear" w:color="auto" w:fill="auto"/>
            <w:noWrap/>
            <w:vAlign w:val="bottom"/>
            <w:hideMark/>
          </w:tcPr>
          <w:p w14:paraId="75DDA8DF" w14:textId="77777777" w:rsidR="00A34D6D" w:rsidRPr="00A52AEE" w:rsidRDefault="00A34D6D" w:rsidP="009A2373">
            <w:pPr>
              <w:jc w:val="right"/>
              <w:rPr>
                <w:lang w:eastAsia="en-GB"/>
              </w:rPr>
            </w:pPr>
            <w:r w:rsidRPr="00A52AEE">
              <w:rPr>
                <w:lang w:eastAsia="en-GB"/>
              </w:rPr>
              <w:t>16%</w:t>
            </w:r>
          </w:p>
        </w:tc>
        <w:tc>
          <w:tcPr>
            <w:tcW w:w="481" w:type="pct"/>
            <w:tcBorders>
              <w:top w:val="nil"/>
              <w:left w:val="nil"/>
              <w:bottom w:val="single" w:sz="4" w:space="0" w:color="auto"/>
              <w:right w:val="single" w:sz="4" w:space="0" w:color="auto"/>
            </w:tcBorders>
            <w:shd w:val="clear" w:color="auto" w:fill="auto"/>
            <w:noWrap/>
            <w:vAlign w:val="bottom"/>
            <w:hideMark/>
          </w:tcPr>
          <w:p w14:paraId="53A46161" w14:textId="77777777" w:rsidR="00A34D6D" w:rsidRPr="00A52AEE" w:rsidRDefault="00A34D6D" w:rsidP="009A2373">
            <w:pPr>
              <w:jc w:val="right"/>
              <w:rPr>
                <w:lang w:eastAsia="en-GB"/>
              </w:rPr>
            </w:pPr>
            <w:r w:rsidRPr="00A52AEE">
              <w:rPr>
                <w:lang w:eastAsia="en-GB"/>
              </w:rPr>
              <w:t>51%</w:t>
            </w:r>
          </w:p>
        </w:tc>
        <w:tc>
          <w:tcPr>
            <w:tcW w:w="418" w:type="pct"/>
            <w:tcBorders>
              <w:top w:val="nil"/>
              <w:left w:val="nil"/>
              <w:bottom w:val="single" w:sz="4" w:space="0" w:color="auto"/>
              <w:right w:val="single" w:sz="4" w:space="0" w:color="auto"/>
            </w:tcBorders>
            <w:shd w:val="clear" w:color="auto" w:fill="auto"/>
            <w:noWrap/>
            <w:vAlign w:val="bottom"/>
            <w:hideMark/>
          </w:tcPr>
          <w:p w14:paraId="6438B581" w14:textId="77777777" w:rsidR="00A34D6D" w:rsidRPr="00A52AEE" w:rsidRDefault="00A34D6D" w:rsidP="009A2373">
            <w:pPr>
              <w:jc w:val="right"/>
              <w:rPr>
                <w:lang w:eastAsia="en-GB"/>
              </w:rPr>
            </w:pPr>
            <w:r w:rsidRPr="00A52AEE">
              <w:rPr>
                <w:lang w:eastAsia="en-GB"/>
              </w:rPr>
              <w:t>46%</w:t>
            </w:r>
          </w:p>
        </w:tc>
        <w:tc>
          <w:tcPr>
            <w:tcW w:w="449" w:type="pct"/>
            <w:tcBorders>
              <w:top w:val="nil"/>
              <w:left w:val="nil"/>
              <w:bottom w:val="single" w:sz="4" w:space="0" w:color="auto"/>
              <w:right w:val="single" w:sz="8" w:space="0" w:color="auto"/>
            </w:tcBorders>
            <w:shd w:val="clear" w:color="auto" w:fill="auto"/>
            <w:noWrap/>
            <w:vAlign w:val="bottom"/>
            <w:hideMark/>
          </w:tcPr>
          <w:p w14:paraId="6E980BF3" w14:textId="77777777" w:rsidR="00A34D6D" w:rsidRPr="00A52AEE" w:rsidRDefault="00A34D6D" w:rsidP="009A2373">
            <w:pPr>
              <w:jc w:val="right"/>
              <w:rPr>
                <w:lang w:eastAsia="en-GB"/>
              </w:rPr>
            </w:pPr>
            <w:r w:rsidRPr="00A52AEE">
              <w:rPr>
                <w:lang w:eastAsia="en-GB"/>
              </w:rPr>
              <w:t>26%</w:t>
            </w:r>
          </w:p>
        </w:tc>
      </w:tr>
      <w:tr w:rsidR="00A34D6D" w:rsidRPr="00A52AEE" w14:paraId="261D0BB9"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1815960F" w14:textId="77777777" w:rsidR="00A34D6D" w:rsidRPr="00A52AEE" w:rsidRDefault="00A34D6D" w:rsidP="00A52AEE">
            <w:pPr>
              <w:rPr>
                <w:lang w:eastAsia="en-GB"/>
              </w:rPr>
            </w:pPr>
            <w:r w:rsidRPr="00A52AEE">
              <w:rPr>
                <w:lang w:eastAsia="en-GB"/>
              </w:rPr>
              <w:t>Asian or Asian British –Bangladeshi</w:t>
            </w:r>
          </w:p>
        </w:tc>
        <w:tc>
          <w:tcPr>
            <w:tcW w:w="528" w:type="pct"/>
            <w:tcBorders>
              <w:top w:val="nil"/>
              <w:left w:val="nil"/>
              <w:bottom w:val="single" w:sz="4" w:space="0" w:color="auto"/>
              <w:right w:val="single" w:sz="4" w:space="0" w:color="auto"/>
            </w:tcBorders>
            <w:shd w:val="clear" w:color="auto" w:fill="auto"/>
            <w:noWrap/>
            <w:vAlign w:val="bottom"/>
            <w:hideMark/>
          </w:tcPr>
          <w:p w14:paraId="0F2A866F" w14:textId="77777777" w:rsidR="00A34D6D" w:rsidRPr="00A52AEE" w:rsidRDefault="00A34D6D" w:rsidP="009A2373">
            <w:pPr>
              <w:jc w:val="right"/>
              <w:rPr>
                <w:lang w:eastAsia="en-GB"/>
              </w:rPr>
            </w:pPr>
            <w:r w:rsidRPr="00A52AEE">
              <w:rPr>
                <w:lang w:eastAsia="en-GB"/>
              </w:rPr>
              <w:t>79%</w:t>
            </w:r>
          </w:p>
        </w:tc>
        <w:tc>
          <w:tcPr>
            <w:tcW w:w="433" w:type="pct"/>
            <w:tcBorders>
              <w:top w:val="nil"/>
              <w:left w:val="nil"/>
              <w:bottom w:val="single" w:sz="4" w:space="0" w:color="auto"/>
              <w:right w:val="single" w:sz="4" w:space="0" w:color="auto"/>
            </w:tcBorders>
            <w:shd w:val="clear" w:color="auto" w:fill="auto"/>
            <w:noWrap/>
            <w:vAlign w:val="bottom"/>
            <w:hideMark/>
          </w:tcPr>
          <w:p w14:paraId="6D7400A7" w14:textId="77777777" w:rsidR="00A34D6D" w:rsidRPr="00A52AEE" w:rsidRDefault="00A34D6D" w:rsidP="009A2373">
            <w:pPr>
              <w:jc w:val="right"/>
              <w:rPr>
                <w:lang w:eastAsia="en-GB"/>
              </w:rPr>
            </w:pPr>
            <w:r w:rsidRPr="00A52AEE">
              <w:rPr>
                <w:lang w:eastAsia="en-GB"/>
              </w:rPr>
              <w:t>40%</w:t>
            </w:r>
          </w:p>
        </w:tc>
        <w:tc>
          <w:tcPr>
            <w:tcW w:w="539" w:type="pct"/>
            <w:tcBorders>
              <w:top w:val="nil"/>
              <w:left w:val="nil"/>
              <w:bottom w:val="single" w:sz="4" w:space="0" w:color="auto"/>
              <w:right w:val="single" w:sz="8" w:space="0" w:color="auto"/>
            </w:tcBorders>
            <w:shd w:val="clear" w:color="auto" w:fill="auto"/>
            <w:noWrap/>
            <w:vAlign w:val="bottom"/>
            <w:hideMark/>
          </w:tcPr>
          <w:p w14:paraId="1649E694" w14:textId="77777777" w:rsidR="00A34D6D" w:rsidRPr="00A52AEE" w:rsidRDefault="00A34D6D" w:rsidP="009A2373">
            <w:pPr>
              <w:jc w:val="right"/>
              <w:rPr>
                <w:lang w:eastAsia="en-GB"/>
              </w:rPr>
            </w:pPr>
            <w:r w:rsidRPr="00A52AEE">
              <w:rPr>
                <w:lang w:eastAsia="en-GB"/>
              </w:rPr>
              <w:t>20%</w:t>
            </w:r>
          </w:p>
        </w:tc>
        <w:tc>
          <w:tcPr>
            <w:tcW w:w="481" w:type="pct"/>
            <w:tcBorders>
              <w:top w:val="nil"/>
              <w:left w:val="nil"/>
              <w:bottom w:val="single" w:sz="4" w:space="0" w:color="auto"/>
              <w:right w:val="single" w:sz="4" w:space="0" w:color="auto"/>
            </w:tcBorders>
            <w:shd w:val="clear" w:color="auto" w:fill="auto"/>
            <w:noWrap/>
            <w:vAlign w:val="bottom"/>
            <w:hideMark/>
          </w:tcPr>
          <w:p w14:paraId="2C1F826D" w14:textId="77777777" w:rsidR="00A34D6D" w:rsidRPr="00A52AEE" w:rsidRDefault="00A34D6D" w:rsidP="009A2373">
            <w:pPr>
              <w:jc w:val="right"/>
              <w:rPr>
                <w:lang w:eastAsia="en-GB"/>
              </w:rPr>
            </w:pPr>
            <w:r w:rsidRPr="00A52AEE">
              <w:rPr>
                <w:lang w:eastAsia="en-GB"/>
              </w:rPr>
              <w:t>56%</w:t>
            </w:r>
          </w:p>
        </w:tc>
        <w:tc>
          <w:tcPr>
            <w:tcW w:w="418" w:type="pct"/>
            <w:tcBorders>
              <w:top w:val="nil"/>
              <w:left w:val="nil"/>
              <w:bottom w:val="single" w:sz="4" w:space="0" w:color="auto"/>
              <w:right w:val="single" w:sz="4" w:space="0" w:color="auto"/>
            </w:tcBorders>
            <w:shd w:val="clear" w:color="auto" w:fill="auto"/>
            <w:noWrap/>
            <w:vAlign w:val="bottom"/>
            <w:hideMark/>
          </w:tcPr>
          <w:p w14:paraId="4FDB4E16" w14:textId="77777777" w:rsidR="00A34D6D" w:rsidRPr="00A52AEE" w:rsidRDefault="00A34D6D" w:rsidP="009A2373">
            <w:pPr>
              <w:jc w:val="right"/>
              <w:rPr>
                <w:lang w:eastAsia="en-GB"/>
              </w:rPr>
            </w:pPr>
            <w:r w:rsidRPr="00A52AEE">
              <w:rPr>
                <w:lang w:eastAsia="en-GB"/>
              </w:rPr>
              <w:t>35%</w:t>
            </w:r>
          </w:p>
        </w:tc>
        <w:tc>
          <w:tcPr>
            <w:tcW w:w="449" w:type="pct"/>
            <w:tcBorders>
              <w:top w:val="nil"/>
              <w:left w:val="nil"/>
              <w:bottom w:val="single" w:sz="4" w:space="0" w:color="auto"/>
              <w:right w:val="single" w:sz="8" w:space="0" w:color="auto"/>
            </w:tcBorders>
            <w:shd w:val="clear" w:color="auto" w:fill="auto"/>
            <w:noWrap/>
            <w:vAlign w:val="bottom"/>
            <w:hideMark/>
          </w:tcPr>
          <w:p w14:paraId="2B4F8E91" w14:textId="77777777" w:rsidR="00A34D6D" w:rsidRPr="00A52AEE" w:rsidRDefault="00A34D6D" w:rsidP="009A2373">
            <w:pPr>
              <w:jc w:val="right"/>
              <w:rPr>
                <w:lang w:eastAsia="en-GB"/>
              </w:rPr>
            </w:pPr>
            <w:r w:rsidRPr="00A52AEE">
              <w:rPr>
                <w:lang w:eastAsia="en-GB"/>
              </w:rPr>
              <w:t>22%</w:t>
            </w:r>
          </w:p>
        </w:tc>
      </w:tr>
      <w:tr w:rsidR="00A34D6D" w:rsidRPr="00A52AEE" w14:paraId="2900F289"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435770C7" w14:textId="77777777" w:rsidR="00A34D6D" w:rsidRPr="00A52AEE" w:rsidRDefault="00A34D6D" w:rsidP="00A52AEE">
            <w:pPr>
              <w:rPr>
                <w:lang w:eastAsia="en-GB"/>
              </w:rPr>
            </w:pPr>
            <w:r w:rsidRPr="00A52AEE">
              <w:rPr>
                <w:lang w:eastAsia="en-GB"/>
              </w:rPr>
              <w:t>Asian or Asian British –Indian</w:t>
            </w:r>
          </w:p>
        </w:tc>
        <w:tc>
          <w:tcPr>
            <w:tcW w:w="528" w:type="pct"/>
            <w:tcBorders>
              <w:top w:val="nil"/>
              <w:left w:val="nil"/>
              <w:bottom w:val="single" w:sz="4" w:space="0" w:color="auto"/>
              <w:right w:val="single" w:sz="4" w:space="0" w:color="auto"/>
            </w:tcBorders>
            <w:shd w:val="clear" w:color="auto" w:fill="auto"/>
            <w:noWrap/>
            <w:vAlign w:val="bottom"/>
            <w:hideMark/>
          </w:tcPr>
          <w:p w14:paraId="0C8E6175" w14:textId="77777777" w:rsidR="00A34D6D" w:rsidRPr="00A52AEE" w:rsidRDefault="00A34D6D" w:rsidP="009A2373">
            <w:pPr>
              <w:jc w:val="right"/>
              <w:rPr>
                <w:lang w:eastAsia="en-GB"/>
              </w:rPr>
            </w:pPr>
            <w:r w:rsidRPr="00A52AEE">
              <w:rPr>
                <w:lang w:eastAsia="en-GB"/>
              </w:rPr>
              <w:t>76%</w:t>
            </w:r>
          </w:p>
        </w:tc>
        <w:tc>
          <w:tcPr>
            <w:tcW w:w="433" w:type="pct"/>
            <w:tcBorders>
              <w:top w:val="nil"/>
              <w:left w:val="nil"/>
              <w:bottom w:val="single" w:sz="4" w:space="0" w:color="auto"/>
              <w:right w:val="single" w:sz="4" w:space="0" w:color="auto"/>
            </w:tcBorders>
            <w:shd w:val="clear" w:color="auto" w:fill="auto"/>
            <w:noWrap/>
            <w:vAlign w:val="bottom"/>
            <w:hideMark/>
          </w:tcPr>
          <w:p w14:paraId="4D3D6CD7" w14:textId="77777777" w:rsidR="00A34D6D" w:rsidRPr="00A52AEE" w:rsidRDefault="00A34D6D" w:rsidP="009A2373">
            <w:pPr>
              <w:jc w:val="right"/>
              <w:rPr>
                <w:lang w:eastAsia="en-GB"/>
              </w:rPr>
            </w:pPr>
            <w:r w:rsidRPr="00A52AEE">
              <w:rPr>
                <w:lang w:eastAsia="en-GB"/>
              </w:rPr>
              <w:t>37%</w:t>
            </w:r>
          </w:p>
        </w:tc>
        <w:tc>
          <w:tcPr>
            <w:tcW w:w="539" w:type="pct"/>
            <w:tcBorders>
              <w:top w:val="nil"/>
              <w:left w:val="nil"/>
              <w:bottom w:val="single" w:sz="4" w:space="0" w:color="auto"/>
              <w:right w:val="single" w:sz="8" w:space="0" w:color="auto"/>
            </w:tcBorders>
            <w:shd w:val="clear" w:color="auto" w:fill="auto"/>
            <w:noWrap/>
            <w:vAlign w:val="bottom"/>
            <w:hideMark/>
          </w:tcPr>
          <w:p w14:paraId="48855BCE" w14:textId="77777777" w:rsidR="00A34D6D" w:rsidRPr="00A52AEE" w:rsidRDefault="00A34D6D" w:rsidP="009A2373">
            <w:pPr>
              <w:jc w:val="right"/>
              <w:rPr>
                <w:lang w:eastAsia="en-GB"/>
              </w:rPr>
            </w:pPr>
            <w:r w:rsidRPr="00A52AEE">
              <w:rPr>
                <w:lang w:eastAsia="en-GB"/>
              </w:rPr>
              <w:t>8%</w:t>
            </w:r>
          </w:p>
        </w:tc>
        <w:tc>
          <w:tcPr>
            <w:tcW w:w="481" w:type="pct"/>
            <w:tcBorders>
              <w:top w:val="nil"/>
              <w:left w:val="nil"/>
              <w:bottom w:val="single" w:sz="4" w:space="0" w:color="auto"/>
              <w:right w:val="single" w:sz="4" w:space="0" w:color="auto"/>
            </w:tcBorders>
            <w:shd w:val="clear" w:color="auto" w:fill="auto"/>
            <w:noWrap/>
            <w:vAlign w:val="bottom"/>
            <w:hideMark/>
          </w:tcPr>
          <w:p w14:paraId="3F1FD6A9" w14:textId="77777777" w:rsidR="00A34D6D" w:rsidRPr="00A52AEE" w:rsidRDefault="00A34D6D" w:rsidP="009A2373">
            <w:pPr>
              <w:jc w:val="right"/>
              <w:rPr>
                <w:lang w:eastAsia="en-GB"/>
              </w:rPr>
            </w:pPr>
            <w:r w:rsidRPr="00A52AEE">
              <w:rPr>
                <w:lang w:eastAsia="en-GB"/>
              </w:rPr>
              <w:t>60%</w:t>
            </w:r>
          </w:p>
        </w:tc>
        <w:tc>
          <w:tcPr>
            <w:tcW w:w="418" w:type="pct"/>
            <w:tcBorders>
              <w:top w:val="nil"/>
              <w:left w:val="nil"/>
              <w:bottom w:val="single" w:sz="4" w:space="0" w:color="auto"/>
              <w:right w:val="single" w:sz="4" w:space="0" w:color="auto"/>
            </w:tcBorders>
            <w:shd w:val="clear" w:color="auto" w:fill="auto"/>
            <w:noWrap/>
            <w:vAlign w:val="bottom"/>
            <w:hideMark/>
          </w:tcPr>
          <w:p w14:paraId="437AEFA8" w14:textId="77777777" w:rsidR="00A34D6D" w:rsidRPr="00A52AEE" w:rsidRDefault="00A34D6D" w:rsidP="009A2373">
            <w:pPr>
              <w:jc w:val="right"/>
              <w:rPr>
                <w:lang w:eastAsia="en-GB"/>
              </w:rPr>
            </w:pPr>
            <w:r w:rsidRPr="00A52AEE">
              <w:rPr>
                <w:lang w:eastAsia="en-GB"/>
              </w:rPr>
              <w:t>44%</w:t>
            </w:r>
          </w:p>
        </w:tc>
        <w:tc>
          <w:tcPr>
            <w:tcW w:w="449" w:type="pct"/>
            <w:tcBorders>
              <w:top w:val="nil"/>
              <w:left w:val="nil"/>
              <w:bottom w:val="single" w:sz="4" w:space="0" w:color="auto"/>
              <w:right w:val="single" w:sz="8" w:space="0" w:color="auto"/>
            </w:tcBorders>
            <w:shd w:val="clear" w:color="auto" w:fill="auto"/>
            <w:noWrap/>
            <w:vAlign w:val="bottom"/>
            <w:hideMark/>
          </w:tcPr>
          <w:p w14:paraId="5E48C6D6" w14:textId="77777777" w:rsidR="00A34D6D" w:rsidRPr="00A52AEE" w:rsidRDefault="00A34D6D" w:rsidP="009A2373">
            <w:pPr>
              <w:jc w:val="right"/>
              <w:rPr>
                <w:lang w:eastAsia="en-GB"/>
              </w:rPr>
            </w:pPr>
            <w:r w:rsidRPr="00A52AEE">
              <w:rPr>
                <w:lang w:eastAsia="en-GB"/>
              </w:rPr>
              <w:t>19%</w:t>
            </w:r>
          </w:p>
        </w:tc>
      </w:tr>
      <w:tr w:rsidR="00A34D6D" w:rsidRPr="00A52AEE" w14:paraId="4FCD3DCF"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24652FBD" w14:textId="77777777" w:rsidR="00A34D6D" w:rsidRPr="00A52AEE" w:rsidRDefault="00A34D6D" w:rsidP="00A52AEE">
            <w:pPr>
              <w:rPr>
                <w:lang w:eastAsia="en-GB"/>
              </w:rPr>
            </w:pPr>
            <w:r w:rsidRPr="00A52AEE">
              <w:rPr>
                <w:lang w:eastAsia="en-GB"/>
              </w:rPr>
              <w:t>Asian or Asian British –Pakistani</w:t>
            </w:r>
          </w:p>
        </w:tc>
        <w:tc>
          <w:tcPr>
            <w:tcW w:w="528" w:type="pct"/>
            <w:tcBorders>
              <w:top w:val="nil"/>
              <w:left w:val="nil"/>
              <w:bottom w:val="single" w:sz="4" w:space="0" w:color="auto"/>
              <w:right w:val="single" w:sz="4" w:space="0" w:color="auto"/>
            </w:tcBorders>
            <w:shd w:val="clear" w:color="auto" w:fill="auto"/>
            <w:noWrap/>
            <w:vAlign w:val="bottom"/>
            <w:hideMark/>
          </w:tcPr>
          <w:p w14:paraId="58E52174" w14:textId="77777777" w:rsidR="00A34D6D" w:rsidRPr="00A52AEE" w:rsidRDefault="00A34D6D" w:rsidP="009A2373">
            <w:pPr>
              <w:jc w:val="right"/>
              <w:rPr>
                <w:lang w:eastAsia="en-GB"/>
              </w:rPr>
            </w:pPr>
            <w:r w:rsidRPr="00A52AEE">
              <w:rPr>
                <w:lang w:eastAsia="en-GB"/>
              </w:rPr>
              <w:t>74%</w:t>
            </w:r>
          </w:p>
        </w:tc>
        <w:tc>
          <w:tcPr>
            <w:tcW w:w="433" w:type="pct"/>
            <w:tcBorders>
              <w:top w:val="nil"/>
              <w:left w:val="nil"/>
              <w:bottom w:val="single" w:sz="4" w:space="0" w:color="auto"/>
              <w:right w:val="single" w:sz="4" w:space="0" w:color="auto"/>
            </w:tcBorders>
            <w:shd w:val="clear" w:color="auto" w:fill="auto"/>
            <w:noWrap/>
            <w:vAlign w:val="bottom"/>
            <w:hideMark/>
          </w:tcPr>
          <w:p w14:paraId="69413708" w14:textId="77777777" w:rsidR="00A34D6D" w:rsidRPr="00A52AEE" w:rsidRDefault="00A34D6D" w:rsidP="009A2373">
            <w:pPr>
              <w:jc w:val="right"/>
              <w:rPr>
                <w:lang w:eastAsia="en-GB"/>
              </w:rPr>
            </w:pPr>
            <w:r w:rsidRPr="00A52AEE">
              <w:rPr>
                <w:lang w:eastAsia="en-GB"/>
              </w:rPr>
              <w:t>45%</w:t>
            </w:r>
          </w:p>
        </w:tc>
        <w:tc>
          <w:tcPr>
            <w:tcW w:w="539" w:type="pct"/>
            <w:tcBorders>
              <w:top w:val="nil"/>
              <w:left w:val="nil"/>
              <w:bottom w:val="single" w:sz="4" w:space="0" w:color="auto"/>
              <w:right w:val="single" w:sz="8" w:space="0" w:color="auto"/>
            </w:tcBorders>
            <w:shd w:val="clear" w:color="auto" w:fill="auto"/>
            <w:noWrap/>
            <w:vAlign w:val="bottom"/>
            <w:hideMark/>
          </w:tcPr>
          <w:p w14:paraId="05E90A39" w14:textId="77777777" w:rsidR="00A34D6D" w:rsidRPr="00A52AEE" w:rsidRDefault="00A34D6D" w:rsidP="009A2373">
            <w:pPr>
              <w:jc w:val="right"/>
              <w:rPr>
                <w:lang w:eastAsia="en-GB"/>
              </w:rPr>
            </w:pPr>
            <w:r w:rsidRPr="00A52AEE">
              <w:rPr>
                <w:lang w:eastAsia="en-GB"/>
              </w:rPr>
              <w:t>9%</w:t>
            </w:r>
          </w:p>
        </w:tc>
        <w:tc>
          <w:tcPr>
            <w:tcW w:w="481" w:type="pct"/>
            <w:tcBorders>
              <w:top w:val="nil"/>
              <w:left w:val="nil"/>
              <w:bottom w:val="single" w:sz="4" w:space="0" w:color="auto"/>
              <w:right w:val="single" w:sz="4" w:space="0" w:color="auto"/>
            </w:tcBorders>
            <w:shd w:val="clear" w:color="auto" w:fill="auto"/>
            <w:noWrap/>
            <w:vAlign w:val="bottom"/>
            <w:hideMark/>
          </w:tcPr>
          <w:p w14:paraId="5839D7CA" w14:textId="77777777" w:rsidR="00A34D6D" w:rsidRPr="00A52AEE" w:rsidRDefault="00A34D6D" w:rsidP="009A2373">
            <w:pPr>
              <w:jc w:val="right"/>
              <w:rPr>
                <w:lang w:eastAsia="en-GB"/>
              </w:rPr>
            </w:pPr>
            <w:r w:rsidRPr="00A52AEE">
              <w:rPr>
                <w:lang w:eastAsia="en-GB"/>
              </w:rPr>
              <w:t>54%</w:t>
            </w:r>
          </w:p>
        </w:tc>
        <w:tc>
          <w:tcPr>
            <w:tcW w:w="418" w:type="pct"/>
            <w:tcBorders>
              <w:top w:val="nil"/>
              <w:left w:val="nil"/>
              <w:bottom w:val="single" w:sz="4" w:space="0" w:color="auto"/>
              <w:right w:val="single" w:sz="4" w:space="0" w:color="auto"/>
            </w:tcBorders>
            <w:shd w:val="clear" w:color="auto" w:fill="auto"/>
            <w:noWrap/>
            <w:vAlign w:val="bottom"/>
            <w:hideMark/>
          </w:tcPr>
          <w:p w14:paraId="3E184B3B" w14:textId="77777777" w:rsidR="00A34D6D" w:rsidRPr="00A52AEE" w:rsidRDefault="00A34D6D" w:rsidP="009A2373">
            <w:pPr>
              <w:jc w:val="right"/>
              <w:rPr>
                <w:lang w:eastAsia="en-GB"/>
              </w:rPr>
            </w:pPr>
            <w:r w:rsidRPr="00A52AEE">
              <w:rPr>
                <w:lang w:eastAsia="en-GB"/>
              </w:rPr>
              <w:t>43%</w:t>
            </w:r>
          </w:p>
        </w:tc>
        <w:tc>
          <w:tcPr>
            <w:tcW w:w="449" w:type="pct"/>
            <w:tcBorders>
              <w:top w:val="nil"/>
              <w:left w:val="nil"/>
              <w:bottom w:val="single" w:sz="4" w:space="0" w:color="auto"/>
              <w:right w:val="single" w:sz="8" w:space="0" w:color="auto"/>
            </w:tcBorders>
            <w:shd w:val="clear" w:color="auto" w:fill="auto"/>
            <w:noWrap/>
            <w:vAlign w:val="bottom"/>
            <w:hideMark/>
          </w:tcPr>
          <w:p w14:paraId="450AF106" w14:textId="77777777" w:rsidR="00A34D6D" w:rsidRPr="00A52AEE" w:rsidRDefault="00A34D6D" w:rsidP="009A2373">
            <w:pPr>
              <w:jc w:val="right"/>
              <w:rPr>
                <w:lang w:eastAsia="en-GB"/>
              </w:rPr>
            </w:pPr>
            <w:r w:rsidRPr="00A52AEE">
              <w:rPr>
                <w:lang w:eastAsia="en-GB"/>
              </w:rPr>
              <w:t>16%</w:t>
            </w:r>
          </w:p>
        </w:tc>
      </w:tr>
      <w:tr w:rsidR="00A34D6D" w:rsidRPr="00A52AEE" w14:paraId="6737339C"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0FC904BF" w14:textId="77777777" w:rsidR="00A34D6D" w:rsidRPr="00A52AEE" w:rsidRDefault="00A34D6D" w:rsidP="00A52AEE">
            <w:pPr>
              <w:rPr>
                <w:lang w:eastAsia="en-GB"/>
              </w:rPr>
            </w:pPr>
            <w:r w:rsidRPr="00A52AEE">
              <w:rPr>
                <w:lang w:eastAsia="en-GB"/>
              </w:rPr>
              <w:t>Black or Black British - any other Black background</w:t>
            </w:r>
          </w:p>
        </w:tc>
        <w:tc>
          <w:tcPr>
            <w:tcW w:w="528" w:type="pct"/>
            <w:tcBorders>
              <w:top w:val="nil"/>
              <w:left w:val="nil"/>
              <w:bottom w:val="single" w:sz="4" w:space="0" w:color="auto"/>
              <w:right w:val="single" w:sz="4" w:space="0" w:color="auto"/>
            </w:tcBorders>
            <w:shd w:val="clear" w:color="auto" w:fill="auto"/>
            <w:noWrap/>
            <w:vAlign w:val="bottom"/>
            <w:hideMark/>
          </w:tcPr>
          <w:p w14:paraId="2DC7BEFF" w14:textId="77777777" w:rsidR="00A34D6D" w:rsidRPr="00A52AEE" w:rsidRDefault="00A34D6D" w:rsidP="009A2373">
            <w:pPr>
              <w:jc w:val="right"/>
              <w:rPr>
                <w:lang w:eastAsia="en-GB"/>
              </w:rPr>
            </w:pPr>
            <w:r w:rsidRPr="00A52AEE">
              <w:rPr>
                <w:lang w:eastAsia="en-GB"/>
              </w:rPr>
              <w:t>69%</w:t>
            </w:r>
          </w:p>
        </w:tc>
        <w:tc>
          <w:tcPr>
            <w:tcW w:w="433" w:type="pct"/>
            <w:tcBorders>
              <w:top w:val="nil"/>
              <w:left w:val="nil"/>
              <w:bottom w:val="single" w:sz="4" w:space="0" w:color="auto"/>
              <w:right w:val="single" w:sz="4" w:space="0" w:color="auto"/>
            </w:tcBorders>
            <w:shd w:val="clear" w:color="auto" w:fill="auto"/>
            <w:noWrap/>
            <w:vAlign w:val="bottom"/>
            <w:hideMark/>
          </w:tcPr>
          <w:p w14:paraId="62F70B89" w14:textId="77777777" w:rsidR="00A34D6D" w:rsidRPr="00A52AEE" w:rsidRDefault="00A34D6D" w:rsidP="009A2373">
            <w:pPr>
              <w:jc w:val="right"/>
              <w:rPr>
                <w:lang w:eastAsia="en-GB"/>
              </w:rPr>
            </w:pPr>
            <w:r w:rsidRPr="00A52AEE">
              <w:rPr>
                <w:lang w:eastAsia="en-GB"/>
              </w:rPr>
              <w:t>54%</w:t>
            </w:r>
          </w:p>
        </w:tc>
        <w:tc>
          <w:tcPr>
            <w:tcW w:w="539" w:type="pct"/>
            <w:tcBorders>
              <w:top w:val="nil"/>
              <w:left w:val="nil"/>
              <w:bottom w:val="single" w:sz="4" w:space="0" w:color="auto"/>
              <w:right w:val="single" w:sz="8" w:space="0" w:color="auto"/>
            </w:tcBorders>
            <w:shd w:val="clear" w:color="auto" w:fill="auto"/>
            <w:noWrap/>
            <w:vAlign w:val="bottom"/>
            <w:hideMark/>
          </w:tcPr>
          <w:p w14:paraId="3A826AE0" w14:textId="77777777" w:rsidR="00A34D6D" w:rsidRPr="00A52AEE" w:rsidRDefault="00A34D6D" w:rsidP="009A2373">
            <w:pPr>
              <w:jc w:val="right"/>
              <w:rPr>
                <w:lang w:eastAsia="en-GB"/>
              </w:rPr>
            </w:pPr>
            <w:r w:rsidRPr="00A52AEE">
              <w:rPr>
                <w:lang w:eastAsia="en-GB"/>
              </w:rPr>
              <w:t>23%</w:t>
            </w:r>
          </w:p>
        </w:tc>
        <w:tc>
          <w:tcPr>
            <w:tcW w:w="481" w:type="pct"/>
            <w:tcBorders>
              <w:top w:val="nil"/>
              <w:left w:val="nil"/>
              <w:bottom w:val="single" w:sz="4" w:space="0" w:color="auto"/>
              <w:right w:val="single" w:sz="4" w:space="0" w:color="auto"/>
            </w:tcBorders>
            <w:shd w:val="clear" w:color="auto" w:fill="auto"/>
            <w:noWrap/>
            <w:vAlign w:val="bottom"/>
            <w:hideMark/>
          </w:tcPr>
          <w:p w14:paraId="384AE0A0" w14:textId="77777777" w:rsidR="00A34D6D" w:rsidRPr="00A52AEE" w:rsidRDefault="00A34D6D" w:rsidP="009A2373">
            <w:pPr>
              <w:jc w:val="right"/>
              <w:rPr>
                <w:lang w:eastAsia="en-GB"/>
              </w:rPr>
            </w:pPr>
            <w:r w:rsidRPr="00A52AEE">
              <w:rPr>
                <w:lang w:eastAsia="en-GB"/>
              </w:rPr>
              <w:t>46%</w:t>
            </w:r>
          </w:p>
        </w:tc>
        <w:tc>
          <w:tcPr>
            <w:tcW w:w="418" w:type="pct"/>
            <w:tcBorders>
              <w:top w:val="nil"/>
              <w:left w:val="nil"/>
              <w:bottom w:val="single" w:sz="4" w:space="0" w:color="auto"/>
              <w:right w:val="single" w:sz="4" w:space="0" w:color="auto"/>
            </w:tcBorders>
            <w:shd w:val="clear" w:color="auto" w:fill="auto"/>
            <w:noWrap/>
            <w:vAlign w:val="bottom"/>
            <w:hideMark/>
          </w:tcPr>
          <w:p w14:paraId="2B983E61" w14:textId="77777777" w:rsidR="00A34D6D" w:rsidRPr="00A52AEE" w:rsidRDefault="00A34D6D" w:rsidP="009A2373">
            <w:pPr>
              <w:jc w:val="right"/>
              <w:rPr>
                <w:lang w:eastAsia="en-GB"/>
              </w:rPr>
            </w:pPr>
            <w:r w:rsidRPr="00A52AEE">
              <w:rPr>
                <w:lang w:eastAsia="en-GB"/>
              </w:rPr>
              <w:t>46%</w:t>
            </w:r>
          </w:p>
        </w:tc>
        <w:tc>
          <w:tcPr>
            <w:tcW w:w="449" w:type="pct"/>
            <w:tcBorders>
              <w:top w:val="nil"/>
              <w:left w:val="nil"/>
              <w:bottom w:val="single" w:sz="4" w:space="0" w:color="auto"/>
              <w:right w:val="single" w:sz="8" w:space="0" w:color="auto"/>
            </w:tcBorders>
            <w:shd w:val="clear" w:color="auto" w:fill="auto"/>
            <w:noWrap/>
            <w:vAlign w:val="bottom"/>
            <w:hideMark/>
          </w:tcPr>
          <w:p w14:paraId="0A9DEA6E" w14:textId="77777777" w:rsidR="00A34D6D" w:rsidRPr="00A52AEE" w:rsidRDefault="00A34D6D" w:rsidP="009A2373">
            <w:pPr>
              <w:jc w:val="right"/>
              <w:rPr>
                <w:lang w:eastAsia="en-GB"/>
              </w:rPr>
            </w:pPr>
            <w:r w:rsidRPr="00A52AEE">
              <w:rPr>
                <w:lang w:eastAsia="en-GB"/>
              </w:rPr>
              <w:t>31%</w:t>
            </w:r>
          </w:p>
        </w:tc>
      </w:tr>
      <w:tr w:rsidR="00A34D6D" w:rsidRPr="00A52AEE" w14:paraId="6BED6412"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4BC3C39C" w14:textId="77777777" w:rsidR="00A34D6D" w:rsidRPr="00A52AEE" w:rsidRDefault="00A34D6D" w:rsidP="00A52AEE">
            <w:pPr>
              <w:rPr>
                <w:lang w:eastAsia="en-GB"/>
              </w:rPr>
            </w:pPr>
            <w:r w:rsidRPr="00A52AEE">
              <w:rPr>
                <w:lang w:eastAsia="en-GB"/>
              </w:rPr>
              <w:t>Black or Black British –African</w:t>
            </w:r>
          </w:p>
        </w:tc>
        <w:tc>
          <w:tcPr>
            <w:tcW w:w="528" w:type="pct"/>
            <w:tcBorders>
              <w:top w:val="nil"/>
              <w:left w:val="nil"/>
              <w:bottom w:val="single" w:sz="4" w:space="0" w:color="auto"/>
              <w:right w:val="single" w:sz="4" w:space="0" w:color="auto"/>
            </w:tcBorders>
            <w:shd w:val="clear" w:color="auto" w:fill="auto"/>
            <w:noWrap/>
            <w:vAlign w:val="bottom"/>
            <w:hideMark/>
          </w:tcPr>
          <w:p w14:paraId="30340CA4" w14:textId="77777777" w:rsidR="00A34D6D" w:rsidRPr="00A52AEE" w:rsidRDefault="00A34D6D" w:rsidP="009A2373">
            <w:pPr>
              <w:jc w:val="right"/>
              <w:rPr>
                <w:lang w:eastAsia="en-GB"/>
              </w:rPr>
            </w:pPr>
            <w:r w:rsidRPr="00A52AEE">
              <w:rPr>
                <w:lang w:eastAsia="en-GB"/>
              </w:rPr>
              <w:t>73%</w:t>
            </w:r>
          </w:p>
        </w:tc>
        <w:tc>
          <w:tcPr>
            <w:tcW w:w="433" w:type="pct"/>
            <w:tcBorders>
              <w:top w:val="nil"/>
              <w:left w:val="nil"/>
              <w:bottom w:val="single" w:sz="4" w:space="0" w:color="auto"/>
              <w:right w:val="single" w:sz="4" w:space="0" w:color="auto"/>
            </w:tcBorders>
            <w:shd w:val="clear" w:color="auto" w:fill="auto"/>
            <w:noWrap/>
            <w:vAlign w:val="bottom"/>
            <w:hideMark/>
          </w:tcPr>
          <w:p w14:paraId="57D5C8AB" w14:textId="77777777" w:rsidR="00A34D6D" w:rsidRPr="00A52AEE" w:rsidRDefault="00A34D6D" w:rsidP="009A2373">
            <w:pPr>
              <w:jc w:val="right"/>
              <w:rPr>
                <w:lang w:eastAsia="en-GB"/>
              </w:rPr>
            </w:pPr>
            <w:r w:rsidRPr="00A52AEE">
              <w:rPr>
                <w:lang w:eastAsia="en-GB"/>
              </w:rPr>
              <w:t>55%</w:t>
            </w:r>
          </w:p>
        </w:tc>
        <w:tc>
          <w:tcPr>
            <w:tcW w:w="539" w:type="pct"/>
            <w:tcBorders>
              <w:top w:val="nil"/>
              <w:left w:val="nil"/>
              <w:bottom w:val="single" w:sz="4" w:space="0" w:color="auto"/>
              <w:right w:val="single" w:sz="8" w:space="0" w:color="auto"/>
            </w:tcBorders>
            <w:shd w:val="clear" w:color="auto" w:fill="auto"/>
            <w:noWrap/>
            <w:vAlign w:val="bottom"/>
            <w:hideMark/>
          </w:tcPr>
          <w:p w14:paraId="3F8020D6" w14:textId="77777777" w:rsidR="00A34D6D" w:rsidRPr="00A52AEE" w:rsidRDefault="00A34D6D" w:rsidP="009A2373">
            <w:pPr>
              <w:jc w:val="right"/>
              <w:rPr>
                <w:lang w:eastAsia="en-GB"/>
              </w:rPr>
            </w:pPr>
            <w:r w:rsidRPr="00A52AEE">
              <w:rPr>
                <w:lang w:eastAsia="en-GB"/>
              </w:rPr>
              <w:t>28%</w:t>
            </w:r>
          </w:p>
        </w:tc>
        <w:tc>
          <w:tcPr>
            <w:tcW w:w="481" w:type="pct"/>
            <w:tcBorders>
              <w:top w:val="nil"/>
              <w:left w:val="nil"/>
              <w:bottom w:val="single" w:sz="4" w:space="0" w:color="auto"/>
              <w:right w:val="single" w:sz="4" w:space="0" w:color="auto"/>
            </w:tcBorders>
            <w:shd w:val="clear" w:color="auto" w:fill="auto"/>
            <w:noWrap/>
            <w:vAlign w:val="bottom"/>
            <w:hideMark/>
          </w:tcPr>
          <w:p w14:paraId="31788DFB" w14:textId="77777777" w:rsidR="00A34D6D" w:rsidRPr="00A52AEE" w:rsidRDefault="00A34D6D" w:rsidP="009A2373">
            <w:pPr>
              <w:jc w:val="right"/>
              <w:rPr>
                <w:lang w:eastAsia="en-GB"/>
              </w:rPr>
            </w:pPr>
            <w:r w:rsidRPr="00A52AEE">
              <w:rPr>
                <w:lang w:eastAsia="en-GB"/>
              </w:rPr>
              <w:t>57%</w:t>
            </w:r>
          </w:p>
        </w:tc>
        <w:tc>
          <w:tcPr>
            <w:tcW w:w="418" w:type="pct"/>
            <w:tcBorders>
              <w:top w:val="nil"/>
              <w:left w:val="nil"/>
              <w:bottom w:val="single" w:sz="4" w:space="0" w:color="auto"/>
              <w:right w:val="single" w:sz="4" w:space="0" w:color="auto"/>
            </w:tcBorders>
            <w:shd w:val="clear" w:color="auto" w:fill="auto"/>
            <w:noWrap/>
            <w:vAlign w:val="bottom"/>
            <w:hideMark/>
          </w:tcPr>
          <w:p w14:paraId="78EBA0A9" w14:textId="77777777" w:rsidR="00A34D6D" w:rsidRPr="00A52AEE" w:rsidRDefault="00A34D6D" w:rsidP="009A2373">
            <w:pPr>
              <w:jc w:val="right"/>
              <w:rPr>
                <w:lang w:eastAsia="en-GB"/>
              </w:rPr>
            </w:pPr>
            <w:r w:rsidRPr="00A52AEE">
              <w:rPr>
                <w:lang w:eastAsia="en-GB"/>
              </w:rPr>
              <w:t>44%</w:t>
            </w:r>
          </w:p>
        </w:tc>
        <w:tc>
          <w:tcPr>
            <w:tcW w:w="449" w:type="pct"/>
            <w:tcBorders>
              <w:top w:val="nil"/>
              <w:left w:val="nil"/>
              <w:bottom w:val="single" w:sz="4" w:space="0" w:color="auto"/>
              <w:right w:val="single" w:sz="8" w:space="0" w:color="auto"/>
            </w:tcBorders>
            <w:shd w:val="clear" w:color="auto" w:fill="auto"/>
            <w:noWrap/>
            <w:vAlign w:val="bottom"/>
            <w:hideMark/>
          </w:tcPr>
          <w:p w14:paraId="027F625E" w14:textId="77777777" w:rsidR="00A34D6D" w:rsidRPr="00A52AEE" w:rsidRDefault="00A34D6D" w:rsidP="009A2373">
            <w:pPr>
              <w:jc w:val="right"/>
              <w:rPr>
                <w:lang w:eastAsia="en-GB"/>
              </w:rPr>
            </w:pPr>
            <w:r w:rsidRPr="00A52AEE">
              <w:rPr>
                <w:lang w:eastAsia="en-GB"/>
              </w:rPr>
              <w:t>34%</w:t>
            </w:r>
          </w:p>
        </w:tc>
      </w:tr>
      <w:tr w:rsidR="00A34D6D" w:rsidRPr="00A52AEE" w14:paraId="4429FE69"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0D250207" w14:textId="77777777" w:rsidR="00A34D6D" w:rsidRPr="00A52AEE" w:rsidRDefault="00A34D6D" w:rsidP="00A52AEE">
            <w:pPr>
              <w:rPr>
                <w:lang w:eastAsia="en-GB"/>
              </w:rPr>
            </w:pPr>
            <w:r w:rsidRPr="00A52AEE">
              <w:rPr>
                <w:lang w:eastAsia="en-GB"/>
              </w:rPr>
              <w:t>Black or Black British –Caribbean</w:t>
            </w:r>
          </w:p>
        </w:tc>
        <w:tc>
          <w:tcPr>
            <w:tcW w:w="528" w:type="pct"/>
            <w:tcBorders>
              <w:top w:val="nil"/>
              <w:left w:val="nil"/>
              <w:bottom w:val="single" w:sz="4" w:space="0" w:color="auto"/>
              <w:right w:val="single" w:sz="4" w:space="0" w:color="auto"/>
            </w:tcBorders>
            <w:shd w:val="clear" w:color="auto" w:fill="auto"/>
            <w:noWrap/>
            <w:vAlign w:val="bottom"/>
            <w:hideMark/>
          </w:tcPr>
          <w:p w14:paraId="5FCB77EB" w14:textId="77777777" w:rsidR="00A34D6D" w:rsidRPr="00A52AEE" w:rsidRDefault="00A34D6D" w:rsidP="009A2373">
            <w:pPr>
              <w:jc w:val="right"/>
              <w:rPr>
                <w:lang w:eastAsia="en-GB"/>
              </w:rPr>
            </w:pPr>
            <w:r w:rsidRPr="00A52AEE">
              <w:rPr>
                <w:lang w:eastAsia="en-GB"/>
              </w:rPr>
              <w:t>60%</w:t>
            </w:r>
          </w:p>
        </w:tc>
        <w:tc>
          <w:tcPr>
            <w:tcW w:w="433" w:type="pct"/>
            <w:tcBorders>
              <w:top w:val="nil"/>
              <w:left w:val="nil"/>
              <w:bottom w:val="single" w:sz="4" w:space="0" w:color="auto"/>
              <w:right w:val="single" w:sz="4" w:space="0" w:color="auto"/>
            </w:tcBorders>
            <w:shd w:val="clear" w:color="auto" w:fill="auto"/>
            <w:noWrap/>
            <w:vAlign w:val="bottom"/>
            <w:hideMark/>
          </w:tcPr>
          <w:p w14:paraId="1BC4671D" w14:textId="77777777" w:rsidR="00A34D6D" w:rsidRPr="00A52AEE" w:rsidRDefault="00A34D6D" w:rsidP="009A2373">
            <w:pPr>
              <w:jc w:val="right"/>
              <w:rPr>
                <w:lang w:eastAsia="en-GB"/>
              </w:rPr>
            </w:pPr>
            <w:r w:rsidRPr="00A52AEE">
              <w:rPr>
                <w:lang w:eastAsia="en-GB"/>
              </w:rPr>
              <w:t>47%</w:t>
            </w:r>
          </w:p>
        </w:tc>
        <w:tc>
          <w:tcPr>
            <w:tcW w:w="539" w:type="pct"/>
            <w:tcBorders>
              <w:top w:val="nil"/>
              <w:left w:val="nil"/>
              <w:bottom w:val="single" w:sz="4" w:space="0" w:color="auto"/>
              <w:right w:val="single" w:sz="8" w:space="0" w:color="auto"/>
            </w:tcBorders>
            <w:shd w:val="clear" w:color="auto" w:fill="auto"/>
            <w:noWrap/>
            <w:vAlign w:val="bottom"/>
            <w:hideMark/>
          </w:tcPr>
          <w:p w14:paraId="58B476DC" w14:textId="77777777" w:rsidR="00A34D6D" w:rsidRPr="00A52AEE" w:rsidRDefault="00A34D6D" w:rsidP="009A2373">
            <w:pPr>
              <w:jc w:val="right"/>
              <w:rPr>
                <w:lang w:eastAsia="en-GB"/>
              </w:rPr>
            </w:pPr>
            <w:r w:rsidRPr="00A52AEE">
              <w:rPr>
                <w:lang w:eastAsia="en-GB"/>
              </w:rPr>
              <w:t>24%</w:t>
            </w:r>
          </w:p>
        </w:tc>
        <w:tc>
          <w:tcPr>
            <w:tcW w:w="481" w:type="pct"/>
            <w:tcBorders>
              <w:top w:val="nil"/>
              <w:left w:val="nil"/>
              <w:bottom w:val="single" w:sz="4" w:space="0" w:color="auto"/>
              <w:right w:val="single" w:sz="4" w:space="0" w:color="auto"/>
            </w:tcBorders>
            <w:shd w:val="clear" w:color="auto" w:fill="auto"/>
            <w:noWrap/>
            <w:vAlign w:val="bottom"/>
            <w:hideMark/>
          </w:tcPr>
          <w:p w14:paraId="1E40C006" w14:textId="77777777" w:rsidR="00A34D6D" w:rsidRPr="00A52AEE" w:rsidRDefault="00A34D6D" w:rsidP="009A2373">
            <w:pPr>
              <w:jc w:val="right"/>
              <w:rPr>
                <w:lang w:eastAsia="en-GB"/>
              </w:rPr>
            </w:pPr>
            <w:r w:rsidRPr="00A52AEE">
              <w:rPr>
                <w:lang w:eastAsia="en-GB"/>
              </w:rPr>
              <w:t>41%</w:t>
            </w:r>
          </w:p>
        </w:tc>
        <w:tc>
          <w:tcPr>
            <w:tcW w:w="418" w:type="pct"/>
            <w:tcBorders>
              <w:top w:val="nil"/>
              <w:left w:val="nil"/>
              <w:bottom w:val="single" w:sz="4" w:space="0" w:color="auto"/>
              <w:right w:val="single" w:sz="4" w:space="0" w:color="auto"/>
            </w:tcBorders>
            <w:shd w:val="clear" w:color="auto" w:fill="auto"/>
            <w:noWrap/>
            <w:vAlign w:val="bottom"/>
            <w:hideMark/>
          </w:tcPr>
          <w:p w14:paraId="35136173" w14:textId="77777777" w:rsidR="00A34D6D" w:rsidRPr="00A52AEE" w:rsidRDefault="00A34D6D" w:rsidP="009A2373">
            <w:pPr>
              <w:jc w:val="right"/>
              <w:rPr>
                <w:lang w:eastAsia="en-GB"/>
              </w:rPr>
            </w:pPr>
            <w:r w:rsidRPr="00A52AEE">
              <w:rPr>
                <w:lang w:eastAsia="en-GB"/>
              </w:rPr>
              <w:t>48%</w:t>
            </w:r>
          </w:p>
        </w:tc>
        <w:tc>
          <w:tcPr>
            <w:tcW w:w="449" w:type="pct"/>
            <w:tcBorders>
              <w:top w:val="nil"/>
              <w:left w:val="nil"/>
              <w:bottom w:val="single" w:sz="4" w:space="0" w:color="auto"/>
              <w:right w:val="single" w:sz="8" w:space="0" w:color="auto"/>
            </w:tcBorders>
            <w:shd w:val="clear" w:color="auto" w:fill="auto"/>
            <w:noWrap/>
            <w:vAlign w:val="bottom"/>
            <w:hideMark/>
          </w:tcPr>
          <w:p w14:paraId="438E4641" w14:textId="77777777" w:rsidR="00A34D6D" w:rsidRPr="00A52AEE" w:rsidRDefault="00A34D6D" w:rsidP="009A2373">
            <w:pPr>
              <w:jc w:val="right"/>
              <w:rPr>
                <w:lang w:eastAsia="en-GB"/>
              </w:rPr>
            </w:pPr>
            <w:r w:rsidRPr="00A52AEE">
              <w:rPr>
                <w:lang w:eastAsia="en-GB"/>
              </w:rPr>
              <w:t>27%</w:t>
            </w:r>
          </w:p>
        </w:tc>
      </w:tr>
      <w:tr w:rsidR="00A34D6D" w:rsidRPr="00A52AEE" w14:paraId="4049B162"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1A11D0F9" w14:textId="77777777" w:rsidR="00A34D6D" w:rsidRPr="00A52AEE" w:rsidRDefault="00A34D6D" w:rsidP="00A52AEE">
            <w:pPr>
              <w:rPr>
                <w:lang w:eastAsia="en-GB"/>
              </w:rPr>
            </w:pPr>
            <w:r w:rsidRPr="00A52AEE">
              <w:rPr>
                <w:lang w:eastAsia="en-GB"/>
              </w:rPr>
              <w:t>Chinese</w:t>
            </w:r>
          </w:p>
        </w:tc>
        <w:tc>
          <w:tcPr>
            <w:tcW w:w="528" w:type="pct"/>
            <w:tcBorders>
              <w:top w:val="nil"/>
              <w:left w:val="nil"/>
              <w:bottom w:val="single" w:sz="4" w:space="0" w:color="auto"/>
              <w:right w:val="single" w:sz="4" w:space="0" w:color="auto"/>
            </w:tcBorders>
            <w:shd w:val="clear" w:color="auto" w:fill="auto"/>
            <w:noWrap/>
            <w:vAlign w:val="bottom"/>
            <w:hideMark/>
          </w:tcPr>
          <w:p w14:paraId="388A973B" w14:textId="77777777" w:rsidR="00A34D6D" w:rsidRPr="00A52AEE" w:rsidRDefault="00A34D6D" w:rsidP="009A2373">
            <w:pPr>
              <w:jc w:val="right"/>
              <w:rPr>
                <w:lang w:eastAsia="en-GB"/>
              </w:rPr>
            </w:pPr>
            <w:r w:rsidRPr="00A52AEE">
              <w:rPr>
                <w:lang w:eastAsia="en-GB"/>
              </w:rPr>
              <w:t>76%</w:t>
            </w:r>
          </w:p>
        </w:tc>
        <w:tc>
          <w:tcPr>
            <w:tcW w:w="433" w:type="pct"/>
            <w:tcBorders>
              <w:top w:val="nil"/>
              <w:left w:val="nil"/>
              <w:bottom w:val="single" w:sz="4" w:space="0" w:color="auto"/>
              <w:right w:val="single" w:sz="4" w:space="0" w:color="auto"/>
            </w:tcBorders>
            <w:shd w:val="clear" w:color="auto" w:fill="auto"/>
            <w:noWrap/>
            <w:vAlign w:val="bottom"/>
            <w:hideMark/>
          </w:tcPr>
          <w:p w14:paraId="37D883CE" w14:textId="77777777" w:rsidR="00A34D6D" w:rsidRPr="00A52AEE" w:rsidRDefault="00A34D6D" w:rsidP="009A2373">
            <w:pPr>
              <w:jc w:val="right"/>
              <w:rPr>
                <w:lang w:eastAsia="en-GB"/>
              </w:rPr>
            </w:pPr>
            <w:r w:rsidRPr="00A52AEE">
              <w:rPr>
                <w:lang w:eastAsia="en-GB"/>
              </w:rPr>
              <w:t>53%</w:t>
            </w:r>
          </w:p>
        </w:tc>
        <w:tc>
          <w:tcPr>
            <w:tcW w:w="539" w:type="pct"/>
            <w:tcBorders>
              <w:top w:val="nil"/>
              <w:left w:val="nil"/>
              <w:bottom w:val="single" w:sz="4" w:space="0" w:color="auto"/>
              <w:right w:val="single" w:sz="8" w:space="0" w:color="auto"/>
            </w:tcBorders>
            <w:shd w:val="clear" w:color="auto" w:fill="auto"/>
            <w:noWrap/>
            <w:vAlign w:val="bottom"/>
            <w:hideMark/>
          </w:tcPr>
          <w:p w14:paraId="084559B8" w14:textId="77777777" w:rsidR="00A34D6D" w:rsidRPr="00A52AEE" w:rsidRDefault="00A34D6D" w:rsidP="009A2373">
            <w:pPr>
              <w:jc w:val="right"/>
              <w:rPr>
                <w:lang w:eastAsia="en-GB"/>
              </w:rPr>
            </w:pPr>
            <w:r w:rsidRPr="00A52AEE">
              <w:rPr>
                <w:lang w:eastAsia="en-GB"/>
              </w:rPr>
              <w:t>12%</w:t>
            </w:r>
          </w:p>
        </w:tc>
        <w:tc>
          <w:tcPr>
            <w:tcW w:w="481" w:type="pct"/>
            <w:tcBorders>
              <w:top w:val="nil"/>
              <w:left w:val="nil"/>
              <w:bottom w:val="single" w:sz="4" w:space="0" w:color="auto"/>
              <w:right w:val="single" w:sz="4" w:space="0" w:color="auto"/>
            </w:tcBorders>
            <w:shd w:val="clear" w:color="auto" w:fill="auto"/>
            <w:noWrap/>
            <w:vAlign w:val="bottom"/>
            <w:hideMark/>
          </w:tcPr>
          <w:p w14:paraId="678FA030" w14:textId="77777777" w:rsidR="00A34D6D" w:rsidRPr="00A52AEE" w:rsidRDefault="00A34D6D" w:rsidP="009A2373">
            <w:pPr>
              <w:jc w:val="right"/>
              <w:rPr>
                <w:lang w:eastAsia="en-GB"/>
              </w:rPr>
            </w:pPr>
            <w:r w:rsidRPr="00A52AEE">
              <w:rPr>
                <w:lang w:eastAsia="en-GB"/>
              </w:rPr>
              <w:t>53%</w:t>
            </w:r>
          </w:p>
        </w:tc>
        <w:tc>
          <w:tcPr>
            <w:tcW w:w="418" w:type="pct"/>
            <w:tcBorders>
              <w:top w:val="nil"/>
              <w:left w:val="nil"/>
              <w:bottom w:val="single" w:sz="4" w:space="0" w:color="auto"/>
              <w:right w:val="single" w:sz="4" w:space="0" w:color="auto"/>
            </w:tcBorders>
            <w:shd w:val="clear" w:color="auto" w:fill="auto"/>
            <w:noWrap/>
            <w:vAlign w:val="bottom"/>
            <w:hideMark/>
          </w:tcPr>
          <w:p w14:paraId="0C01420F" w14:textId="77777777" w:rsidR="00A34D6D" w:rsidRPr="00A52AEE" w:rsidRDefault="00A34D6D" w:rsidP="009A2373">
            <w:pPr>
              <w:jc w:val="right"/>
              <w:rPr>
                <w:lang w:eastAsia="en-GB"/>
              </w:rPr>
            </w:pPr>
            <w:r w:rsidRPr="00A52AEE">
              <w:rPr>
                <w:lang w:eastAsia="en-GB"/>
              </w:rPr>
              <w:t>42%</w:t>
            </w:r>
          </w:p>
        </w:tc>
        <w:tc>
          <w:tcPr>
            <w:tcW w:w="449" w:type="pct"/>
            <w:tcBorders>
              <w:top w:val="nil"/>
              <w:left w:val="nil"/>
              <w:bottom w:val="single" w:sz="4" w:space="0" w:color="auto"/>
              <w:right w:val="single" w:sz="8" w:space="0" w:color="auto"/>
            </w:tcBorders>
            <w:shd w:val="clear" w:color="auto" w:fill="auto"/>
            <w:noWrap/>
            <w:vAlign w:val="bottom"/>
            <w:hideMark/>
          </w:tcPr>
          <w:p w14:paraId="274FED27" w14:textId="77777777" w:rsidR="00A34D6D" w:rsidRPr="00A52AEE" w:rsidRDefault="00A34D6D" w:rsidP="009A2373">
            <w:pPr>
              <w:jc w:val="right"/>
              <w:rPr>
                <w:lang w:eastAsia="en-GB"/>
              </w:rPr>
            </w:pPr>
            <w:r w:rsidRPr="00A52AEE">
              <w:rPr>
                <w:lang w:eastAsia="en-GB"/>
              </w:rPr>
              <w:t>21%</w:t>
            </w:r>
          </w:p>
        </w:tc>
      </w:tr>
      <w:tr w:rsidR="00A34D6D" w:rsidRPr="00A52AEE" w14:paraId="7295D08F"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6626C9A0" w14:textId="77777777" w:rsidR="00A34D6D" w:rsidRPr="00A52AEE" w:rsidRDefault="00A34D6D" w:rsidP="00A52AEE">
            <w:pPr>
              <w:rPr>
                <w:lang w:eastAsia="en-GB"/>
              </w:rPr>
            </w:pPr>
            <w:r w:rsidRPr="00A52AEE">
              <w:rPr>
                <w:lang w:eastAsia="en-GB"/>
              </w:rPr>
              <w:t>Mixed - White and Asian</w:t>
            </w:r>
          </w:p>
        </w:tc>
        <w:tc>
          <w:tcPr>
            <w:tcW w:w="528" w:type="pct"/>
            <w:tcBorders>
              <w:top w:val="nil"/>
              <w:left w:val="nil"/>
              <w:bottom w:val="single" w:sz="4" w:space="0" w:color="auto"/>
              <w:right w:val="single" w:sz="4" w:space="0" w:color="auto"/>
            </w:tcBorders>
            <w:shd w:val="clear" w:color="auto" w:fill="auto"/>
            <w:noWrap/>
            <w:vAlign w:val="bottom"/>
            <w:hideMark/>
          </w:tcPr>
          <w:p w14:paraId="7911F4D6" w14:textId="77777777" w:rsidR="00A34D6D" w:rsidRPr="00A52AEE" w:rsidRDefault="00A34D6D" w:rsidP="009A2373">
            <w:pPr>
              <w:jc w:val="right"/>
              <w:rPr>
                <w:lang w:eastAsia="en-GB"/>
              </w:rPr>
            </w:pPr>
            <w:r w:rsidRPr="00A52AEE">
              <w:rPr>
                <w:lang w:eastAsia="en-GB"/>
              </w:rPr>
              <w:t>56%</w:t>
            </w:r>
          </w:p>
        </w:tc>
        <w:tc>
          <w:tcPr>
            <w:tcW w:w="433" w:type="pct"/>
            <w:tcBorders>
              <w:top w:val="nil"/>
              <w:left w:val="nil"/>
              <w:bottom w:val="single" w:sz="4" w:space="0" w:color="auto"/>
              <w:right w:val="single" w:sz="4" w:space="0" w:color="auto"/>
            </w:tcBorders>
            <w:shd w:val="clear" w:color="auto" w:fill="auto"/>
            <w:noWrap/>
            <w:vAlign w:val="bottom"/>
            <w:hideMark/>
          </w:tcPr>
          <w:p w14:paraId="40EA9D4B" w14:textId="77777777" w:rsidR="00A34D6D" w:rsidRPr="00A52AEE" w:rsidRDefault="00A34D6D" w:rsidP="009A2373">
            <w:pPr>
              <w:jc w:val="right"/>
              <w:rPr>
                <w:lang w:eastAsia="en-GB"/>
              </w:rPr>
            </w:pPr>
            <w:r w:rsidRPr="00A52AEE">
              <w:rPr>
                <w:lang w:eastAsia="en-GB"/>
              </w:rPr>
              <w:t>56%</w:t>
            </w:r>
          </w:p>
        </w:tc>
        <w:tc>
          <w:tcPr>
            <w:tcW w:w="539" w:type="pct"/>
            <w:tcBorders>
              <w:top w:val="nil"/>
              <w:left w:val="nil"/>
              <w:bottom w:val="single" w:sz="4" w:space="0" w:color="auto"/>
              <w:right w:val="single" w:sz="8" w:space="0" w:color="auto"/>
            </w:tcBorders>
            <w:shd w:val="clear" w:color="auto" w:fill="auto"/>
            <w:noWrap/>
            <w:vAlign w:val="bottom"/>
            <w:hideMark/>
          </w:tcPr>
          <w:p w14:paraId="03A1214A" w14:textId="77777777" w:rsidR="00A34D6D" w:rsidRPr="00A52AEE" w:rsidRDefault="00A34D6D" w:rsidP="009A2373">
            <w:pPr>
              <w:jc w:val="right"/>
              <w:rPr>
                <w:lang w:eastAsia="en-GB"/>
              </w:rPr>
            </w:pPr>
            <w:r w:rsidRPr="00A52AEE">
              <w:rPr>
                <w:lang w:eastAsia="en-GB"/>
              </w:rPr>
              <w:t>21%</w:t>
            </w:r>
          </w:p>
        </w:tc>
        <w:tc>
          <w:tcPr>
            <w:tcW w:w="481" w:type="pct"/>
            <w:tcBorders>
              <w:top w:val="nil"/>
              <w:left w:val="nil"/>
              <w:bottom w:val="single" w:sz="4" w:space="0" w:color="auto"/>
              <w:right w:val="single" w:sz="4" w:space="0" w:color="auto"/>
            </w:tcBorders>
            <w:shd w:val="clear" w:color="auto" w:fill="auto"/>
            <w:noWrap/>
            <w:vAlign w:val="bottom"/>
            <w:hideMark/>
          </w:tcPr>
          <w:p w14:paraId="5786BB98" w14:textId="77777777" w:rsidR="00A34D6D" w:rsidRPr="00A52AEE" w:rsidRDefault="00A34D6D" w:rsidP="009A2373">
            <w:pPr>
              <w:jc w:val="right"/>
              <w:rPr>
                <w:lang w:eastAsia="en-GB"/>
              </w:rPr>
            </w:pPr>
            <w:r w:rsidRPr="00A52AEE">
              <w:rPr>
                <w:lang w:eastAsia="en-GB"/>
              </w:rPr>
              <w:t>44%</w:t>
            </w:r>
          </w:p>
        </w:tc>
        <w:tc>
          <w:tcPr>
            <w:tcW w:w="418" w:type="pct"/>
            <w:tcBorders>
              <w:top w:val="nil"/>
              <w:left w:val="nil"/>
              <w:bottom w:val="single" w:sz="4" w:space="0" w:color="auto"/>
              <w:right w:val="single" w:sz="4" w:space="0" w:color="auto"/>
            </w:tcBorders>
            <w:shd w:val="clear" w:color="auto" w:fill="auto"/>
            <w:noWrap/>
            <w:vAlign w:val="bottom"/>
            <w:hideMark/>
          </w:tcPr>
          <w:p w14:paraId="66D79A65" w14:textId="77777777" w:rsidR="00A34D6D" w:rsidRPr="00A52AEE" w:rsidRDefault="00A34D6D" w:rsidP="009A2373">
            <w:pPr>
              <w:jc w:val="right"/>
              <w:rPr>
                <w:lang w:eastAsia="en-GB"/>
              </w:rPr>
            </w:pPr>
            <w:r w:rsidRPr="00A52AEE">
              <w:rPr>
                <w:lang w:eastAsia="en-GB"/>
              </w:rPr>
              <w:t>51%</w:t>
            </w:r>
          </w:p>
        </w:tc>
        <w:tc>
          <w:tcPr>
            <w:tcW w:w="449" w:type="pct"/>
            <w:tcBorders>
              <w:top w:val="nil"/>
              <w:left w:val="nil"/>
              <w:bottom w:val="single" w:sz="4" w:space="0" w:color="auto"/>
              <w:right w:val="single" w:sz="8" w:space="0" w:color="auto"/>
            </w:tcBorders>
            <w:shd w:val="clear" w:color="auto" w:fill="auto"/>
            <w:noWrap/>
            <w:vAlign w:val="bottom"/>
            <w:hideMark/>
          </w:tcPr>
          <w:p w14:paraId="784B0F45" w14:textId="77777777" w:rsidR="00A34D6D" w:rsidRPr="00A52AEE" w:rsidRDefault="00A34D6D" w:rsidP="009A2373">
            <w:pPr>
              <w:jc w:val="right"/>
              <w:rPr>
                <w:lang w:eastAsia="en-GB"/>
              </w:rPr>
            </w:pPr>
            <w:r w:rsidRPr="00A52AEE">
              <w:rPr>
                <w:lang w:eastAsia="en-GB"/>
              </w:rPr>
              <w:t>20%</w:t>
            </w:r>
          </w:p>
        </w:tc>
      </w:tr>
      <w:tr w:rsidR="00A34D6D" w:rsidRPr="00A52AEE" w14:paraId="0932B2B7"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786EFFF2" w14:textId="77777777" w:rsidR="00A34D6D" w:rsidRPr="00A52AEE" w:rsidRDefault="00A34D6D" w:rsidP="00A52AEE">
            <w:pPr>
              <w:rPr>
                <w:lang w:eastAsia="en-GB"/>
              </w:rPr>
            </w:pPr>
            <w:r w:rsidRPr="00A52AEE">
              <w:rPr>
                <w:lang w:eastAsia="en-GB"/>
              </w:rPr>
              <w:t>Mixed - White and Black African</w:t>
            </w:r>
          </w:p>
        </w:tc>
        <w:tc>
          <w:tcPr>
            <w:tcW w:w="528" w:type="pct"/>
            <w:tcBorders>
              <w:top w:val="nil"/>
              <w:left w:val="nil"/>
              <w:bottom w:val="single" w:sz="4" w:space="0" w:color="auto"/>
              <w:right w:val="single" w:sz="4" w:space="0" w:color="auto"/>
            </w:tcBorders>
            <w:shd w:val="clear" w:color="auto" w:fill="auto"/>
            <w:noWrap/>
            <w:vAlign w:val="bottom"/>
            <w:hideMark/>
          </w:tcPr>
          <w:p w14:paraId="555DECCF" w14:textId="77777777" w:rsidR="00A34D6D" w:rsidRPr="00A52AEE" w:rsidRDefault="00A34D6D" w:rsidP="009A2373">
            <w:pPr>
              <w:jc w:val="right"/>
              <w:rPr>
                <w:lang w:eastAsia="en-GB"/>
              </w:rPr>
            </w:pPr>
            <w:r w:rsidRPr="00A52AEE">
              <w:rPr>
                <w:lang w:eastAsia="en-GB"/>
              </w:rPr>
              <w:t>58%</w:t>
            </w:r>
          </w:p>
        </w:tc>
        <w:tc>
          <w:tcPr>
            <w:tcW w:w="433" w:type="pct"/>
            <w:tcBorders>
              <w:top w:val="nil"/>
              <w:left w:val="nil"/>
              <w:bottom w:val="single" w:sz="4" w:space="0" w:color="auto"/>
              <w:right w:val="single" w:sz="4" w:space="0" w:color="auto"/>
            </w:tcBorders>
            <w:shd w:val="clear" w:color="auto" w:fill="auto"/>
            <w:noWrap/>
            <w:vAlign w:val="bottom"/>
            <w:hideMark/>
          </w:tcPr>
          <w:p w14:paraId="0F52B1D2" w14:textId="77777777" w:rsidR="00A34D6D" w:rsidRPr="00A52AEE" w:rsidRDefault="00A34D6D" w:rsidP="009A2373">
            <w:pPr>
              <w:jc w:val="right"/>
              <w:rPr>
                <w:lang w:eastAsia="en-GB"/>
              </w:rPr>
            </w:pPr>
            <w:r w:rsidRPr="00A52AEE">
              <w:rPr>
                <w:lang w:eastAsia="en-GB"/>
              </w:rPr>
              <w:t>45%</w:t>
            </w:r>
          </w:p>
        </w:tc>
        <w:tc>
          <w:tcPr>
            <w:tcW w:w="539" w:type="pct"/>
            <w:tcBorders>
              <w:top w:val="nil"/>
              <w:left w:val="nil"/>
              <w:bottom w:val="single" w:sz="4" w:space="0" w:color="auto"/>
              <w:right w:val="single" w:sz="8" w:space="0" w:color="auto"/>
            </w:tcBorders>
            <w:shd w:val="clear" w:color="auto" w:fill="auto"/>
            <w:noWrap/>
            <w:vAlign w:val="bottom"/>
            <w:hideMark/>
          </w:tcPr>
          <w:p w14:paraId="727C78FD" w14:textId="77777777" w:rsidR="00A34D6D" w:rsidRPr="00A52AEE" w:rsidRDefault="00A34D6D" w:rsidP="009A2373">
            <w:pPr>
              <w:jc w:val="right"/>
              <w:rPr>
                <w:lang w:eastAsia="en-GB"/>
              </w:rPr>
            </w:pPr>
            <w:r w:rsidRPr="00A52AEE">
              <w:rPr>
                <w:lang w:eastAsia="en-GB"/>
              </w:rPr>
              <w:t>33%</w:t>
            </w:r>
          </w:p>
        </w:tc>
        <w:tc>
          <w:tcPr>
            <w:tcW w:w="481" w:type="pct"/>
            <w:tcBorders>
              <w:top w:val="nil"/>
              <w:left w:val="nil"/>
              <w:bottom w:val="single" w:sz="4" w:space="0" w:color="auto"/>
              <w:right w:val="single" w:sz="4" w:space="0" w:color="auto"/>
            </w:tcBorders>
            <w:shd w:val="clear" w:color="auto" w:fill="auto"/>
            <w:noWrap/>
            <w:vAlign w:val="bottom"/>
            <w:hideMark/>
          </w:tcPr>
          <w:p w14:paraId="2C3A687D" w14:textId="77777777" w:rsidR="00A34D6D" w:rsidRPr="00A52AEE" w:rsidRDefault="00A34D6D" w:rsidP="009A2373">
            <w:pPr>
              <w:jc w:val="right"/>
              <w:rPr>
                <w:lang w:eastAsia="en-GB"/>
              </w:rPr>
            </w:pPr>
            <w:r w:rsidRPr="00A52AEE">
              <w:rPr>
                <w:lang w:eastAsia="en-GB"/>
              </w:rPr>
              <w:t>39%</w:t>
            </w:r>
          </w:p>
        </w:tc>
        <w:tc>
          <w:tcPr>
            <w:tcW w:w="418" w:type="pct"/>
            <w:tcBorders>
              <w:top w:val="nil"/>
              <w:left w:val="nil"/>
              <w:bottom w:val="single" w:sz="4" w:space="0" w:color="auto"/>
              <w:right w:val="single" w:sz="4" w:space="0" w:color="auto"/>
            </w:tcBorders>
            <w:shd w:val="clear" w:color="auto" w:fill="auto"/>
            <w:noWrap/>
            <w:vAlign w:val="bottom"/>
            <w:hideMark/>
          </w:tcPr>
          <w:p w14:paraId="57C75083" w14:textId="77777777" w:rsidR="00A34D6D" w:rsidRPr="00A52AEE" w:rsidRDefault="00A34D6D" w:rsidP="009A2373">
            <w:pPr>
              <w:jc w:val="right"/>
              <w:rPr>
                <w:lang w:eastAsia="en-GB"/>
              </w:rPr>
            </w:pPr>
            <w:r w:rsidRPr="00A52AEE">
              <w:rPr>
                <w:lang w:eastAsia="en-GB"/>
              </w:rPr>
              <w:t>48%</w:t>
            </w:r>
          </w:p>
        </w:tc>
        <w:tc>
          <w:tcPr>
            <w:tcW w:w="449" w:type="pct"/>
            <w:tcBorders>
              <w:top w:val="nil"/>
              <w:left w:val="nil"/>
              <w:bottom w:val="single" w:sz="4" w:space="0" w:color="auto"/>
              <w:right w:val="single" w:sz="8" w:space="0" w:color="auto"/>
            </w:tcBorders>
            <w:shd w:val="clear" w:color="auto" w:fill="auto"/>
            <w:noWrap/>
            <w:vAlign w:val="bottom"/>
            <w:hideMark/>
          </w:tcPr>
          <w:p w14:paraId="146887E9" w14:textId="77777777" w:rsidR="00A34D6D" w:rsidRPr="00A52AEE" w:rsidRDefault="00A34D6D" w:rsidP="009A2373">
            <w:pPr>
              <w:jc w:val="right"/>
              <w:rPr>
                <w:lang w:eastAsia="en-GB"/>
              </w:rPr>
            </w:pPr>
            <w:r w:rsidRPr="00A52AEE">
              <w:rPr>
                <w:lang w:eastAsia="en-GB"/>
              </w:rPr>
              <w:t>28%</w:t>
            </w:r>
          </w:p>
        </w:tc>
      </w:tr>
      <w:tr w:rsidR="00A34D6D" w:rsidRPr="00A52AEE" w14:paraId="677FDBD6"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78FECB60" w14:textId="77777777" w:rsidR="00A34D6D" w:rsidRPr="00A52AEE" w:rsidRDefault="00A34D6D" w:rsidP="00A52AEE">
            <w:pPr>
              <w:rPr>
                <w:lang w:eastAsia="en-GB"/>
              </w:rPr>
            </w:pPr>
            <w:r w:rsidRPr="00A52AEE">
              <w:rPr>
                <w:lang w:eastAsia="en-GB"/>
              </w:rPr>
              <w:t>Mixed - White and Black Caribbean</w:t>
            </w:r>
          </w:p>
        </w:tc>
        <w:tc>
          <w:tcPr>
            <w:tcW w:w="528" w:type="pct"/>
            <w:tcBorders>
              <w:top w:val="nil"/>
              <w:left w:val="nil"/>
              <w:bottom w:val="single" w:sz="4" w:space="0" w:color="auto"/>
              <w:right w:val="single" w:sz="4" w:space="0" w:color="auto"/>
            </w:tcBorders>
            <w:shd w:val="clear" w:color="auto" w:fill="auto"/>
            <w:noWrap/>
            <w:vAlign w:val="bottom"/>
            <w:hideMark/>
          </w:tcPr>
          <w:p w14:paraId="61CD2B38" w14:textId="77777777" w:rsidR="00A34D6D" w:rsidRPr="00A52AEE" w:rsidRDefault="00A34D6D" w:rsidP="009A2373">
            <w:pPr>
              <w:jc w:val="right"/>
              <w:rPr>
                <w:lang w:eastAsia="en-GB"/>
              </w:rPr>
            </w:pPr>
            <w:r w:rsidRPr="00A52AEE">
              <w:rPr>
                <w:lang w:eastAsia="en-GB"/>
              </w:rPr>
              <w:t>51%</w:t>
            </w:r>
          </w:p>
        </w:tc>
        <w:tc>
          <w:tcPr>
            <w:tcW w:w="433" w:type="pct"/>
            <w:tcBorders>
              <w:top w:val="nil"/>
              <w:left w:val="nil"/>
              <w:bottom w:val="single" w:sz="4" w:space="0" w:color="auto"/>
              <w:right w:val="single" w:sz="4" w:space="0" w:color="auto"/>
            </w:tcBorders>
            <w:shd w:val="clear" w:color="auto" w:fill="auto"/>
            <w:noWrap/>
            <w:vAlign w:val="bottom"/>
            <w:hideMark/>
          </w:tcPr>
          <w:p w14:paraId="16FFDB3D" w14:textId="77777777" w:rsidR="00A34D6D" w:rsidRPr="00A52AEE" w:rsidRDefault="00A34D6D" w:rsidP="009A2373">
            <w:pPr>
              <w:jc w:val="right"/>
              <w:rPr>
                <w:lang w:eastAsia="en-GB"/>
              </w:rPr>
            </w:pPr>
            <w:r w:rsidRPr="00A52AEE">
              <w:rPr>
                <w:lang w:eastAsia="en-GB"/>
              </w:rPr>
              <w:t>50%</w:t>
            </w:r>
          </w:p>
        </w:tc>
        <w:tc>
          <w:tcPr>
            <w:tcW w:w="539" w:type="pct"/>
            <w:tcBorders>
              <w:top w:val="nil"/>
              <w:left w:val="nil"/>
              <w:bottom w:val="single" w:sz="4" w:space="0" w:color="auto"/>
              <w:right w:val="single" w:sz="8" w:space="0" w:color="auto"/>
            </w:tcBorders>
            <w:shd w:val="clear" w:color="auto" w:fill="auto"/>
            <w:noWrap/>
            <w:vAlign w:val="bottom"/>
            <w:hideMark/>
          </w:tcPr>
          <w:p w14:paraId="708A691B" w14:textId="77777777" w:rsidR="00A34D6D" w:rsidRPr="00A52AEE" w:rsidRDefault="00A34D6D" w:rsidP="009A2373">
            <w:pPr>
              <w:jc w:val="right"/>
              <w:rPr>
                <w:lang w:eastAsia="en-GB"/>
              </w:rPr>
            </w:pPr>
            <w:r w:rsidRPr="00A52AEE">
              <w:rPr>
                <w:lang w:eastAsia="en-GB"/>
              </w:rPr>
              <w:t>22%</w:t>
            </w:r>
          </w:p>
        </w:tc>
        <w:tc>
          <w:tcPr>
            <w:tcW w:w="481" w:type="pct"/>
            <w:tcBorders>
              <w:top w:val="nil"/>
              <w:left w:val="nil"/>
              <w:bottom w:val="single" w:sz="4" w:space="0" w:color="auto"/>
              <w:right w:val="single" w:sz="4" w:space="0" w:color="auto"/>
            </w:tcBorders>
            <w:shd w:val="clear" w:color="auto" w:fill="auto"/>
            <w:noWrap/>
            <w:vAlign w:val="bottom"/>
            <w:hideMark/>
          </w:tcPr>
          <w:p w14:paraId="08EF289F" w14:textId="77777777" w:rsidR="00A34D6D" w:rsidRPr="00A52AEE" w:rsidRDefault="00A34D6D" w:rsidP="009A2373">
            <w:pPr>
              <w:jc w:val="right"/>
              <w:rPr>
                <w:lang w:eastAsia="en-GB"/>
              </w:rPr>
            </w:pPr>
            <w:r w:rsidRPr="00A52AEE">
              <w:rPr>
                <w:lang w:eastAsia="en-GB"/>
              </w:rPr>
              <w:t>32%</w:t>
            </w:r>
          </w:p>
        </w:tc>
        <w:tc>
          <w:tcPr>
            <w:tcW w:w="418" w:type="pct"/>
            <w:tcBorders>
              <w:top w:val="nil"/>
              <w:left w:val="nil"/>
              <w:bottom w:val="single" w:sz="4" w:space="0" w:color="auto"/>
              <w:right w:val="single" w:sz="4" w:space="0" w:color="auto"/>
            </w:tcBorders>
            <w:shd w:val="clear" w:color="auto" w:fill="auto"/>
            <w:noWrap/>
            <w:vAlign w:val="bottom"/>
            <w:hideMark/>
          </w:tcPr>
          <w:p w14:paraId="59F62052" w14:textId="77777777" w:rsidR="00A34D6D" w:rsidRPr="00A52AEE" w:rsidRDefault="00A34D6D" w:rsidP="009A2373">
            <w:pPr>
              <w:jc w:val="right"/>
              <w:rPr>
                <w:lang w:eastAsia="en-GB"/>
              </w:rPr>
            </w:pPr>
            <w:r w:rsidRPr="00A52AEE">
              <w:rPr>
                <w:lang w:eastAsia="en-GB"/>
              </w:rPr>
              <w:t>36%</w:t>
            </w:r>
          </w:p>
        </w:tc>
        <w:tc>
          <w:tcPr>
            <w:tcW w:w="449" w:type="pct"/>
            <w:tcBorders>
              <w:top w:val="nil"/>
              <w:left w:val="nil"/>
              <w:bottom w:val="single" w:sz="4" w:space="0" w:color="auto"/>
              <w:right w:val="single" w:sz="8" w:space="0" w:color="auto"/>
            </w:tcBorders>
            <w:shd w:val="clear" w:color="auto" w:fill="auto"/>
            <w:noWrap/>
            <w:vAlign w:val="bottom"/>
            <w:hideMark/>
          </w:tcPr>
          <w:p w14:paraId="5242CB58" w14:textId="77777777" w:rsidR="00A34D6D" w:rsidRPr="00A52AEE" w:rsidRDefault="00A34D6D" w:rsidP="009A2373">
            <w:pPr>
              <w:jc w:val="right"/>
              <w:rPr>
                <w:lang w:eastAsia="en-GB"/>
              </w:rPr>
            </w:pPr>
            <w:r w:rsidRPr="00A52AEE">
              <w:rPr>
                <w:lang w:eastAsia="en-GB"/>
              </w:rPr>
              <w:t>25%</w:t>
            </w:r>
          </w:p>
        </w:tc>
      </w:tr>
      <w:tr w:rsidR="00A34D6D" w:rsidRPr="00A52AEE" w14:paraId="63F9B741"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2F219E06" w14:textId="77777777" w:rsidR="00A34D6D" w:rsidRPr="00A52AEE" w:rsidRDefault="00A34D6D" w:rsidP="00A52AEE">
            <w:pPr>
              <w:rPr>
                <w:lang w:eastAsia="en-GB"/>
              </w:rPr>
            </w:pPr>
            <w:r w:rsidRPr="00A52AEE">
              <w:rPr>
                <w:lang w:eastAsia="en-GB"/>
              </w:rPr>
              <w:t>not known/not provided</w:t>
            </w:r>
          </w:p>
        </w:tc>
        <w:tc>
          <w:tcPr>
            <w:tcW w:w="528" w:type="pct"/>
            <w:tcBorders>
              <w:top w:val="nil"/>
              <w:left w:val="nil"/>
              <w:bottom w:val="single" w:sz="4" w:space="0" w:color="auto"/>
              <w:right w:val="single" w:sz="4" w:space="0" w:color="auto"/>
            </w:tcBorders>
            <w:shd w:val="clear" w:color="auto" w:fill="auto"/>
            <w:noWrap/>
            <w:vAlign w:val="bottom"/>
            <w:hideMark/>
          </w:tcPr>
          <w:p w14:paraId="37B81AA1" w14:textId="77777777" w:rsidR="00A34D6D" w:rsidRPr="00A52AEE" w:rsidRDefault="00A34D6D" w:rsidP="009A2373">
            <w:pPr>
              <w:jc w:val="right"/>
              <w:rPr>
                <w:lang w:eastAsia="en-GB"/>
              </w:rPr>
            </w:pPr>
            <w:r w:rsidRPr="00A52AEE">
              <w:rPr>
                <w:lang w:eastAsia="en-GB"/>
              </w:rPr>
              <w:t>62%</w:t>
            </w:r>
          </w:p>
        </w:tc>
        <w:tc>
          <w:tcPr>
            <w:tcW w:w="433" w:type="pct"/>
            <w:tcBorders>
              <w:top w:val="nil"/>
              <w:left w:val="nil"/>
              <w:bottom w:val="single" w:sz="4" w:space="0" w:color="auto"/>
              <w:right w:val="single" w:sz="4" w:space="0" w:color="auto"/>
            </w:tcBorders>
            <w:shd w:val="clear" w:color="auto" w:fill="auto"/>
            <w:noWrap/>
            <w:vAlign w:val="bottom"/>
            <w:hideMark/>
          </w:tcPr>
          <w:p w14:paraId="2CE27326" w14:textId="77777777" w:rsidR="00A34D6D" w:rsidRPr="00A52AEE" w:rsidRDefault="00A34D6D" w:rsidP="009A2373">
            <w:pPr>
              <w:jc w:val="right"/>
              <w:rPr>
                <w:lang w:eastAsia="en-GB"/>
              </w:rPr>
            </w:pPr>
            <w:r w:rsidRPr="00A52AEE">
              <w:rPr>
                <w:lang w:eastAsia="en-GB"/>
              </w:rPr>
              <w:t>41%</w:t>
            </w:r>
          </w:p>
        </w:tc>
        <w:tc>
          <w:tcPr>
            <w:tcW w:w="539" w:type="pct"/>
            <w:tcBorders>
              <w:top w:val="nil"/>
              <w:left w:val="nil"/>
              <w:bottom w:val="single" w:sz="4" w:space="0" w:color="auto"/>
              <w:right w:val="single" w:sz="8" w:space="0" w:color="auto"/>
            </w:tcBorders>
            <w:shd w:val="clear" w:color="auto" w:fill="auto"/>
            <w:noWrap/>
            <w:vAlign w:val="bottom"/>
            <w:hideMark/>
          </w:tcPr>
          <w:p w14:paraId="0668386C" w14:textId="77777777" w:rsidR="00A34D6D" w:rsidRPr="00A52AEE" w:rsidRDefault="00A34D6D" w:rsidP="009A2373">
            <w:pPr>
              <w:jc w:val="right"/>
              <w:rPr>
                <w:lang w:eastAsia="en-GB"/>
              </w:rPr>
            </w:pPr>
            <w:r w:rsidRPr="00A52AEE">
              <w:rPr>
                <w:lang w:eastAsia="en-GB"/>
              </w:rPr>
              <w:t>11%</w:t>
            </w:r>
          </w:p>
        </w:tc>
        <w:tc>
          <w:tcPr>
            <w:tcW w:w="481" w:type="pct"/>
            <w:tcBorders>
              <w:top w:val="nil"/>
              <w:left w:val="nil"/>
              <w:bottom w:val="single" w:sz="4" w:space="0" w:color="auto"/>
              <w:right w:val="single" w:sz="4" w:space="0" w:color="auto"/>
            </w:tcBorders>
            <w:shd w:val="clear" w:color="auto" w:fill="auto"/>
            <w:noWrap/>
            <w:vAlign w:val="bottom"/>
            <w:hideMark/>
          </w:tcPr>
          <w:p w14:paraId="674942E0" w14:textId="77777777" w:rsidR="00A34D6D" w:rsidRPr="00A52AEE" w:rsidRDefault="00A34D6D" w:rsidP="009A2373">
            <w:pPr>
              <w:jc w:val="right"/>
              <w:rPr>
                <w:lang w:eastAsia="en-GB"/>
              </w:rPr>
            </w:pPr>
            <w:r w:rsidRPr="00A52AEE">
              <w:rPr>
                <w:lang w:eastAsia="en-GB"/>
              </w:rPr>
              <w:t>43%</w:t>
            </w:r>
          </w:p>
        </w:tc>
        <w:tc>
          <w:tcPr>
            <w:tcW w:w="418" w:type="pct"/>
            <w:tcBorders>
              <w:top w:val="nil"/>
              <w:left w:val="nil"/>
              <w:bottom w:val="single" w:sz="4" w:space="0" w:color="auto"/>
              <w:right w:val="single" w:sz="4" w:space="0" w:color="auto"/>
            </w:tcBorders>
            <w:shd w:val="clear" w:color="auto" w:fill="auto"/>
            <w:noWrap/>
            <w:vAlign w:val="bottom"/>
            <w:hideMark/>
          </w:tcPr>
          <w:p w14:paraId="00977BB2" w14:textId="77777777" w:rsidR="00A34D6D" w:rsidRPr="00A52AEE" w:rsidRDefault="00A34D6D" w:rsidP="009A2373">
            <w:pPr>
              <w:jc w:val="right"/>
              <w:rPr>
                <w:lang w:eastAsia="en-GB"/>
              </w:rPr>
            </w:pPr>
            <w:r w:rsidRPr="00A52AEE">
              <w:rPr>
                <w:lang w:eastAsia="en-GB"/>
              </w:rPr>
              <w:t>34%</w:t>
            </w:r>
          </w:p>
        </w:tc>
        <w:tc>
          <w:tcPr>
            <w:tcW w:w="449" w:type="pct"/>
            <w:tcBorders>
              <w:top w:val="nil"/>
              <w:left w:val="nil"/>
              <w:bottom w:val="single" w:sz="4" w:space="0" w:color="auto"/>
              <w:right w:val="single" w:sz="8" w:space="0" w:color="auto"/>
            </w:tcBorders>
            <w:shd w:val="clear" w:color="auto" w:fill="auto"/>
            <w:noWrap/>
            <w:vAlign w:val="bottom"/>
            <w:hideMark/>
          </w:tcPr>
          <w:p w14:paraId="4E7119DB" w14:textId="77777777" w:rsidR="00A34D6D" w:rsidRPr="00A52AEE" w:rsidRDefault="00A34D6D" w:rsidP="009A2373">
            <w:pPr>
              <w:jc w:val="right"/>
              <w:rPr>
                <w:lang w:eastAsia="en-GB"/>
              </w:rPr>
            </w:pPr>
            <w:r w:rsidRPr="00A52AEE">
              <w:rPr>
                <w:lang w:eastAsia="en-GB"/>
              </w:rPr>
              <w:t>18%</w:t>
            </w:r>
          </w:p>
        </w:tc>
      </w:tr>
      <w:tr w:rsidR="00A34D6D" w:rsidRPr="00A52AEE" w14:paraId="0601AA7A"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7DF835F7" w14:textId="77777777" w:rsidR="00A34D6D" w:rsidRPr="00A52AEE" w:rsidRDefault="00A34D6D" w:rsidP="00A52AEE">
            <w:pPr>
              <w:rPr>
                <w:lang w:eastAsia="en-GB"/>
              </w:rPr>
            </w:pPr>
            <w:r w:rsidRPr="00A52AEE">
              <w:rPr>
                <w:lang w:eastAsia="en-GB"/>
              </w:rPr>
              <w:t>Other ethnic group</w:t>
            </w:r>
          </w:p>
        </w:tc>
        <w:tc>
          <w:tcPr>
            <w:tcW w:w="528" w:type="pct"/>
            <w:tcBorders>
              <w:top w:val="nil"/>
              <w:left w:val="nil"/>
              <w:bottom w:val="single" w:sz="4" w:space="0" w:color="auto"/>
              <w:right w:val="single" w:sz="4" w:space="0" w:color="auto"/>
            </w:tcBorders>
            <w:shd w:val="clear" w:color="auto" w:fill="auto"/>
            <w:noWrap/>
            <w:vAlign w:val="bottom"/>
            <w:hideMark/>
          </w:tcPr>
          <w:p w14:paraId="363B4083" w14:textId="77777777" w:rsidR="00A34D6D" w:rsidRPr="00A52AEE" w:rsidRDefault="00A34D6D" w:rsidP="009A2373">
            <w:pPr>
              <w:jc w:val="right"/>
              <w:rPr>
                <w:lang w:eastAsia="en-GB"/>
              </w:rPr>
            </w:pPr>
            <w:r w:rsidRPr="00A52AEE">
              <w:rPr>
                <w:lang w:eastAsia="en-GB"/>
              </w:rPr>
              <w:t>68%</w:t>
            </w:r>
          </w:p>
        </w:tc>
        <w:tc>
          <w:tcPr>
            <w:tcW w:w="433" w:type="pct"/>
            <w:tcBorders>
              <w:top w:val="nil"/>
              <w:left w:val="nil"/>
              <w:bottom w:val="single" w:sz="4" w:space="0" w:color="auto"/>
              <w:right w:val="single" w:sz="4" w:space="0" w:color="auto"/>
            </w:tcBorders>
            <w:shd w:val="clear" w:color="auto" w:fill="auto"/>
            <w:noWrap/>
            <w:vAlign w:val="bottom"/>
            <w:hideMark/>
          </w:tcPr>
          <w:p w14:paraId="1A26BE21" w14:textId="77777777" w:rsidR="00A34D6D" w:rsidRPr="00A52AEE" w:rsidRDefault="00A34D6D" w:rsidP="009A2373">
            <w:pPr>
              <w:jc w:val="right"/>
              <w:rPr>
                <w:lang w:eastAsia="en-GB"/>
              </w:rPr>
            </w:pPr>
            <w:r w:rsidRPr="00A52AEE">
              <w:rPr>
                <w:lang w:eastAsia="en-GB"/>
              </w:rPr>
              <w:t>48%</w:t>
            </w:r>
          </w:p>
        </w:tc>
        <w:tc>
          <w:tcPr>
            <w:tcW w:w="539" w:type="pct"/>
            <w:tcBorders>
              <w:top w:val="nil"/>
              <w:left w:val="nil"/>
              <w:bottom w:val="single" w:sz="4" w:space="0" w:color="auto"/>
              <w:right w:val="single" w:sz="8" w:space="0" w:color="auto"/>
            </w:tcBorders>
            <w:shd w:val="clear" w:color="auto" w:fill="auto"/>
            <w:noWrap/>
            <w:vAlign w:val="bottom"/>
            <w:hideMark/>
          </w:tcPr>
          <w:p w14:paraId="5B58B7FA" w14:textId="77777777" w:rsidR="00A34D6D" w:rsidRPr="00A52AEE" w:rsidRDefault="00A34D6D" w:rsidP="009A2373">
            <w:pPr>
              <w:jc w:val="right"/>
              <w:rPr>
                <w:lang w:eastAsia="en-GB"/>
              </w:rPr>
            </w:pPr>
            <w:r w:rsidRPr="00A52AEE">
              <w:rPr>
                <w:lang w:eastAsia="en-GB"/>
              </w:rPr>
              <w:t>17%</w:t>
            </w:r>
          </w:p>
        </w:tc>
        <w:tc>
          <w:tcPr>
            <w:tcW w:w="481" w:type="pct"/>
            <w:tcBorders>
              <w:top w:val="nil"/>
              <w:left w:val="nil"/>
              <w:bottom w:val="single" w:sz="4" w:space="0" w:color="auto"/>
              <w:right w:val="single" w:sz="4" w:space="0" w:color="auto"/>
            </w:tcBorders>
            <w:shd w:val="clear" w:color="auto" w:fill="auto"/>
            <w:noWrap/>
            <w:vAlign w:val="bottom"/>
            <w:hideMark/>
          </w:tcPr>
          <w:p w14:paraId="7596D04D" w14:textId="77777777" w:rsidR="00A34D6D" w:rsidRPr="00A52AEE" w:rsidRDefault="00A34D6D" w:rsidP="009A2373">
            <w:pPr>
              <w:jc w:val="right"/>
              <w:rPr>
                <w:lang w:eastAsia="en-GB"/>
              </w:rPr>
            </w:pPr>
            <w:r w:rsidRPr="00A52AEE">
              <w:rPr>
                <w:lang w:eastAsia="en-GB"/>
              </w:rPr>
              <w:t>52%</w:t>
            </w:r>
          </w:p>
        </w:tc>
        <w:tc>
          <w:tcPr>
            <w:tcW w:w="418" w:type="pct"/>
            <w:tcBorders>
              <w:top w:val="nil"/>
              <w:left w:val="nil"/>
              <w:bottom w:val="single" w:sz="4" w:space="0" w:color="auto"/>
              <w:right w:val="single" w:sz="4" w:space="0" w:color="auto"/>
            </w:tcBorders>
            <w:shd w:val="clear" w:color="auto" w:fill="auto"/>
            <w:noWrap/>
            <w:vAlign w:val="bottom"/>
            <w:hideMark/>
          </w:tcPr>
          <w:p w14:paraId="35C21C0D" w14:textId="77777777" w:rsidR="00A34D6D" w:rsidRPr="00A52AEE" w:rsidRDefault="00A34D6D" w:rsidP="009A2373">
            <w:pPr>
              <w:jc w:val="right"/>
              <w:rPr>
                <w:lang w:eastAsia="en-GB"/>
              </w:rPr>
            </w:pPr>
            <w:r w:rsidRPr="00A52AEE">
              <w:rPr>
                <w:lang w:eastAsia="en-GB"/>
              </w:rPr>
              <w:t>38%</w:t>
            </w:r>
          </w:p>
        </w:tc>
        <w:tc>
          <w:tcPr>
            <w:tcW w:w="449" w:type="pct"/>
            <w:tcBorders>
              <w:top w:val="nil"/>
              <w:left w:val="nil"/>
              <w:bottom w:val="single" w:sz="4" w:space="0" w:color="auto"/>
              <w:right w:val="single" w:sz="8" w:space="0" w:color="auto"/>
            </w:tcBorders>
            <w:shd w:val="clear" w:color="auto" w:fill="auto"/>
            <w:noWrap/>
            <w:vAlign w:val="bottom"/>
            <w:hideMark/>
          </w:tcPr>
          <w:p w14:paraId="72BADEC9" w14:textId="77777777" w:rsidR="00A34D6D" w:rsidRPr="00A52AEE" w:rsidRDefault="00A34D6D" w:rsidP="009A2373">
            <w:pPr>
              <w:jc w:val="right"/>
              <w:rPr>
                <w:lang w:eastAsia="en-GB"/>
              </w:rPr>
            </w:pPr>
            <w:r w:rsidRPr="00A52AEE">
              <w:rPr>
                <w:lang w:eastAsia="en-GB"/>
              </w:rPr>
              <w:t>18%</w:t>
            </w:r>
          </w:p>
        </w:tc>
      </w:tr>
      <w:tr w:rsidR="00A34D6D" w:rsidRPr="00A52AEE" w14:paraId="47F3C94C"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08F5BBB4" w14:textId="77777777" w:rsidR="00A34D6D" w:rsidRPr="00A52AEE" w:rsidRDefault="00A34D6D" w:rsidP="00A52AEE">
            <w:pPr>
              <w:rPr>
                <w:lang w:eastAsia="en-GB"/>
              </w:rPr>
            </w:pPr>
            <w:r w:rsidRPr="00A52AEE">
              <w:rPr>
                <w:lang w:eastAsia="en-GB"/>
              </w:rPr>
              <w:t>Other Mixed / multiple ethnic background</w:t>
            </w:r>
          </w:p>
        </w:tc>
        <w:tc>
          <w:tcPr>
            <w:tcW w:w="528" w:type="pct"/>
            <w:tcBorders>
              <w:top w:val="nil"/>
              <w:left w:val="nil"/>
              <w:bottom w:val="single" w:sz="4" w:space="0" w:color="auto"/>
              <w:right w:val="single" w:sz="4" w:space="0" w:color="auto"/>
            </w:tcBorders>
            <w:shd w:val="clear" w:color="auto" w:fill="auto"/>
            <w:noWrap/>
            <w:vAlign w:val="bottom"/>
            <w:hideMark/>
          </w:tcPr>
          <w:p w14:paraId="562E9067" w14:textId="77777777" w:rsidR="00A34D6D" w:rsidRPr="00A52AEE" w:rsidRDefault="00A34D6D" w:rsidP="009A2373">
            <w:pPr>
              <w:jc w:val="right"/>
              <w:rPr>
                <w:lang w:eastAsia="en-GB"/>
              </w:rPr>
            </w:pPr>
            <w:r w:rsidRPr="00A52AEE">
              <w:rPr>
                <w:lang w:eastAsia="en-GB"/>
              </w:rPr>
              <w:t>60%</w:t>
            </w:r>
          </w:p>
        </w:tc>
        <w:tc>
          <w:tcPr>
            <w:tcW w:w="433" w:type="pct"/>
            <w:tcBorders>
              <w:top w:val="nil"/>
              <w:left w:val="nil"/>
              <w:bottom w:val="single" w:sz="4" w:space="0" w:color="auto"/>
              <w:right w:val="single" w:sz="4" w:space="0" w:color="auto"/>
            </w:tcBorders>
            <w:shd w:val="clear" w:color="auto" w:fill="auto"/>
            <w:noWrap/>
            <w:vAlign w:val="bottom"/>
            <w:hideMark/>
          </w:tcPr>
          <w:p w14:paraId="5366991B" w14:textId="77777777" w:rsidR="00A34D6D" w:rsidRPr="00A52AEE" w:rsidRDefault="00A34D6D" w:rsidP="009A2373">
            <w:pPr>
              <w:jc w:val="right"/>
              <w:rPr>
                <w:lang w:eastAsia="en-GB"/>
              </w:rPr>
            </w:pPr>
            <w:r w:rsidRPr="00A52AEE">
              <w:rPr>
                <w:lang w:eastAsia="en-GB"/>
              </w:rPr>
              <w:t>54%</w:t>
            </w:r>
          </w:p>
        </w:tc>
        <w:tc>
          <w:tcPr>
            <w:tcW w:w="539" w:type="pct"/>
            <w:tcBorders>
              <w:top w:val="nil"/>
              <w:left w:val="nil"/>
              <w:bottom w:val="single" w:sz="4" w:space="0" w:color="auto"/>
              <w:right w:val="single" w:sz="8" w:space="0" w:color="auto"/>
            </w:tcBorders>
            <w:shd w:val="clear" w:color="auto" w:fill="auto"/>
            <w:noWrap/>
            <w:vAlign w:val="bottom"/>
            <w:hideMark/>
          </w:tcPr>
          <w:p w14:paraId="220C8AE9" w14:textId="77777777" w:rsidR="00A34D6D" w:rsidRPr="00A52AEE" w:rsidRDefault="00A34D6D" w:rsidP="009A2373">
            <w:pPr>
              <w:jc w:val="right"/>
              <w:rPr>
                <w:lang w:eastAsia="en-GB"/>
              </w:rPr>
            </w:pPr>
            <w:r w:rsidRPr="00A52AEE">
              <w:rPr>
                <w:lang w:eastAsia="en-GB"/>
              </w:rPr>
              <w:t>22%</w:t>
            </w:r>
          </w:p>
        </w:tc>
        <w:tc>
          <w:tcPr>
            <w:tcW w:w="481" w:type="pct"/>
            <w:tcBorders>
              <w:top w:val="nil"/>
              <w:left w:val="nil"/>
              <w:bottom w:val="single" w:sz="4" w:space="0" w:color="auto"/>
              <w:right w:val="single" w:sz="4" w:space="0" w:color="auto"/>
            </w:tcBorders>
            <w:shd w:val="clear" w:color="auto" w:fill="auto"/>
            <w:noWrap/>
            <w:vAlign w:val="bottom"/>
            <w:hideMark/>
          </w:tcPr>
          <w:p w14:paraId="5639C7E9" w14:textId="77777777" w:rsidR="00A34D6D" w:rsidRPr="00A52AEE" w:rsidRDefault="00A34D6D" w:rsidP="009A2373">
            <w:pPr>
              <w:jc w:val="right"/>
              <w:rPr>
                <w:lang w:eastAsia="en-GB"/>
              </w:rPr>
            </w:pPr>
            <w:r w:rsidRPr="00A52AEE">
              <w:rPr>
                <w:lang w:eastAsia="en-GB"/>
              </w:rPr>
              <w:t>40%</w:t>
            </w:r>
          </w:p>
        </w:tc>
        <w:tc>
          <w:tcPr>
            <w:tcW w:w="418" w:type="pct"/>
            <w:tcBorders>
              <w:top w:val="nil"/>
              <w:left w:val="nil"/>
              <w:bottom w:val="single" w:sz="4" w:space="0" w:color="auto"/>
              <w:right w:val="single" w:sz="4" w:space="0" w:color="auto"/>
            </w:tcBorders>
            <w:shd w:val="clear" w:color="auto" w:fill="auto"/>
            <w:noWrap/>
            <w:vAlign w:val="bottom"/>
            <w:hideMark/>
          </w:tcPr>
          <w:p w14:paraId="01B7297D" w14:textId="77777777" w:rsidR="00A34D6D" w:rsidRPr="00A52AEE" w:rsidRDefault="00A34D6D" w:rsidP="009A2373">
            <w:pPr>
              <w:jc w:val="right"/>
              <w:rPr>
                <w:lang w:eastAsia="en-GB"/>
              </w:rPr>
            </w:pPr>
            <w:r w:rsidRPr="00A52AEE">
              <w:rPr>
                <w:lang w:eastAsia="en-GB"/>
              </w:rPr>
              <w:t>51%</w:t>
            </w:r>
          </w:p>
        </w:tc>
        <w:tc>
          <w:tcPr>
            <w:tcW w:w="449" w:type="pct"/>
            <w:tcBorders>
              <w:top w:val="nil"/>
              <w:left w:val="nil"/>
              <w:bottom w:val="single" w:sz="4" w:space="0" w:color="auto"/>
              <w:right w:val="single" w:sz="8" w:space="0" w:color="auto"/>
            </w:tcBorders>
            <w:shd w:val="clear" w:color="auto" w:fill="auto"/>
            <w:noWrap/>
            <w:vAlign w:val="bottom"/>
            <w:hideMark/>
          </w:tcPr>
          <w:p w14:paraId="6ABF4CD7" w14:textId="77777777" w:rsidR="00A34D6D" w:rsidRPr="00A52AEE" w:rsidRDefault="00A34D6D" w:rsidP="009A2373">
            <w:pPr>
              <w:jc w:val="right"/>
              <w:rPr>
                <w:lang w:eastAsia="en-GB"/>
              </w:rPr>
            </w:pPr>
            <w:r w:rsidRPr="00A52AEE">
              <w:rPr>
                <w:lang w:eastAsia="en-GB"/>
              </w:rPr>
              <w:t>23%</w:t>
            </w:r>
          </w:p>
        </w:tc>
      </w:tr>
      <w:tr w:rsidR="00A34D6D" w:rsidRPr="00A52AEE" w14:paraId="1F78777F" w14:textId="77777777" w:rsidTr="008957CE">
        <w:trPr>
          <w:trHeight w:val="300"/>
        </w:trPr>
        <w:tc>
          <w:tcPr>
            <w:tcW w:w="2152" w:type="pct"/>
            <w:tcBorders>
              <w:top w:val="nil"/>
              <w:left w:val="single" w:sz="8" w:space="0" w:color="auto"/>
              <w:bottom w:val="single" w:sz="4" w:space="0" w:color="auto"/>
              <w:right w:val="single" w:sz="8" w:space="0" w:color="auto"/>
            </w:tcBorders>
            <w:shd w:val="clear" w:color="auto" w:fill="auto"/>
            <w:noWrap/>
            <w:vAlign w:val="bottom"/>
            <w:hideMark/>
          </w:tcPr>
          <w:p w14:paraId="6E7E3662" w14:textId="77777777" w:rsidR="00A34D6D" w:rsidRPr="00A52AEE" w:rsidRDefault="00A34D6D" w:rsidP="00A52AEE">
            <w:pPr>
              <w:rPr>
                <w:lang w:eastAsia="en-GB"/>
              </w:rPr>
            </w:pPr>
            <w:r w:rsidRPr="00A52AEE">
              <w:rPr>
                <w:lang w:eastAsia="en-GB"/>
              </w:rPr>
              <w:t>White - any other White background</w:t>
            </w:r>
          </w:p>
        </w:tc>
        <w:tc>
          <w:tcPr>
            <w:tcW w:w="528" w:type="pct"/>
            <w:tcBorders>
              <w:top w:val="nil"/>
              <w:left w:val="nil"/>
              <w:bottom w:val="single" w:sz="4" w:space="0" w:color="auto"/>
              <w:right w:val="single" w:sz="4" w:space="0" w:color="auto"/>
            </w:tcBorders>
            <w:shd w:val="clear" w:color="auto" w:fill="auto"/>
            <w:noWrap/>
            <w:vAlign w:val="bottom"/>
            <w:hideMark/>
          </w:tcPr>
          <w:p w14:paraId="7AF93C44" w14:textId="77777777" w:rsidR="00A34D6D" w:rsidRPr="00A52AEE" w:rsidRDefault="00A34D6D" w:rsidP="009A2373">
            <w:pPr>
              <w:jc w:val="right"/>
              <w:rPr>
                <w:lang w:eastAsia="en-GB"/>
              </w:rPr>
            </w:pPr>
            <w:r w:rsidRPr="00A52AEE">
              <w:rPr>
                <w:lang w:eastAsia="en-GB"/>
              </w:rPr>
              <w:t>62%</w:t>
            </w:r>
          </w:p>
        </w:tc>
        <w:tc>
          <w:tcPr>
            <w:tcW w:w="433" w:type="pct"/>
            <w:tcBorders>
              <w:top w:val="nil"/>
              <w:left w:val="nil"/>
              <w:bottom w:val="single" w:sz="4" w:space="0" w:color="auto"/>
              <w:right w:val="single" w:sz="4" w:space="0" w:color="auto"/>
            </w:tcBorders>
            <w:shd w:val="clear" w:color="auto" w:fill="auto"/>
            <w:noWrap/>
            <w:vAlign w:val="bottom"/>
            <w:hideMark/>
          </w:tcPr>
          <w:p w14:paraId="468A07D8" w14:textId="77777777" w:rsidR="00A34D6D" w:rsidRPr="00A52AEE" w:rsidRDefault="00A34D6D" w:rsidP="009A2373">
            <w:pPr>
              <w:jc w:val="right"/>
              <w:rPr>
                <w:lang w:eastAsia="en-GB"/>
              </w:rPr>
            </w:pPr>
            <w:r w:rsidRPr="00A52AEE">
              <w:rPr>
                <w:lang w:eastAsia="en-GB"/>
              </w:rPr>
              <w:t>40%</w:t>
            </w:r>
          </w:p>
        </w:tc>
        <w:tc>
          <w:tcPr>
            <w:tcW w:w="539" w:type="pct"/>
            <w:tcBorders>
              <w:top w:val="nil"/>
              <w:left w:val="nil"/>
              <w:bottom w:val="single" w:sz="4" w:space="0" w:color="auto"/>
              <w:right w:val="single" w:sz="8" w:space="0" w:color="auto"/>
            </w:tcBorders>
            <w:shd w:val="clear" w:color="auto" w:fill="auto"/>
            <w:noWrap/>
            <w:vAlign w:val="bottom"/>
            <w:hideMark/>
          </w:tcPr>
          <w:p w14:paraId="385BCF26" w14:textId="77777777" w:rsidR="00A34D6D" w:rsidRPr="00A52AEE" w:rsidRDefault="00A34D6D" w:rsidP="009A2373">
            <w:pPr>
              <w:jc w:val="right"/>
              <w:rPr>
                <w:lang w:eastAsia="en-GB"/>
              </w:rPr>
            </w:pPr>
            <w:r w:rsidRPr="00A52AEE">
              <w:rPr>
                <w:lang w:eastAsia="en-GB"/>
              </w:rPr>
              <w:t>14%</w:t>
            </w:r>
          </w:p>
        </w:tc>
        <w:tc>
          <w:tcPr>
            <w:tcW w:w="481" w:type="pct"/>
            <w:tcBorders>
              <w:top w:val="nil"/>
              <w:left w:val="nil"/>
              <w:bottom w:val="single" w:sz="4" w:space="0" w:color="auto"/>
              <w:right w:val="single" w:sz="4" w:space="0" w:color="auto"/>
            </w:tcBorders>
            <w:shd w:val="clear" w:color="auto" w:fill="auto"/>
            <w:noWrap/>
            <w:vAlign w:val="bottom"/>
            <w:hideMark/>
          </w:tcPr>
          <w:p w14:paraId="3526AAF0" w14:textId="77777777" w:rsidR="00A34D6D" w:rsidRPr="00A52AEE" w:rsidRDefault="00A34D6D" w:rsidP="009A2373">
            <w:pPr>
              <w:jc w:val="right"/>
              <w:rPr>
                <w:lang w:eastAsia="en-GB"/>
              </w:rPr>
            </w:pPr>
            <w:r w:rsidRPr="00A52AEE">
              <w:rPr>
                <w:lang w:eastAsia="en-GB"/>
              </w:rPr>
              <w:t>42%</w:t>
            </w:r>
          </w:p>
        </w:tc>
        <w:tc>
          <w:tcPr>
            <w:tcW w:w="418" w:type="pct"/>
            <w:tcBorders>
              <w:top w:val="nil"/>
              <w:left w:val="nil"/>
              <w:bottom w:val="single" w:sz="4" w:space="0" w:color="auto"/>
              <w:right w:val="single" w:sz="4" w:space="0" w:color="auto"/>
            </w:tcBorders>
            <w:shd w:val="clear" w:color="auto" w:fill="auto"/>
            <w:noWrap/>
            <w:vAlign w:val="bottom"/>
            <w:hideMark/>
          </w:tcPr>
          <w:p w14:paraId="277893A1" w14:textId="77777777" w:rsidR="00A34D6D" w:rsidRPr="00A52AEE" w:rsidRDefault="00A34D6D" w:rsidP="009A2373">
            <w:pPr>
              <w:jc w:val="right"/>
              <w:rPr>
                <w:lang w:eastAsia="en-GB"/>
              </w:rPr>
            </w:pPr>
            <w:r w:rsidRPr="00A52AEE">
              <w:rPr>
                <w:lang w:eastAsia="en-GB"/>
              </w:rPr>
              <w:t>39%</w:t>
            </w:r>
          </w:p>
        </w:tc>
        <w:tc>
          <w:tcPr>
            <w:tcW w:w="449" w:type="pct"/>
            <w:tcBorders>
              <w:top w:val="nil"/>
              <w:left w:val="nil"/>
              <w:bottom w:val="single" w:sz="4" w:space="0" w:color="auto"/>
              <w:right w:val="single" w:sz="8" w:space="0" w:color="auto"/>
            </w:tcBorders>
            <w:shd w:val="clear" w:color="auto" w:fill="auto"/>
            <w:noWrap/>
            <w:vAlign w:val="bottom"/>
            <w:hideMark/>
          </w:tcPr>
          <w:p w14:paraId="57C4442E" w14:textId="77777777" w:rsidR="00A34D6D" w:rsidRPr="00A52AEE" w:rsidRDefault="00A34D6D" w:rsidP="009A2373">
            <w:pPr>
              <w:jc w:val="right"/>
              <w:rPr>
                <w:lang w:eastAsia="en-GB"/>
              </w:rPr>
            </w:pPr>
            <w:r w:rsidRPr="00A52AEE">
              <w:rPr>
                <w:lang w:eastAsia="en-GB"/>
              </w:rPr>
              <w:t>22%</w:t>
            </w:r>
          </w:p>
        </w:tc>
      </w:tr>
      <w:tr w:rsidR="00A34D6D" w:rsidRPr="00A52AEE" w14:paraId="5668E911" w14:textId="77777777" w:rsidTr="008957CE">
        <w:trPr>
          <w:trHeight w:val="315"/>
        </w:trPr>
        <w:tc>
          <w:tcPr>
            <w:tcW w:w="2152" w:type="pct"/>
            <w:tcBorders>
              <w:top w:val="nil"/>
              <w:left w:val="single" w:sz="8" w:space="0" w:color="auto"/>
              <w:bottom w:val="single" w:sz="8" w:space="0" w:color="auto"/>
              <w:right w:val="single" w:sz="8" w:space="0" w:color="auto"/>
            </w:tcBorders>
            <w:shd w:val="clear" w:color="auto" w:fill="auto"/>
            <w:noWrap/>
            <w:vAlign w:val="bottom"/>
            <w:hideMark/>
          </w:tcPr>
          <w:p w14:paraId="6B8D145B" w14:textId="77777777" w:rsidR="00A34D6D" w:rsidRPr="00A52AEE" w:rsidRDefault="00A34D6D" w:rsidP="00A52AEE">
            <w:pPr>
              <w:rPr>
                <w:lang w:eastAsia="en-GB"/>
              </w:rPr>
            </w:pPr>
            <w:r w:rsidRPr="00A52AEE">
              <w:rPr>
                <w:lang w:eastAsia="en-GB"/>
              </w:rPr>
              <w:t>White –British</w:t>
            </w:r>
          </w:p>
        </w:tc>
        <w:tc>
          <w:tcPr>
            <w:tcW w:w="528" w:type="pct"/>
            <w:tcBorders>
              <w:top w:val="nil"/>
              <w:left w:val="nil"/>
              <w:bottom w:val="single" w:sz="8" w:space="0" w:color="auto"/>
              <w:right w:val="single" w:sz="4" w:space="0" w:color="auto"/>
            </w:tcBorders>
            <w:shd w:val="clear" w:color="auto" w:fill="auto"/>
            <w:noWrap/>
            <w:vAlign w:val="bottom"/>
            <w:hideMark/>
          </w:tcPr>
          <w:p w14:paraId="1E52E35E" w14:textId="77777777" w:rsidR="00A34D6D" w:rsidRPr="00A52AEE" w:rsidRDefault="00A34D6D" w:rsidP="009A2373">
            <w:pPr>
              <w:jc w:val="right"/>
              <w:rPr>
                <w:lang w:eastAsia="en-GB"/>
              </w:rPr>
            </w:pPr>
            <w:r w:rsidRPr="00A52AEE">
              <w:rPr>
                <w:lang w:eastAsia="en-GB"/>
              </w:rPr>
              <w:t>43%</w:t>
            </w:r>
          </w:p>
        </w:tc>
        <w:tc>
          <w:tcPr>
            <w:tcW w:w="433" w:type="pct"/>
            <w:tcBorders>
              <w:top w:val="nil"/>
              <w:left w:val="nil"/>
              <w:bottom w:val="single" w:sz="8" w:space="0" w:color="auto"/>
              <w:right w:val="single" w:sz="4" w:space="0" w:color="auto"/>
            </w:tcBorders>
            <w:shd w:val="clear" w:color="auto" w:fill="auto"/>
            <w:noWrap/>
            <w:vAlign w:val="bottom"/>
            <w:hideMark/>
          </w:tcPr>
          <w:p w14:paraId="6CE94DCF" w14:textId="77777777" w:rsidR="00A34D6D" w:rsidRPr="00A52AEE" w:rsidRDefault="00A34D6D" w:rsidP="009A2373">
            <w:pPr>
              <w:jc w:val="right"/>
              <w:rPr>
                <w:lang w:eastAsia="en-GB"/>
              </w:rPr>
            </w:pPr>
            <w:r w:rsidRPr="00A52AEE">
              <w:rPr>
                <w:lang w:eastAsia="en-GB"/>
              </w:rPr>
              <w:t>23%</w:t>
            </w:r>
          </w:p>
        </w:tc>
        <w:tc>
          <w:tcPr>
            <w:tcW w:w="539" w:type="pct"/>
            <w:tcBorders>
              <w:top w:val="nil"/>
              <w:left w:val="nil"/>
              <w:bottom w:val="single" w:sz="8" w:space="0" w:color="auto"/>
              <w:right w:val="single" w:sz="8" w:space="0" w:color="auto"/>
            </w:tcBorders>
            <w:shd w:val="clear" w:color="auto" w:fill="auto"/>
            <w:noWrap/>
            <w:vAlign w:val="bottom"/>
            <w:hideMark/>
          </w:tcPr>
          <w:p w14:paraId="4D5AF509" w14:textId="77777777" w:rsidR="00A34D6D" w:rsidRPr="00A52AEE" w:rsidRDefault="00A34D6D" w:rsidP="009A2373">
            <w:pPr>
              <w:jc w:val="right"/>
              <w:rPr>
                <w:lang w:eastAsia="en-GB"/>
              </w:rPr>
            </w:pPr>
            <w:r w:rsidRPr="00A52AEE">
              <w:rPr>
                <w:lang w:eastAsia="en-GB"/>
              </w:rPr>
              <w:t>10%</w:t>
            </w:r>
          </w:p>
        </w:tc>
        <w:tc>
          <w:tcPr>
            <w:tcW w:w="481" w:type="pct"/>
            <w:tcBorders>
              <w:top w:val="nil"/>
              <w:left w:val="nil"/>
              <w:bottom w:val="single" w:sz="8" w:space="0" w:color="auto"/>
              <w:right w:val="single" w:sz="4" w:space="0" w:color="auto"/>
            </w:tcBorders>
            <w:shd w:val="clear" w:color="auto" w:fill="auto"/>
            <w:noWrap/>
            <w:vAlign w:val="bottom"/>
            <w:hideMark/>
          </w:tcPr>
          <w:p w14:paraId="35773768" w14:textId="77777777" w:rsidR="00A34D6D" w:rsidRPr="00A52AEE" w:rsidRDefault="00A34D6D" w:rsidP="009A2373">
            <w:pPr>
              <w:jc w:val="right"/>
              <w:rPr>
                <w:lang w:eastAsia="en-GB"/>
              </w:rPr>
            </w:pPr>
            <w:r w:rsidRPr="00A52AEE">
              <w:rPr>
                <w:lang w:eastAsia="en-GB"/>
              </w:rPr>
              <w:t>30%</w:t>
            </w:r>
          </w:p>
        </w:tc>
        <w:tc>
          <w:tcPr>
            <w:tcW w:w="418" w:type="pct"/>
            <w:tcBorders>
              <w:top w:val="nil"/>
              <w:left w:val="nil"/>
              <w:bottom w:val="single" w:sz="8" w:space="0" w:color="auto"/>
              <w:right w:val="single" w:sz="4" w:space="0" w:color="auto"/>
            </w:tcBorders>
            <w:shd w:val="clear" w:color="auto" w:fill="auto"/>
            <w:noWrap/>
            <w:vAlign w:val="bottom"/>
            <w:hideMark/>
          </w:tcPr>
          <w:p w14:paraId="39956227" w14:textId="77777777" w:rsidR="00A34D6D" w:rsidRPr="00A52AEE" w:rsidRDefault="00A34D6D" w:rsidP="009A2373">
            <w:pPr>
              <w:jc w:val="right"/>
              <w:rPr>
                <w:lang w:eastAsia="en-GB"/>
              </w:rPr>
            </w:pPr>
            <w:r w:rsidRPr="00A52AEE">
              <w:rPr>
                <w:lang w:eastAsia="en-GB"/>
              </w:rPr>
              <w:t>29%</w:t>
            </w:r>
          </w:p>
        </w:tc>
        <w:tc>
          <w:tcPr>
            <w:tcW w:w="449" w:type="pct"/>
            <w:tcBorders>
              <w:top w:val="nil"/>
              <w:left w:val="nil"/>
              <w:bottom w:val="single" w:sz="8" w:space="0" w:color="auto"/>
              <w:right w:val="single" w:sz="8" w:space="0" w:color="auto"/>
            </w:tcBorders>
            <w:shd w:val="clear" w:color="auto" w:fill="auto"/>
            <w:noWrap/>
            <w:vAlign w:val="bottom"/>
            <w:hideMark/>
          </w:tcPr>
          <w:p w14:paraId="32E3560C" w14:textId="77777777" w:rsidR="00A34D6D" w:rsidRPr="00A52AEE" w:rsidRDefault="00A34D6D" w:rsidP="009A2373">
            <w:pPr>
              <w:jc w:val="right"/>
              <w:rPr>
                <w:lang w:eastAsia="en-GB"/>
              </w:rPr>
            </w:pPr>
            <w:r w:rsidRPr="00A52AEE">
              <w:rPr>
                <w:lang w:eastAsia="en-GB"/>
              </w:rPr>
              <w:t>16%</w:t>
            </w:r>
          </w:p>
        </w:tc>
      </w:tr>
      <w:tr w:rsidR="003E1556" w:rsidRPr="00E61844" w14:paraId="55E72470" w14:textId="77777777" w:rsidTr="003E1556">
        <w:trPr>
          <w:trHeight w:val="315"/>
        </w:trPr>
        <w:tc>
          <w:tcPr>
            <w:tcW w:w="2152" w:type="pct"/>
            <w:tcBorders>
              <w:top w:val="nil"/>
              <w:left w:val="single" w:sz="8" w:space="0" w:color="auto"/>
              <w:bottom w:val="single" w:sz="8" w:space="0" w:color="auto"/>
              <w:right w:val="single" w:sz="8" w:space="0" w:color="auto"/>
            </w:tcBorders>
            <w:shd w:val="clear" w:color="auto" w:fill="auto"/>
            <w:noWrap/>
            <w:vAlign w:val="bottom"/>
            <w:hideMark/>
          </w:tcPr>
          <w:p w14:paraId="3C26436F" w14:textId="77777777" w:rsidR="003E1556" w:rsidRPr="003E1556" w:rsidRDefault="003E1556" w:rsidP="000E386A">
            <w:pPr>
              <w:rPr>
                <w:i/>
                <w:lang w:eastAsia="en-GB"/>
              </w:rPr>
            </w:pPr>
            <w:r w:rsidRPr="003E1556">
              <w:rPr>
                <w:i/>
                <w:lang w:eastAsia="en-GB"/>
              </w:rPr>
              <w:t>Black and Minority Ethnic group sub total</w:t>
            </w:r>
          </w:p>
        </w:tc>
        <w:tc>
          <w:tcPr>
            <w:tcW w:w="528" w:type="pct"/>
            <w:tcBorders>
              <w:top w:val="nil"/>
              <w:left w:val="nil"/>
              <w:bottom w:val="single" w:sz="8" w:space="0" w:color="auto"/>
              <w:right w:val="single" w:sz="4" w:space="0" w:color="auto"/>
            </w:tcBorders>
            <w:shd w:val="clear" w:color="auto" w:fill="auto"/>
            <w:noWrap/>
            <w:vAlign w:val="bottom"/>
            <w:hideMark/>
          </w:tcPr>
          <w:p w14:paraId="22F5C23B" w14:textId="77777777" w:rsidR="003E1556" w:rsidRPr="003E1556" w:rsidRDefault="003E1556" w:rsidP="000E386A">
            <w:pPr>
              <w:jc w:val="right"/>
              <w:rPr>
                <w:i/>
                <w:lang w:eastAsia="en-GB"/>
              </w:rPr>
            </w:pPr>
            <w:r w:rsidRPr="003E1556">
              <w:rPr>
                <w:i/>
                <w:lang w:eastAsia="en-GB"/>
              </w:rPr>
              <w:t>70%</w:t>
            </w:r>
          </w:p>
        </w:tc>
        <w:tc>
          <w:tcPr>
            <w:tcW w:w="433" w:type="pct"/>
            <w:tcBorders>
              <w:top w:val="nil"/>
              <w:left w:val="nil"/>
              <w:bottom w:val="single" w:sz="8" w:space="0" w:color="auto"/>
              <w:right w:val="single" w:sz="4" w:space="0" w:color="auto"/>
            </w:tcBorders>
            <w:shd w:val="clear" w:color="auto" w:fill="auto"/>
            <w:noWrap/>
            <w:vAlign w:val="bottom"/>
            <w:hideMark/>
          </w:tcPr>
          <w:p w14:paraId="49292128" w14:textId="77777777" w:rsidR="003E1556" w:rsidRPr="003E1556" w:rsidRDefault="003E1556" w:rsidP="000E386A">
            <w:pPr>
              <w:jc w:val="right"/>
              <w:rPr>
                <w:i/>
                <w:lang w:eastAsia="en-GB"/>
              </w:rPr>
            </w:pPr>
            <w:r w:rsidRPr="003E1556">
              <w:rPr>
                <w:i/>
                <w:lang w:eastAsia="en-GB"/>
              </w:rPr>
              <w:t>50%</w:t>
            </w:r>
          </w:p>
        </w:tc>
        <w:tc>
          <w:tcPr>
            <w:tcW w:w="539" w:type="pct"/>
            <w:tcBorders>
              <w:top w:val="nil"/>
              <w:left w:val="nil"/>
              <w:bottom w:val="single" w:sz="8" w:space="0" w:color="auto"/>
              <w:right w:val="single" w:sz="8" w:space="0" w:color="auto"/>
            </w:tcBorders>
            <w:shd w:val="clear" w:color="auto" w:fill="auto"/>
            <w:noWrap/>
            <w:vAlign w:val="bottom"/>
            <w:hideMark/>
          </w:tcPr>
          <w:p w14:paraId="49E9DF8F" w14:textId="77777777" w:rsidR="003E1556" w:rsidRPr="003E1556" w:rsidRDefault="003E1556" w:rsidP="000E386A">
            <w:pPr>
              <w:jc w:val="right"/>
              <w:rPr>
                <w:i/>
                <w:lang w:eastAsia="en-GB"/>
              </w:rPr>
            </w:pPr>
            <w:r w:rsidRPr="003E1556">
              <w:rPr>
                <w:i/>
                <w:lang w:eastAsia="en-GB"/>
              </w:rPr>
              <w:t>21%</w:t>
            </w:r>
          </w:p>
        </w:tc>
        <w:tc>
          <w:tcPr>
            <w:tcW w:w="481" w:type="pct"/>
            <w:tcBorders>
              <w:top w:val="nil"/>
              <w:left w:val="nil"/>
              <w:bottom w:val="single" w:sz="8" w:space="0" w:color="auto"/>
              <w:right w:val="single" w:sz="4" w:space="0" w:color="auto"/>
            </w:tcBorders>
            <w:shd w:val="clear" w:color="auto" w:fill="auto"/>
            <w:noWrap/>
            <w:vAlign w:val="bottom"/>
            <w:hideMark/>
          </w:tcPr>
          <w:p w14:paraId="2C325D99" w14:textId="77777777" w:rsidR="003E1556" w:rsidRPr="003E1556" w:rsidRDefault="003E1556" w:rsidP="000E386A">
            <w:pPr>
              <w:jc w:val="right"/>
              <w:rPr>
                <w:i/>
                <w:lang w:eastAsia="en-GB"/>
              </w:rPr>
            </w:pPr>
            <w:r w:rsidRPr="003E1556">
              <w:rPr>
                <w:i/>
                <w:lang w:eastAsia="en-GB"/>
              </w:rPr>
              <w:t>51%</w:t>
            </w:r>
          </w:p>
        </w:tc>
        <w:tc>
          <w:tcPr>
            <w:tcW w:w="418" w:type="pct"/>
            <w:tcBorders>
              <w:top w:val="nil"/>
              <w:left w:val="nil"/>
              <w:bottom w:val="single" w:sz="8" w:space="0" w:color="auto"/>
              <w:right w:val="single" w:sz="4" w:space="0" w:color="auto"/>
            </w:tcBorders>
            <w:shd w:val="clear" w:color="auto" w:fill="auto"/>
            <w:noWrap/>
            <w:vAlign w:val="bottom"/>
            <w:hideMark/>
          </w:tcPr>
          <w:p w14:paraId="233D7899" w14:textId="77777777" w:rsidR="003E1556" w:rsidRPr="003E1556" w:rsidRDefault="003E1556" w:rsidP="000E386A">
            <w:pPr>
              <w:jc w:val="right"/>
              <w:rPr>
                <w:i/>
                <w:lang w:eastAsia="en-GB"/>
              </w:rPr>
            </w:pPr>
            <w:r w:rsidRPr="003E1556">
              <w:rPr>
                <w:i/>
                <w:lang w:eastAsia="en-GB"/>
              </w:rPr>
              <w:t>44%</w:t>
            </w:r>
          </w:p>
        </w:tc>
        <w:tc>
          <w:tcPr>
            <w:tcW w:w="449" w:type="pct"/>
            <w:tcBorders>
              <w:top w:val="nil"/>
              <w:left w:val="nil"/>
              <w:bottom w:val="single" w:sz="8" w:space="0" w:color="auto"/>
              <w:right w:val="single" w:sz="8" w:space="0" w:color="auto"/>
            </w:tcBorders>
            <w:shd w:val="clear" w:color="auto" w:fill="auto"/>
            <w:noWrap/>
            <w:vAlign w:val="bottom"/>
            <w:hideMark/>
          </w:tcPr>
          <w:p w14:paraId="08483A09" w14:textId="77777777" w:rsidR="003E1556" w:rsidRPr="003E1556" w:rsidRDefault="003E1556" w:rsidP="000E386A">
            <w:pPr>
              <w:jc w:val="right"/>
              <w:rPr>
                <w:i/>
                <w:lang w:eastAsia="en-GB"/>
              </w:rPr>
            </w:pPr>
            <w:r w:rsidRPr="003E1556">
              <w:rPr>
                <w:i/>
                <w:lang w:eastAsia="en-GB"/>
              </w:rPr>
              <w:t>28%</w:t>
            </w:r>
          </w:p>
        </w:tc>
      </w:tr>
      <w:tr w:rsidR="003E1556" w:rsidRPr="00E61844" w14:paraId="03519230" w14:textId="77777777" w:rsidTr="003E1556">
        <w:trPr>
          <w:trHeight w:val="315"/>
        </w:trPr>
        <w:tc>
          <w:tcPr>
            <w:tcW w:w="2152" w:type="pct"/>
            <w:tcBorders>
              <w:top w:val="nil"/>
              <w:left w:val="single" w:sz="8" w:space="0" w:color="auto"/>
              <w:bottom w:val="single" w:sz="8" w:space="0" w:color="auto"/>
              <w:right w:val="single" w:sz="8" w:space="0" w:color="auto"/>
            </w:tcBorders>
            <w:shd w:val="clear" w:color="auto" w:fill="auto"/>
            <w:noWrap/>
            <w:vAlign w:val="bottom"/>
            <w:hideMark/>
          </w:tcPr>
          <w:p w14:paraId="1F6DCD3B" w14:textId="77777777" w:rsidR="003E1556" w:rsidRPr="003E1556" w:rsidRDefault="003E1556" w:rsidP="000E386A">
            <w:pPr>
              <w:rPr>
                <w:i/>
                <w:lang w:eastAsia="en-GB"/>
              </w:rPr>
            </w:pPr>
            <w:r w:rsidRPr="003E1556">
              <w:rPr>
                <w:i/>
                <w:lang w:eastAsia="en-GB"/>
              </w:rPr>
              <w:t>White groups sub total</w:t>
            </w:r>
          </w:p>
        </w:tc>
        <w:tc>
          <w:tcPr>
            <w:tcW w:w="528" w:type="pct"/>
            <w:tcBorders>
              <w:top w:val="nil"/>
              <w:left w:val="nil"/>
              <w:bottom w:val="single" w:sz="8" w:space="0" w:color="auto"/>
              <w:right w:val="single" w:sz="4" w:space="0" w:color="auto"/>
            </w:tcBorders>
            <w:shd w:val="clear" w:color="auto" w:fill="auto"/>
            <w:noWrap/>
            <w:vAlign w:val="bottom"/>
            <w:hideMark/>
          </w:tcPr>
          <w:p w14:paraId="52672387" w14:textId="77777777" w:rsidR="003E1556" w:rsidRPr="003E1556" w:rsidRDefault="003E1556" w:rsidP="000E386A">
            <w:pPr>
              <w:jc w:val="right"/>
              <w:rPr>
                <w:i/>
                <w:lang w:eastAsia="en-GB"/>
              </w:rPr>
            </w:pPr>
            <w:r w:rsidRPr="003E1556">
              <w:rPr>
                <w:i/>
                <w:lang w:eastAsia="en-GB"/>
              </w:rPr>
              <w:t>46%</w:t>
            </w:r>
          </w:p>
        </w:tc>
        <w:tc>
          <w:tcPr>
            <w:tcW w:w="433" w:type="pct"/>
            <w:tcBorders>
              <w:top w:val="nil"/>
              <w:left w:val="nil"/>
              <w:bottom w:val="single" w:sz="8" w:space="0" w:color="auto"/>
              <w:right w:val="single" w:sz="4" w:space="0" w:color="auto"/>
            </w:tcBorders>
            <w:shd w:val="clear" w:color="auto" w:fill="auto"/>
            <w:noWrap/>
            <w:vAlign w:val="bottom"/>
            <w:hideMark/>
          </w:tcPr>
          <w:p w14:paraId="59CADCBD" w14:textId="77777777" w:rsidR="003E1556" w:rsidRPr="003E1556" w:rsidRDefault="003E1556" w:rsidP="000E386A">
            <w:pPr>
              <w:jc w:val="right"/>
              <w:rPr>
                <w:i/>
                <w:lang w:eastAsia="en-GB"/>
              </w:rPr>
            </w:pPr>
            <w:r w:rsidRPr="003E1556">
              <w:rPr>
                <w:i/>
                <w:lang w:eastAsia="en-GB"/>
              </w:rPr>
              <w:t>27%</w:t>
            </w:r>
          </w:p>
        </w:tc>
        <w:tc>
          <w:tcPr>
            <w:tcW w:w="539" w:type="pct"/>
            <w:tcBorders>
              <w:top w:val="nil"/>
              <w:left w:val="nil"/>
              <w:bottom w:val="single" w:sz="8" w:space="0" w:color="auto"/>
              <w:right w:val="single" w:sz="8" w:space="0" w:color="auto"/>
            </w:tcBorders>
            <w:shd w:val="clear" w:color="auto" w:fill="auto"/>
            <w:noWrap/>
            <w:vAlign w:val="bottom"/>
            <w:hideMark/>
          </w:tcPr>
          <w:p w14:paraId="568331AD" w14:textId="77777777" w:rsidR="003E1556" w:rsidRPr="003E1556" w:rsidRDefault="003E1556" w:rsidP="000E386A">
            <w:pPr>
              <w:jc w:val="right"/>
              <w:rPr>
                <w:i/>
                <w:lang w:eastAsia="en-GB"/>
              </w:rPr>
            </w:pPr>
            <w:r w:rsidRPr="003E1556">
              <w:rPr>
                <w:i/>
                <w:lang w:eastAsia="en-GB"/>
              </w:rPr>
              <w:t>11%</w:t>
            </w:r>
          </w:p>
        </w:tc>
        <w:tc>
          <w:tcPr>
            <w:tcW w:w="481" w:type="pct"/>
            <w:tcBorders>
              <w:top w:val="nil"/>
              <w:left w:val="nil"/>
              <w:bottom w:val="single" w:sz="8" w:space="0" w:color="auto"/>
              <w:right w:val="single" w:sz="4" w:space="0" w:color="auto"/>
            </w:tcBorders>
            <w:shd w:val="clear" w:color="auto" w:fill="auto"/>
            <w:noWrap/>
            <w:vAlign w:val="bottom"/>
            <w:hideMark/>
          </w:tcPr>
          <w:p w14:paraId="02158CB9" w14:textId="77777777" w:rsidR="003E1556" w:rsidRPr="003E1556" w:rsidRDefault="003E1556" w:rsidP="000E386A">
            <w:pPr>
              <w:jc w:val="right"/>
              <w:rPr>
                <w:i/>
                <w:lang w:eastAsia="en-GB"/>
              </w:rPr>
            </w:pPr>
            <w:r w:rsidRPr="003E1556">
              <w:rPr>
                <w:i/>
                <w:lang w:eastAsia="en-GB"/>
              </w:rPr>
              <w:t>33%</w:t>
            </w:r>
          </w:p>
        </w:tc>
        <w:tc>
          <w:tcPr>
            <w:tcW w:w="418" w:type="pct"/>
            <w:tcBorders>
              <w:top w:val="nil"/>
              <w:left w:val="nil"/>
              <w:bottom w:val="single" w:sz="8" w:space="0" w:color="auto"/>
              <w:right w:val="single" w:sz="4" w:space="0" w:color="auto"/>
            </w:tcBorders>
            <w:shd w:val="clear" w:color="auto" w:fill="auto"/>
            <w:noWrap/>
            <w:vAlign w:val="bottom"/>
            <w:hideMark/>
          </w:tcPr>
          <w:p w14:paraId="0FC444A4" w14:textId="77777777" w:rsidR="003E1556" w:rsidRPr="003E1556" w:rsidRDefault="003E1556" w:rsidP="000E386A">
            <w:pPr>
              <w:jc w:val="right"/>
              <w:rPr>
                <w:i/>
                <w:lang w:eastAsia="en-GB"/>
              </w:rPr>
            </w:pPr>
            <w:r w:rsidRPr="003E1556">
              <w:rPr>
                <w:i/>
                <w:lang w:eastAsia="en-GB"/>
              </w:rPr>
              <w:t>32%</w:t>
            </w:r>
          </w:p>
        </w:tc>
        <w:tc>
          <w:tcPr>
            <w:tcW w:w="449" w:type="pct"/>
            <w:tcBorders>
              <w:top w:val="nil"/>
              <w:left w:val="nil"/>
              <w:bottom w:val="single" w:sz="8" w:space="0" w:color="auto"/>
              <w:right w:val="single" w:sz="8" w:space="0" w:color="auto"/>
            </w:tcBorders>
            <w:shd w:val="clear" w:color="auto" w:fill="auto"/>
            <w:noWrap/>
            <w:vAlign w:val="bottom"/>
            <w:hideMark/>
          </w:tcPr>
          <w:p w14:paraId="7789FA3B" w14:textId="77777777" w:rsidR="003E1556" w:rsidRPr="003E1556" w:rsidRDefault="003E1556" w:rsidP="000E386A">
            <w:pPr>
              <w:jc w:val="right"/>
              <w:rPr>
                <w:i/>
                <w:lang w:eastAsia="en-GB"/>
              </w:rPr>
            </w:pPr>
            <w:r w:rsidRPr="003E1556">
              <w:rPr>
                <w:i/>
                <w:lang w:eastAsia="en-GB"/>
              </w:rPr>
              <w:t>18%</w:t>
            </w:r>
          </w:p>
        </w:tc>
      </w:tr>
    </w:tbl>
    <w:p w14:paraId="701EE51E" w14:textId="77777777" w:rsidR="0059233C" w:rsidRPr="00A52AEE" w:rsidRDefault="0059233C" w:rsidP="005D104D">
      <w:pPr>
        <w:pStyle w:val="Heading2"/>
        <w:spacing w:after="0"/>
      </w:pPr>
    </w:p>
    <w:p w14:paraId="3FEFC13A" w14:textId="47A70030" w:rsidR="004872CF" w:rsidRPr="00A52AEE" w:rsidRDefault="00AE2C39" w:rsidP="005D104D">
      <w:pPr>
        <w:pStyle w:val="Heading2"/>
        <w:spacing w:after="0"/>
      </w:pPr>
      <w:bookmarkStart w:id="125" w:name="_Toc429151341"/>
      <w:r w:rsidRPr="00A52AEE">
        <w:t>5.17</w:t>
      </w:r>
      <w:r w:rsidR="0059233C" w:rsidRPr="00A52AEE">
        <w:tab/>
      </w:r>
      <w:r w:rsidR="00F342FD">
        <w:tab/>
      </w:r>
      <w:r w:rsidR="00CB50A9" w:rsidRPr="00A52AEE">
        <w:t>H</w:t>
      </w:r>
      <w:r w:rsidR="00F342FD">
        <w:t>E p</w:t>
      </w:r>
      <w:r w:rsidRPr="00A52AEE">
        <w:t>rogression by e</w:t>
      </w:r>
      <w:r w:rsidR="004872CF" w:rsidRPr="00A52AEE">
        <w:t>thnic</w:t>
      </w:r>
      <w:r w:rsidRPr="00A52AEE">
        <w:t xml:space="preserve"> group, age and q</w:t>
      </w:r>
      <w:r w:rsidR="004872CF" w:rsidRPr="00A52AEE">
        <w:t>ualification</w:t>
      </w:r>
      <w:bookmarkEnd w:id="125"/>
    </w:p>
    <w:p w14:paraId="2CC941D8" w14:textId="1A5ABF87" w:rsidR="004872CF" w:rsidRPr="00A52AEE" w:rsidRDefault="00F342FD" w:rsidP="00A52AEE">
      <w:r>
        <w:t>The l</w:t>
      </w:r>
      <w:r w:rsidR="004872CF" w:rsidRPr="00A52AEE">
        <w:t xml:space="preserve">ower rates </w:t>
      </w:r>
      <w:r>
        <w:t>of progression for W</w:t>
      </w:r>
      <w:r w:rsidR="004872CF" w:rsidRPr="00A52AEE">
        <w:t xml:space="preserve">hite </w:t>
      </w:r>
      <w:r>
        <w:t xml:space="preserve">British </w:t>
      </w:r>
      <w:r w:rsidR="00842186" w:rsidRPr="00A52AEE">
        <w:t>student</w:t>
      </w:r>
      <w:r w:rsidR="004872CF" w:rsidRPr="00A52AEE">
        <w:t xml:space="preserve">s </w:t>
      </w:r>
      <w:r>
        <w:t>are</w:t>
      </w:r>
      <w:r w:rsidR="004872CF" w:rsidRPr="00A52AEE">
        <w:t xml:space="preserve"> explored further in Table </w:t>
      </w:r>
      <w:r w:rsidR="00B03413">
        <w:t>35</w:t>
      </w:r>
      <w:r w:rsidR="007E698B" w:rsidRPr="00A52AEE">
        <w:t xml:space="preserve"> </w:t>
      </w:r>
      <w:r w:rsidR="004872CF" w:rsidRPr="00A52AEE">
        <w:t xml:space="preserve">where qualification type is also examined for the two </w:t>
      </w:r>
      <w:r w:rsidR="007E698B" w:rsidRPr="00A52AEE">
        <w:t xml:space="preserve">young </w:t>
      </w:r>
      <w:r w:rsidR="004872CF" w:rsidRPr="00A52AEE">
        <w:t>cohort</w:t>
      </w:r>
      <w:r w:rsidR="007E698B" w:rsidRPr="00A52AEE">
        <w:t>s</w:t>
      </w:r>
      <w:r w:rsidR="004872CF" w:rsidRPr="00A52AEE">
        <w:t xml:space="preserve">, 2007-08 and 2011-12. Lower rates of progression for White </w:t>
      </w:r>
      <w:r w:rsidR="00842186" w:rsidRPr="00A52AEE">
        <w:t>student</w:t>
      </w:r>
      <w:r w:rsidR="004872CF" w:rsidRPr="00A52AEE">
        <w:t xml:space="preserve">s </w:t>
      </w:r>
      <w:r>
        <w:t>are</w:t>
      </w:r>
      <w:r w:rsidR="004872CF" w:rsidRPr="00A52AEE">
        <w:t xml:space="preserve"> found across all qualification types</w:t>
      </w:r>
      <w:r w:rsidR="007E698B" w:rsidRPr="00A52AEE">
        <w:t xml:space="preserve"> for young </w:t>
      </w:r>
      <w:r w:rsidR="00842186" w:rsidRPr="00A52AEE">
        <w:t>student</w:t>
      </w:r>
      <w:r w:rsidR="007E698B" w:rsidRPr="00A52AEE">
        <w:t>s</w:t>
      </w:r>
      <w:r>
        <w:t xml:space="preserve"> except for Access students</w:t>
      </w:r>
      <w:r w:rsidR="004872CF" w:rsidRPr="00A52AEE">
        <w:t xml:space="preserve">.  </w:t>
      </w:r>
    </w:p>
    <w:p w14:paraId="2C5C25A5" w14:textId="77777777" w:rsidR="00F342FD" w:rsidRDefault="00F342FD" w:rsidP="00A52AEE"/>
    <w:p w14:paraId="530C30E6" w14:textId="299D2B6F" w:rsidR="004872CF" w:rsidRPr="00F342FD" w:rsidRDefault="004872CF" w:rsidP="00A52AEE">
      <w:pPr>
        <w:rPr>
          <w:b/>
        </w:rPr>
      </w:pPr>
      <w:r w:rsidRPr="00F342FD">
        <w:rPr>
          <w:b/>
        </w:rPr>
        <w:t xml:space="preserve">Table </w:t>
      </w:r>
      <w:r w:rsidR="0022142D">
        <w:rPr>
          <w:b/>
        </w:rPr>
        <w:t>35</w:t>
      </w:r>
      <w:r w:rsidRPr="00F342FD">
        <w:rPr>
          <w:b/>
        </w:rPr>
        <w:t>: Immediate HE progression</w:t>
      </w:r>
      <w:r w:rsidR="007E698B" w:rsidRPr="00F342FD">
        <w:rPr>
          <w:b/>
        </w:rPr>
        <w:t xml:space="preserve"> for young </w:t>
      </w:r>
      <w:r w:rsidR="00842186" w:rsidRPr="00F342FD">
        <w:rPr>
          <w:b/>
        </w:rPr>
        <w:t>student</w:t>
      </w:r>
      <w:r w:rsidR="007E698B" w:rsidRPr="00F342FD">
        <w:rPr>
          <w:b/>
        </w:rPr>
        <w:t>s</w:t>
      </w:r>
      <w:r w:rsidRPr="00F342FD">
        <w:rPr>
          <w:b/>
        </w:rPr>
        <w:t xml:space="preserve"> by </w:t>
      </w:r>
      <w:r w:rsidR="007E698B" w:rsidRPr="00F342FD">
        <w:rPr>
          <w:b/>
        </w:rPr>
        <w:t>ethnicity and FE qualification type</w:t>
      </w:r>
    </w:p>
    <w:p w14:paraId="5B27A014" w14:textId="77777777" w:rsidR="00F342FD" w:rsidRPr="00A52AEE" w:rsidRDefault="00F342FD" w:rsidP="00A52AEE">
      <w:pPr>
        <w:rPr>
          <w:lang w:eastAsia="en-GB"/>
        </w:rPr>
      </w:pPr>
    </w:p>
    <w:tbl>
      <w:tblPr>
        <w:tblW w:w="4974" w:type="pct"/>
        <w:tblLayout w:type="fixed"/>
        <w:tblLook w:val="04A0" w:firstRow="1" w:lastRow="0" w:firstColumn="1" w:lastColumn="0" w:noHBand="0" w:noVBand="1"/>
      </w:tblPr>
      <w:tblGrid>
        <w:gridCol w:w="2593"/>
        <w:gridCol w:w="691"/>
        <w:gridCol w:w="689"/>
        <w:gridCol w:w="692"/>
        <w:gridCol w:w="690"/>
        <w:gridCol w:w="694"/>
        <w:gridCol w:w="690"/>
        <w:gridCol w:w="690"/>
        <w:gridCol w:w="690"/>
        <w:gridCol w:w="690"/>
        <w:gridCol w:w="692"/>
      </w:tblGrid>
      <w:tr w:rsidR="00CB50A9" w:rsidRPr="00F342FD" w14:paraId="21A444B7" w14:textId="77777777" w:rsidTr="00D87628">
        <w:trPr>
          <w:trHeight w:val="300"/>
          <w:tblHeader/>
        </w:trPr>
        <w:tc>
          <w:tcPr>
            <w:tcW w:w="1365" w:type="pct"/>
            <w:vMerge w:val="restart"/>
            <w:tcBorders>
              <w:top w:val="single" w:sz="12"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423A6109" w14:textId="77777777" w:rsidR="004872CF" w:rsidRPr="00F342FD" w:rsidRDefault="004872CF" w:rsidP="00F342FD">
            <w:pPr>
              <w:rPr>
                <w:b/>
                <w:color w:val="FFFFFF" w:themeColor="background1"/>
                <w:sz w:val="20"/>
                <w:lang w:eastAsia="en-GB"/>
              </w:rPr>
            </w:pPr>
            <w:r w:rsidRPr="00F342FD">
              <w:rPr>
                <w:b/>
                <w:color w:val="FFFFFF" w:themeColor="background1"/>
                <w:lang w:eastAsia="en-GB"/>
              </w:rPr>
              <w:t>Ethnic group</w:t>
            </w:r>
          </w:p>
        </w:tc>
        <w:tc>
          <w:tcPr>
            <w:tcW w:w="1819" w:type="pct"/>
            <w:gridSpan w:val="5"/>
            <w:tcBorders>
              <w:top w:val="single" w:sz="12"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54A9653E"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2007-08 into HE 2008-09</w:t>
            </w:r>
          </w:p>
        </w:tc>
        <w:tc>
          <w:tcPr>
            <w:tcW w:w="1816" w:type="pct"/>
            <w:gridSpan w:val="5"/>
            <w:tcBorders>
              <w:top w:val="single" w:sz="12"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019DE69A"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2011-12 into HE 2012-13</w:t>
            </w:r>
          </w:p>
        </w:tc>
      </w:tr>
      <w:tr w:rsidR="00CB50A9" w:rsidRPr="00F342FD" w14:paraId="1277F2DE" w14:textId="77777777" w:rsidTr="00D87628">
        <w:trPr>
          <w:trHeight w:val="300"/>
          <w:tblHeader/>
        </w:trPr>
        <w:tc>
          <w:tcPr>
            <w:tcW w:w="1365" w:type="pct"/>
            <w:vMerge/>
            <w:tcBorders>
              <w:top w:val="single" w:sz="8" w:space="0" w:color="auto"/>
              <w:left w:val="single" w:sz="12" w:space="0" w:color="auto"/>
              <w:bottom w:val="single" w:sz="4" w:space="0" w:color="auto"/>
              <w:right w:val="single" w:sz="12" w:space="0" w:color="auto"/>
            </w:tcBorders>
            <w:shd w:val="clear" w:color="auto" w:fill="1F4E79" w:themeFill="accent1" w:themeFillShade="80"/>
            <w:vAlign w:val="center"/>
            <w:hideMark/>
          </w:tcPr>
          <w:p w14:paraId="35ECDEBF" w14:textId="77777777" w:rsidR="004872CF" w:rsidRPr="00F342FD" w:rsidRDefault="004872CF" w:rsidP="00F342FD">
            <w:pPr>
              <w:jc w:val="center"/>
              <w:rPr>
                <w:b/>
                <w:color w:val="FFFFFF" w:themeColor="background1"/>
                <w:lang w:eastAsia="en-GB"/>
              </w:rPr>
            </w:pPr>
          </w:p>
        </w:tc>
        <w:tc>
          <w:tcPr>
            <w:tcW w:w="1819" w:type="pct"/>
            <w:gridSpan w:val="5"/>
            <w:tcBorders>
              <w:top w:val="single" w:sz="4"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5B2A288E" w14:textId="375F9A07" w:rsidR="004872CF" w:rsidRPr="00F342FD" w:rsidRDefault="005175E4" w:rsidP="00F342FD">
            <w:pPr>
              <w:jc w:val="center"/>
              <w:rPr>
                <w:b/>
                <w:color w:val="FFFFFF" w:themeColor="background1"/>
                <w:lang w:eastAsia="en-GB"/>
              </w:rPr>
            </w:pPr>
            <w:r w:rsidRPr="00F342FD">
              <w:rPr>
                <w:b/>
                <w:color w:val="FFFFFF" w:themeColor="background1"/>
                <w:lang w:eastAsia="en-GB"/>
              </w:rPr>
              <w:t>17-19</w:t>
            </w:r>
          </w:p>
        </w:tc>
        <w:tc>
          <w:tcPr>
            <w:tcW w:w="1816" w:type="pct"/>
            <w:gridSpan w:val="5"/>
            <w:tcBorders>
              <w:top w:val="single" w:sz="4"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7B62A59A" w14:textId="73280F15" w:rsidR="004872CF" w:rsidRPr="00F342FD" w:rsidRDefault="005175E4" w:rsidP="00F342FD">
            <w:pPr>
              <w:jc w:val="center"/>
              <w:rPr>
                <w:b/>
                <w:color w:val="FFFFFF" w:themeColor="background1"/>
                <w:lang w:eastAsia="en-GB"/>
              </w:rPr>
            </w:pPr>
            <w:r w:rsidRPr="00F342FD">
              <w:rPr>
                <w:b/>
                <w:color w:val="FFFFFF" w:themeColor="background1"/>
                <w:lang w:eastAsia="en-GB"/>
              </w:rPr>
              <w:t>17-19</w:t>
            </w:r>
          </w:p>
        </w:tc>
      </w:tr>
      <w:tr w:rsidR="00D87628" w:rsidRPr="00F342FD" w14:paraId="177303EC" w14:textId="77777777" w:rsidTr="0059233C">
        <w:trPr>
          <w:cantSplit/>
          <w:trHeight w:val="1161"/>
          <w:tblHeader/>
        </w:trPr>
        <w:tc>
          <w:tcPr>
            <w:tcW w:w="1365" w:type="pct"/>
            <w:vMerge/>
            <w:tcBorders>
              <w:top w:val="single" w:sz="8"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1EACF41C" w14:textId="77777777" w:rsidR="004872CF" w:rsidRPr="00F342FD" w:rsidRDefault="004872CF" w:rsidP="00F342FD">
            <w:pPr>
              <w:jc w:val="center"/>
              <w:rPr>
                <w:b/>
                <w:color w:val="FFFFFF" w:themeColor="background1"/>
                <w:lang w:eastAsia="en-GB"/>
              </w:rPr>
            </w:pPr>
          </w:p>
        </w:tc>
        <w:tc>
          <w:tcPr>
            <w:tcW w:w="364" w:type="pct"/>
            <w:tcBorders>
              <w:top w:val="nil"/>
              <w:left w:val="single" w:sz="12" w:space="0" w:color="auto"/>
              <w:bottom w:val="single" w:sz="12" w:space="0" w:color="auto"/>
              <w:right w:val="single" w:sz="4" w:space="0" w:color="auto"/>
            </w:tcBorders>
            <w:shd w:val="clear" w:color="auto" w:fill="1F4E79" w:themeFill="accent1" w:themeFillShade="80"/>
            <w:noWrap/>
            <w:textDirection w:val="btLr"/>
            <w:vAlign w:val="center"/>
            <w:hideMark/>
          </w:tcPr>
          <w:p w14:paraId="6C1D9842"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Access</w:t>
            </w:r>
          </w:p>
        </w:tc>
        <w:tc>
          <w:tcPr>
            <w:tcW w:w="363"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4666FDC2" w14:textId="18454229" w:rsidR="004872CF" w:rsidRPr="00F342FD" w:rsidRDefault="004872CF" w:rsidP="00F342FD">
            <w:pPr>
              <w:jc w:val="center"/>
              <w:rPr>
                <w:b/>
                <w:color w:val="FFFFFF" w:themeColor="background1"/>
                <w:lang w:eastAsia="en-GB"/>
              </w:rPr>
            </w:pPr>
            <w:r w:rsidRPr="00F342FD">
              <w:rPr>
                <w:b/>
                <w:color w:val="FFFFFF" w:themeColor="background1"/>
                <w:lang w:eastAsia="en-GB"/>
              </w:rPr>
              <w:t>BTEC</w:t>
            </w:r>
          </w:p>
        </w:tc>
        <w:tc>
          <w:tcPr>
            <w:tcW w:w="364"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7821D6F6"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GCE A Level/IB</w:t>
            </w:r>
          </w:p>
        </w:tc>
        <w:tc>
          <w:tcPr>
            <w:tcW w:w="363"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45409341"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NVQ</w:t>
            </w:r>
          </w:p>
        </w:tc>
        <w:tc>
          <w:tcPr>
            <w:tcW w:w="365" w:type="pct"/>
            <w:tcBorders>
              <w:top w:val="nil"/>
              <w:left w:val="nil"/>
              <w:bottom w:val="single" w:sz="12" w:space="0" w:color="auto"/>
              <w:right w:val="single" w:sz="12" w:space="0" w:color="auto"/>
            </w:tcBorders>
            <w:shd w:val="clear" w:color="auto" w:fill="1F4E79" w:themeFill="accent1" w:themeFillShade="80"/>
            <w:noWrap/>
            <w:textDirection w:val="btLr"/>
            <w:vAlign w:val="center"/>
            <w:hideMark/>
          </w:tcPr>
          <w:p w14:paraId="595DF011" w14:textId="2E4EAB4A" w:rsidR="004872CF" w:rsidRPr="00F342FD" w:rsidRDefault="0059233C" w:rsidP="00F342FD">
            <w:pPr>
              <w:jc w:val="center"/>
              <w:rPr>
                <w:b/>
                <w:color w:val="FFFFFF" w:themeColor="background1"/>
                <w:lang w:eastAsia="en-GB"/>
              </w:rPr>
            </w:pPr>
            <w:r w:rsidRPr="00F342FD">
              <w:rPr>
                <w:b/>
                <w:color w:val="FFFFFF" w:themeColor="background1"/>
                <w:lang w:eastAsia="en-GB"/>
              </w:rPr>
              <w:t xml:space="preserve">Other </w:t>
            </w:r>
            <w:r w:rsidR="004872CF" w:rsidRPr="00F342FD">
              <w:rPr>
                <w:b/>
                <w:color w:val="FFFFFF" w:themeColor="background1"/>
                <w:lang w:eastAsia="en-GB"/>
              </w:rPr>
              <w:t>Vocational</w:t>
            </w:r>
          </w:p>
        </w:tc>
        <w:tc>
          <w:tcPr>
            <w:tcW w:w="363" w:type="pct"/>
            <w:tcBorders>
              <w:top w:val="nil"/>
              <w:left w:val="single" w:sz="12" w:space="0" w:color="auto"/>
              <w:bottom w:val="single" w:sz="12" w:space="0" w:color="auto"/>
              <w:right w:val="single" w:sz="4" w:space="0" w:color="auto"/>
            </w:tcBorders>
            <w:shd w:val="clear" w:color="auto" w:fill="1F4E79" w:themeFill="accent1" w:themeFillShade="80"/>
            <w:noWrap/>
            <w:textDirection w:val="btLr"/>
            <w:vAlign w:val="center"/>
            <w:hideMark/>
          </w:tcPr>
          <w:p w14:paraId="03CF92A6"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Access</w:t>
            </w:r>
          </w:p>
        </w:tc>
        <w:tc>
          <w:tcPr>
            <w:tcW w:w="363"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4D398EF2" w14:textId="3407DD50" w:rsidR="004872CF" w:rsidRPr="00F342FD" w:rsidRDefault="004872CF" w:rsidP="00F342FD">
            <w:pPr>
              <w:jc w:val="center"/>
              <w:rPr>
                <w:b/>
                <w:color w:val="FFFFFF" w:themeColor="background1"/>
                <w:lang w:eastAsia="en-GB"/>
              </w:rPr>
            </w:pPr>
            <w:r w:rsidRPr="00F342FD">
              <w:rPr>
                <w:b/>
                <w:color w:val="FFFFFF" w:themeColor="background1"/>
                <w:lang w:eastAsia="en-GB"/>
              </w:rPr>
              <w:t>BTEC</w:t>
            </w:r>
          </w:p>
        </w:tc>
        <w:tc>
          <w:tcPr>
            <w:tcW w:w="363"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342DACF0"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GCE A Level/IB</w:t>
            </w:r>
          </w:p>
        </w:tc>
        <w:tc>
          <w:tcPr>
            <w:tcW w:w="363" w:type="pct"/>
            <w:tcBorders>
              <w:top w:val="nil"/>
              <w:left w:val="nil"/>
              <w:bottom w:val="single" w:sz="12" w:space="0" w:color="auto"/>
              <w:right w:val="single" w:sz="4" w:space="0" w:color="auto"/>
            </w:tcBorders>
            <w:shd w:val="clear" w:color="auto" w:fill="1F4E79" w:themeFill="accent1" w:themeFillShade="80"/>
            <w:noWrap/>
            <w:textDirection w:val="btLr"/>
            <w:vAlign w:val="center"/>
            <w:hideMark/>
          </w:tcPr>
          <w:p w14:paraId="5750308D" w14:textId="77777777" w:rsidR="004872CF" w:rsidRPr="00F342FD" w:rsidRDefault="004872CF" w:rsidP="00F342FD">
            <w:pPr>
              <w:jc w:val="center"/>
              <w:rPr>
                <w:b/>
                <w:color w:val="FFFFFF" w:themeColor="background1"/>
                <w:lang w:eastAsia="en-GB"/>
              </w:rPr>
            </w:pPr>
            <w:r w:rsidRPr="00F342FD">
              <w:rPr>
                <w:b/>
                <w:color w:val="FFFFFF" w:themeColor="background1"/>
                <w:lang w:eastAsia="en-GB"/>
              </w:rPr>
              <w:t>NVQ</w:t>
            </w:r>
          </w:p>
        </w:tc>
        <w:tc>
          <w:tcPr>
            <w:tcW w:w="363" w:type="pct"/>
            <w:tcBorders>
              <w:top w:val="nil"/>
              <w:left w:val="nil"/>
              <w:bottom w:val="single" w:sz="12" w:space="0" w:color="auto"/>
              <w:right w:val="single" w:sz="12" w:space="0" w:color="auto"/>
            </w:tcBorders>
            <w:shd w:val="clear" w:color="auto" w:fill="1F4E79" w:themeFill="accent1" w:themeFillShade="80"/>
            <w:noWrap/>
            <w:textDirection w:val="btLr"/>
            <w:vAlign w:val="center"/>
            <w:hideMark/>
          </w:tcPr>
          <w:p w14:paraId="3A63885C" w14:textId="6380A8E2" w:rsidR="004872CF" w:rsidRPr="00F342FD" w:rsidRDefault="0059233C" w:rsidP="00F342FD">
            <w:pPr>
              <w:jc w:val="center"/>
              <w:rPr>
                <w:b/>
                <w:color w:val="FFFFFF" w:themeColor="background1"/>
                <w:lang w:eastAsia="en-GB"/>
              </w:rPr>
            </w:pPr>
            <w:r w:rsidRPr="00F342FD">
              <w:rPr>
                <w:b/>
                <w:color w:val="FFFFFF" w:themeColor="background1"/>
                <w:lang w:eastAsia="en-GB"/>
              </w:rPr>
              <w:t xml:space="preserve">Other </w:t>
            </w:r>
            <w:r w:rsidR="004872CF" w:rsidRPr="00F342FD">
              <w:rPr>
                <w:b/>
                <w:color w:val="FFFFFF" w:themeColor="background1"/>
                <w:lang w:eastAsia="en-GB"/>
              </w:rPr>
              <w:t>Vocational</w:t>
            </w:r>
          </w:p>
        </w:tc>
      </w:tr>
      <w:tr w:rsidR="00D87628" w:rsidRPr="00A52AEE" w14:paraId="57F0FC1B" w14:textId="77777777" w:rsidTr="00D87628">
        <w:trPr>
          <w:trHeight w:val="300"/>
        </w:trPr>
        <w:tc>
          <w:tcPr>
            <w:tcW w:w="136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26A27B0" w14:textId="77777777" w:rsidR="004872CF" w:rsidRPr="00A52AEE" w:rsidRDefault="004872CF" w:rsidP="00A52AEE">
            <w:pPr>
              <w:rPr>
                <w:lang w:eastAsia="en-GB"/>
              </w:rPr>
            </w:pPr>
            <w:r w:rsidRPr="00A52AEE">
              <w:rPr>
                <w:lang w:eastAsia="en-GB"/>
              </w:rPr>
              <w:t>Asian or Asian British - any other Asian background</w:t>
            </w:r>
          </w:p>
        </w:tc>
        <w:tc>
          <w:tcPr>
            <w:tcW w:w="36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D815232" w14:textId="77777777" w:rsidR="004872CF" w:rsidRPr="00A52AEE" w:rsidRDefault="004872CF" w:rsidP="009A2373">
            <w:pPr>
              <w:jc w:val="right"/>
              <w:rPr>
                <w:lang w:eastAsia="en-GB"/>
              </w:rPr>
            </w:pPr>
            <w:r w:rsidRPr="00A52AEE">
              <w:rPr>
                <w:lang w:eastAsia="en-GB"/>
              </w:rPr>
              <w:t>73%</w:t>
            </w:r>
          </w:p>
        </w:tc>
        <w:tc>
          <w:tcPr>
            <w:tcW w:w="363" w:type="pct"/>
            <w:tcBorders>
              <w:top w:val="single" w:sz="12" w:space="0" w:color="auto"/>
              <w:left w:val="nil"/>
              <w:bottom w:val="single" w:sz="4" w:space="0" w:color="auto"/>
              <w:right w:val="single" w:sz="4" w:space="0" w:color="auto"/>
            </w:tcBorders>
            <w:shd w:val="clear" w:color="auto" w:fill="auto"/>
            <w:noWrap/>
            <w:vAlign w:val="bottom"/>
            <w:hideMark/>
          </w:tcPr>
          <w:p w14:paraId="553B1809" w14:textId="77777777" w:rsidR="004872CF" w:rsidRPr="00A52AEE" w:rsidRDefault="004872CF" w:rsidP="009A2373">
            <w:pPr>
              <w:jc w:val="right"/>
              <w:rPr>
                <w:lang w:eastAsia="en-GB"/>
              </w:rPr>
            </w:pPr>
            <w:r w:rsidRPr="00A52AEE">
              <w:rPr>
                <w:lang w:eastAsia="en-GB"/>
              </w:rPr>
              <w:t>72%</w:t>
            </w:r>
          </w:p>
        </w:tc>
        <w:tc>
          <w:tcPr>
            <w:tcW w:w="364" w:type="pct"/>
            <w:tcBorders>
              <w:top w:val="single" w:sz="12" w:space="0" w:color="auto"/>
              <w:left w:val="nil"/>
              <w:bottom w:val="single" w:sz="4" w:space="0" w:color="auto"/>
              <w:right w:val="single" w:sz="4" w:space="0" w:color="auto"/>
            </w:tcBorders>
            <w:shd w:val="clear" w:color="auto" w:fill="auto"/>
            <w:noWrap/>
            <w:vAlign w:val="bottom"/>
            <w:hideMark/>
          </w:tcPr>
          <w:p w14:paraId="5716033C" w14:textId="77777777" w:rsidR="004872CF" w:rsidRPr="00A52AEE" w:rsidRDefault="004872CF" w:rsidP="009A2373">
            <w:pPr>
              <w:jc w:val="right"/>
              <w:rPr>
                <w:lang w:eastAsia="en-GB"/>
              </w:rPr>
            </w:pPr>
            <w:r w:rsidRPr="00A52AEE">
              <w:rPr>
                <w:lang w:eastAsia="en-GB"/>
              </w:rPr>
              <w:t>76%</w:t>
            </w:r>
          </w:p>
        </w:tc>
        <w:tc>
          <w:tcPr>
            <w:tcW w:w="363" w:type="pct"/>
            <w:tcBorders>
              <w:top w:val="single" w:sz="12" w:space="0" w:color="auto"/>
              <w:left w:val="nil"/>
              <w:bottom w:val="single" w:sz="4" w:space="0" w:color="auto"/>
              <w:right w:val="single" w:sz="4" w:space="0" w:color="auto"/>
            </w:tcBorders>
            <w:shd w:val="clear" w:color="auto" w:fill="auto"/>
            <w:noWrap/>
            <w:vAlign w:val="bottom"/>
            <w:hideMark/>
          </w:tcPr>
          <w:p w14:paraId="0286F934" w14:textId="77777777" w:rsidR="004872CF" w:rsidRPr="00A52AEE" w:rsidRDefault="004872CF" w:rsidP="009A2373">
            <w:pPr>
              <w:jc w:val="right"/>
              <w:rPr>
                <w:lang w:eastAsia="en-GB"/>
              </w:rPr>
            </w:pPr>
            <w:r w:rsidRPr="00A52AEE">
              <w:rPr>
                <w:lang w:eastAsia="en-GB"/>
              </w:rPr>
              <w:t>33%</w:t>
            </w:r>
          </w:p>
        </w:tc>
        <w:tc>
          <w:tcPr>
            <w:tcW w:w="365" w:type="pct"/>
            <w:tcBorders>
              <w:top w:val="single" w:sz="12" w:space="0" w:color="auto"/>
              <w:left w:val="nil"/>
              <w:bottom w:val="single" w:sz="4" w:space="0" w:color="auto"/>
              <w:right w:val="single" w:sz="12" w:space="0" w:color="auto"/>
            </w:tcBorders>
            <w:shd w:val="clear" w:color="auto" w:fill="auto"/>
            <w:noWrap/>
            <w:vAlign w:val="bottom"/>
            <w:hideMark/>
          </w:tcPr>
          <w:p w14:paraId="0F1302A8" w14:textId="77777777" w:rsidR="004872CF" w:rsidRPr="00A52AEE" w:rsidRDefault="004872CF" w:rsidP="009A2373">
            <w:pPr>
              <w:jc w:val="right"/>
              <w:rPr>
                <w:lang w:eastAsia="en-GB"/>
              </w:rPr>
            </w:pPr>
            <w:r w:rsidRPr="00A52AEE">
              <w:rPr>
                <w:lang w:eastAsia="en-GB"/>
              </w:rPr>
              <w:t>8%</w:t>
            </w:r>
          </w:p>
        </w:tc>
        <w:tc>
          <w:tcPr>
            <w:tcW w:w="36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7599470" w14:textId="77777777" w:rsidR="004872CF" w:rsidRPr="00A52AEE" w:rsidRDefault="004872CF" w:rsidP="009A2373">
            <w:pPr>
              <w:jc w:val="right"/>
              <w:rPr>
                <w:lang w:eastAsia="en-GB"/>
              </w:rPr>
            </w:pPr>
            <w:r w:rsidRPr="00A52AEE">
              <w:rPr>
                <w:lang w:eastAsia="en-GB"/>
              </w:rPr>
              <w:t>67%</w:t>
            </w:r>
          </w:p>
        </w:tc>
        <w:tc>
          <w:tcPr>
            <w:tcW w:w="363" w:type="pct"/>
            <w:tcBorders>
              <w:top w:val="single" w:sz="12" w:space="0" w:color="auto"/>
              <w:left w:val="nil"/>
              <w:bottom w:val="single" w:sz="4" w:space="0" w:color="auto"/>
              <w:right w:val="single" w:sz="4" w:space="0" w:color="auto"/>
            </w:tcBorders>
            <w:shd w:val="clear" w:color="auto" w:fill="auto"/>
            <w:noWrap/>
            <w:vAlign w:val="bottom"/>
            <w:hideMark/>
          </w:tcPr>
          <w:p w14:paraId="72A08060" w14:textId="77777777" w:rsidR="004872CF" w:rsidRPr="00A52AEE" w:rsidRDefault="004872CF" w:rsidP="009A2373">
            <w:pPr>
              <w:jc w:val="right"/>
              <w:rPr>
                <w:lang w:eastAsia="en-GB"/>
              </w:rPr>
            </w:pPr>
            <w:r w:rsidRPr="00A52AEE">
              <w:rPr>
                <w:lang w:eastAsia="en-GB"/>
              </w:rPr>
              <w:t>44%</w:t>
            </w:r>
          </w:p>
        </w:tc>
        <w:tc>
          <w:tcPr>
            <w:tcW w:w="363" w:type="pct"/>
            <w:tcBorders>
              <w:top w:val="single" w:sz="12" w:space="0" w:color="auto"/>
              <w:left w:val="nil"/>
              <w:bottom w:val="single" w:sz="4" w:space="0" w:color="auto"/>
              <w:right w:val="single" w:sz="4" w:space="0" w:color="auto"/>
            </w:tcBorders>
            <w:shd w:val="clear" w:color="auto" w:fill="auto"/>
            <w:noWrap/>
            <w:vAlign w:val="bottom"/>
            <w:hideMark/>
          </w:tcPr>
          <w:p w14:paraId="1269CE1A" w14:textId="77777777" w:rsidR="004872CF" w:rsidRPr="00A52AEE" w:rsidRDefault="004872CF" w:rsidP="009A2373">
            <w:pPr>
              <w:jc w:val="right"/>
              <w:rPr>
                <w:lang w:eastAsia="en-GB"/>
              </w:rPr>
            </w:pPr>
            <w:r w:rsidRPr="00A52AEE">
              <w:rPr>
                <w:lang w:eastAsia="en-GB"/>
              </w:rPr>
              <w:t>29%</w:t>
            </w:r>
          </w:p>
        </w:tc>
        <w:tc>
          <w:tcPr>
            <w:tcW w:w="363" w:type="pct"/>
            <w:tcBorders>
              <w:top w:val="single" w:sz="12" w:space="0" w:color="auto"/>
              <w:left w:val="nil"/>
              <w:bottom w:val="single" w:sz="4" w:space="0" w:color="auto"/>
              <w:right w:val="single" w:sz="4" w:space="0" w:color="auto"/>
            </w:tcBorders>
            <w:shd w:val="clear" w:color="auto" w:fill="auto"/>
            <w:noWrap/>
            <w:vAlign w:val="bottom"/>
            <w:hideMark/>
          </w:tcPr>
          <w:p w14:paraId="00146C3A" w14:textId="77777777" w:rsidR="004872CF" w:rsidRPr="00A52AEE" w:rsidRDefault="004872CF" w:rsidP="009A2373">
            <w:pPr>
              <w:jc w:val="right"/>
              <w:rPr>
                <w:lang w:eastAsia="en-GB"/>
              </w:rPr>
            </w:pPr>
            <w:r w:rsidRPr="00A52AEE">
              <w:rPr>
                <w:lang w:eastAsia="en-GB"/>
              </w:rPr>
              <w:t>8%</w:t>
            </w:r>
          </w:p>
        </w:tc>
        <w:tc>
          <w:tcPr>
            <w:tcW w:w="363" w:type="pct"/>
            <w:tcBorders>
              <w:top w:val="single" w:sz="12" w:space="0" w:color="auto"/>
              <w:left w:val="nil"/>
              <w:bottom w:val="single" w:sz="4" w:space="0" w:color="auto"/>
              <w:right w:val="single" w:sz="12" w:space="0" w:color="auto"/>
            </w:tcBorders>
            <w:shd w:val="clear" w:color="auto" w:fill="auto"/>
            <w:noWrap/>
            <w:vAlign w:val="bottom"/>
            <w:hideMark/>
          </w:tcPr>
          <w:p w14:paraId="2A88AA10" w14:textId="77777777" w:rsidR="004872CF" w:rsidRPr="00A52AEE" w:rsidRDefault="004872CF" w:rsidP="009A2373">
            <w:pPr>
              <w:jc w:val="right"/>
              <w:rPr>
                <w:lang w:eastAsia="en-GB"/>
              </w:rPr>
            </w:pPr>
            <w:r w:rsidRPr="00A52AEE">
              <w:rPr>
                <w:lang w:eastAsia="en-GB"/>
              </w:rPr>
              <w:t>32%</w:t>
            </w:r>
          </w:p>
        </w:tc>
      </w:tr>
      <w:tr w:rsidR="00D87628" w:rsidRPr="00A52AEE" w14:paraId="0E4BC464"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53048C8C" w14:textId="77777777" w:rsidR="004872CF" w:rsidRPr="00A52AEE" w:rsidRDefault="004872CF" w:rsidP="00A52AEE">
            <w:pPr>
              <w:rPr>
                <w:lang w:eastAsia="en-GB"/>
              </w:rPr>
            </w:pPr>
            <w:r w:rsidRPr="00A52AEE">
              <w:rPr>
                <w:lang w:eastAsia="en-GB"/>
              </w:rPr>
              <w:t>Asian or Asian British –Bangladeshi</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7090B08C" w14:textId="77777777" w:rsidR="004872CF" w:rsidRPr="00A52AEE" w:rsidRDefault="004872CF" w:rsidP="009A2373">
            <w:pPr>
              <w:jc w:val="right"/>
              <w:rPr>
                <w:lang w:eastAsia="en-GB"/>
              </w:rPr>
            </w:pPr>
            <w:r w:rsidRPr="00A52AEE">
              <w:rPr>
                <w:lang w:eastAsia="en-GB"/>
              </w:rPr>
              <w:t>84%</w:t>
            </w:r>
          </w:p>
        </w:tc>
        <w:tc>
          <w:tcPr>
            <w:tcW w:w="363" w:type="pct"/>
            <w:tcBorders>
              <w:top w:val="nil"/>
              <w:left w:val="nil"/>
              <w:bottom w:val="single" w:sz="4" w:space="0" w:color="auto"/>
              <w:right w:val="single" w:sz="4" w:space="0" w:color="auto"/>
            </w:tcBorders>
            <w:shd w:val="clear" w:color="auto" w:fill="auto"/>
            <w:noWrap/>
            <w:vAlign w:val="bottom"/>
            <w:hideMark/>
          </w:tcPr>
          <w:p w14:paraId="79D1D4F4" w14:textId="77777777" w:rsidR="004872CF" w:rsidRPr="00A52AEE" w:rsidRDefault="004872CF" w:rsidP="009A2373">
            <w:pPr>
              <w:jc w:val="right"/>
              <w:rPr>
                <w:lang w:eastAsia="en-GB"/>
              </w:rPr>
            </w:pPr>
            <w:r w:rsidRPr="00A52AEE">
              <w:rPr>
                <w:lang w:eastAsia="en-GB"/>
              </w:rPr>
              <w:t>74%</w:t>
            </w:r>
          </w:p>
        </w:tc>
        <w:tc>
          <w:tcPr>
            <w:tcW w:w="364" w:type="pct"/>
            <w:tcBorders>
              <w:top w:val="nil"/>
              <w:left w:val="nil"/>
              <w:bottom w:val="single" w:sz="4" w:space="0" w:color="auto"/>
              <w:right w:val="single" w:sz="4" w:space="0" w:color="auto"/>
            </w:tcBorders>
            <w:shd w:val="clear" w:color="auto" w:fill="auto"/>
            <w:noWrap/>
            <w:vAlign w:val="bottom"/>
            <w:hideMark/>
          </w:tcPr>
          <w:p w14:paraId="01E39CA4" w14:textId="77777777" w:rsidR="004872CF" w:rsidRPr="00A52AEE" w:rsidRDefault="004872CF" w:rsidP="009A2373">
            <w:pPr>
              <w:jc w:val="right"/>
              <w:rPr>
                <w:lang w:eastAsia="en-GB"/>
              </w:rPr>
            </w:pPr>
            <w:r w:rsidRPr="00A52AEE">
              <w:rPr>
                <w:lang w:eastAsia="en-GB"/>
              </w:rPr>
              <w:t>87%</w:t>
            </w:r>
          </w:p>
        </w:tc>
        <w:tc>
          <w:tcPr>
            <w:tcW w:w="363" w:type="pct"/>
            <w:tcBorders>
              <w:top w:val="nil"/>
              <w:left w:val="nil"/>
              <w:bottom w:val="single" w:sz="4" w:space="0" w:color="auto"/>
              <w:right w:val="single" w:sz="4" w:space="0" w:color="auto"/>
            </w:tcBorders>
            <w:shd w:val="clear" w:color="auto" w:fill="auto"/>
            <w:noWrap/>
            <w:vAlign w:val="bottom"/>
            <w:hideMark/>
          </w:tcPr>
          <w:p w14:paraId="13FCE6C5" w14:textId="77777777" w:rsidR="004872CF" w:rsidRPr="00A52AEE" w:rsidRDefault="004872CF" w:rsidP="009A2373">
            <w:pPr>
              <w:jc w:val="right"/>
              <w:rPr>
                <w:lang w:eastAsia="en-GB"/>
              </w:rPr>
            </w:pPr>
            <w:r w:rsidRPr="00A52AEE">
              <w:rPr>
                <w:lang w:eastAsia="en-GB"/>
              </w:rPr>
              <w:t>50%</w:t>
            </w:r>
          </w:p>
        </w:tc>
        <w:tc>
          <w:tcPr>
            <w:tcW w:w="365" w:type="pct"/>
            <w:tcBorders>
              <w:top w:val="nil"/>
              <w:left w:val="nil"/>
              <w:bottom w:val="single" w:sz="4" w:space="0" w:color="auto"/>
              <w:right w:val="single" w:sz="12" w:space="0" w:color="auto"/>
            </w:tcBorders>
            <w:shd w:val="clear" w:color="auto" w:fill="auto"/>
            <w:noWrap/>
            <w:vAlign w:val="bottom"/>
            <w:hideMark/>
          </w:tcPr>
          <w:p w14:paraId="682DC6F8" w14:textId="77777777" w:rsidR="004872CF" w:rsidRPr="00A52AEE" w:rsidRDefault="004872CF" w:rsidP="009A2373">
            <w:pPr>
              <w:jc w:val="right"/>
              <w:rPr>
                <w:lang w:eastAsia="en-GB"/>
              </w:rPr>
            </w:pPr>
            <w:r w:rsidRPr="00A52AEE">
              <w:rPr>
                <w:lang w:eastAsia="en-GB"/>
              </w:rPr>
              <w:t>38%</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3F36F9CD" w14:textId="77777777" w:rsidR="004872CF" w:rsidRPr="00A52AEE" w:rsidRDefault="004872CF" w:rsidP="009A2373">
            <w:pPr>
              <w:jc w:val="right"/>
              <w:rPr>
                <w:lang w:eastAsia="en-GB"/>
              </w:rPr>
            </w:pPr>
            <w:r w:rsidRPr="00A52AEE">
              <w:rPr>
                <w:lang w:eastAsia="en-GB"/>
              </w:rPr>
              <w:t>74%</w:t>
            </w:r>
          </w:p>
        </w:tc>
        <w:tc>
          <w:tcPr>
            <w:tcW w:w="363" w:type="pct"/>
            <w:tcBorders>
              <w:top w:val="nil"/>
              <w:left w:val="nil"/>
              <w:bottom w:val="single" w:sz="4" w:space="0" w:color="auto"/>
              <w:right w:val="single" w:sz="4" w:space="0" w:color="auto"/>
            </w:tcBorders>
            <w:shd w:val="clear" w:color="auto" w:fill="auto"/>
            <w:noWrap/>
            <w:vAlign w:val="bottom"/>
            <w:hideMark/>
          </w:tcPr>
          <w:p w14:paraId="3B1A01EB" w14:textId="77777777" w:rsidR="004872CF" w:rsidRPr="00A52AEE" w:rsidRDefault="004872CF" w:rsidP="009A2373">
            <w:pPr>
              <w:jc w:val="right"/>
              <w:rPr>
                <w:lang w:eastAsia="en-GB"/>
              </w:rPr>
            </w:pPr>
            <w:r w:rsidRPr="00A52AEE">
              <w:rPr>
                <w:lang w:eastAsia="en-GB"/>
              </w:rPr>
              <w:t>48%</w:t>
            </w:r>
          </w:p>
        </w:tc>
        <w:tc>
          <w:tcPr>
            <w:tcW w:w="363" w:type="pct"/>
            <w:tcBorders>
              <w:top w:val="nil"/>
              <w:left w:val="nil"/>
              <w:bottom w:val="single" w:sz="4" w:space="0" w:color="auto"/>
              <w:right w:val="single" w:sz="4" w:space="0" w:color="auto"/>
            </w:tcBorders>
            <w:shd w:val="clear" w:color="auto" w:fill="auto"/>
            <w:noWrap/>
            <w:vAlign w:val="bottom"/>
            <w:hideMark/>
          </w:tcPr>
          <w:p w14:paraId="6FC8630B" w14:textId="77777777" w:rsidR="004872CF" w:rsidRPr="00A52AEE" w:rsidRDefault="004872CF" w:rsidP="009A2373">
            <w:pPr>
              <w:jc w:val="right"/>
              <w:rPr>
                <w:lang w:eastAsia="en-GB"/>
              </w:rPr>
            </w:pPr>
            <w:r w:rsidRPr="00A52AEE">
              <w:rPr>
                <w:lang w:eastAsia="en-GB"/>
              </w:rPr>
              <w:t>27%</w:t>
            </w:r>
          </w:p>
        </w:tc>
        <w:tc>
          <w:tcPr>
            <w:tcW w:w="363" w:type="pct"/>
            <w:tcBorders>
              <w:top w:val="nil"/>
              <w:left w:val="nil"/>
              <w:bottom w:val="single" w:sz="4" w:space="0" w:color="auto"/>
              <w:right w:val="single" w:sz="4" w:space="0" w:color="auto"/>
            </w:tcBorders>
            <w:shd w:val="clear" w:color="auto" w:fill="auto"/>
            <w:noWrap/>
            <w:vAlign w:val="bottom"/>
            <w:hideMark/>
          </w:tcPr>
          <w:p w14:paraId="758C928E"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2CDF51A4" w14:textId="77777777" w:rsidR="004872CF" w:rsidRPr="00A52AEE" w:rsidRDefault="004872CF" w:rsidP="009A2373">
            <w:pPr>
              <w:jc w:val="right"/>
              <w:rPr>
                <w:lang w:eastAsia="en-GB"/>
              </w:rPr>
            </w:pPr>
            <w:r w:rsidRPr="00A52AEE">
              <w:rPr>
                <w:lang w:eastAsia="en-GB"/>
              </w:rPr>
              <w:t>31%</w:t>
            </w:r>
          </w:p>
        </w:tc>
      </w:tr>
      <w:tr w:rsidR="00D87628" w:rsidRPr="00A52AEE" w14:paraId="7F7AC938"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0BB9F291" w14:textId="77777777" w:rsidR="004872CF" w:rsidRPr="00A52AEE" w:rsidRDefault="004872CF" w:rsidP="00A52AEE">
            <w:pPr>
              <w:rPr>
                <w:lang w:eastAsia="en-GB"/>
              </w:rPr>
            </w:pPr>
            <w:r w:rsidRPr="00A52AEE">
              <w:rPr>
                <w:lang w:eastAsia="en-GB"/>
              </w:rPr>
              <w:t>Asian or Asian British –Indian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779B6E07" w14:textId="77777777" w:rsidR="004872CF" w:rsidRPr="00A52AEE" w:rsidRDefault="004872CF" w:rsidP="009A2373">
            <w:pPr>
              <w:jc w:val="right"/>
              <w:rPr>
                <w:lang w:eastAsia="en-GB"/>
              </w:rPr>
            </w:pPr>
            <w:r w:rsidRPr="00A52AEE">
              <w:rPr>
                <w:lang w:eastAsia="en-GB"/>
              </w:rPr>
              <w:t>72%</w:t>
            </w:r>
          </w:p>
        </w:tc>
        <w:tc>
          <w:tcPr>
            <w:tcW w:w="363" w:type="pct"/>
            <w:tcBorders>
              <w:top w:val="nil"/>
              <w:left w:val="nil"/>
              <w:bottom w:val="single" w:sz="4" w:space="0" w:color="auto"/>
              <w:right w:val="single" w:sz="4" w:space="0" w:color="auto"/>
            </w:tcBorders>
            <w:shd w:val="clear" w:color="auto" w:fill="auto"/>
            <w:noWrap/>
            <w:vAlign w:val="bottom"/>
            <w:hideMark/>
          </w:tcPr>
          <w:p w14:paraId="20D8FC14" w14:textId="77777777" w:rsidR="004872CF" w:rsidRPr="00A52AEE" w:rsidRDefault="004872CF" w:rsidP="009A2373">
            <w:pPr>
              <w:jc w:val="right"/>
              <w:rPr>
                <w:lang w:eastAsia="en-GB"/>
              </w:rPr>
            </w:pPr>
            <w:r w:rsidRPr="00A52AEE">
              <w:rPr>
                <w:lang w:eastAsia="en-GB"/>
              </w:rPr>
              <w:t>74%</w:t>
            </w:r>
          </w:p>
        </w:tc>
        <w:tc>
          <w:tcPr>
            <w:tcW w:w="364" w:type="pct"/>
            <w:tcBorders>
              <w:top w:val="nil"/>
              <w:left w:val="nil"/>
              <w:bottom w:val="single" w:sz="4" w:space="0" w:color="auto"/>
              <w:right w:val="single" w:sz="4" w:space="0" w:color="auto"/>
            </w:tcBorders>
            <w:shd w:val="clear" w:color="auto" w:fill="auto"/>
            <w:noWrap/>
            <w:vAlign w:val="bottom"/>
            <w:hideMark/>
          </w:tcPr>
          <w:p w14:paraId="3F4B56B8" w14:textId="77777777" w:rsidR="004872CF" w:rsidRPr="00A52AEE" w:rsidRDefault="004872CF" w:rsidP="009A2373">
            <w:pPr>
              <w:jc w:val="right"/>
              <w:rPr>
                <w:lang w:eastAsia="en-GB"/>
              </w:rPr>
            </w:pPr>
            <w:r w:rsidRPr="00A52AEE">
              <w:rPr>
                <w:lang w:eastAsia="en-GB"/>
              </w:rPr>
              <w:t>82%</w:t>
            </w:r>
          </w:p>
        </w:tc>
        <w:tc>
          <w:tcPr>
            <w:tcW w:w="363" w:type="pct"/>
            <w:tcBorders>
              <w:top w:val="nil"/>
              <w:left w:val="nil"/>
              <w:bottom w:val="single" w:sz="4" w:space="0" w:color="auto"/>
              <w:right w:val="single" w:sz="4" w:space="0" w:color="auto"/>
            </w:tcBorders>
            <w:shd w:val="clear" w:color="auto" w:fill="auto"/>
            <w:noWrap/>
            <w:vAlign w:val="bottom"/>
            <w:hideMark/>
          </w:tcPr>
          <w:p w14:paraId="484AA750" w14:textId="77777777" w:rsidR="004872CF" w:rsidRPr="00A52AEE" w:rsidRDefault="004872CF" w:rsidP="009A2373">
            <w:pPr>
              <w:jc w:val="right"/>
              <w:rPr>
                <w:lang w:eastAsia="en-GB"/>
              </w:rPr>
            </w:pPr>
            <w:r w:rsidRPr="00A52AEE">
              <w:rPr>
                <w:lang w:eastAsia="en-GB"/>
              </w:rPr>
              <w:t>31%</w:t>
            </w:r>
          </w:p>
        </w:tc>
        <w:tc>
          <w:tcPr>
            <w:tcW w:w="365" w:type="pct"/>
            <w:tcBorders>
              <w:top w:val="nil"/>
              <w:left w:val="nil"/>
              <w:bottom w:val="single" w:sz="4" w:space="0" w:color="auto"/>
              <w:right w:val="single" w:sz="12" w:space="0" w:color="auto"/>
            </w:tcBorders>
            <w:shd w:val="clear" w:color="auto" w:fill="auto"/>
            <w:noWrap/>
            <w:vAlign w:val="bottom"/>
            <w:hideMark/>
          </w:tcPr>
          <w:p w14:paraId="73017310" w14:textId="77777777" w:rsidR="004872CF" w:rsidRPr="00A52AEE" w:rsidRDefault="004872CF" w:rsidP="009A2373">
            <w:pPr>
              <w:jc w:val="right"/>
              <w:rPr>
                <w:lang w:eastAsia="en-GB"/>
              </w:rPr>
            </w:pPr>
            <w:r w:rsidRPr="00A52AEE">
              <w:rPr>
                <w:lang w:eastAsia="en-GB"/>
              </w:rPr>
              <w:t>28%</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19A82633" w14:textId="77777777" w:rsidR="004872CF" w:rsidRPr="00A52AEE" w:rsidRDefault="004872CF" w:rsidP="009A2373">
            <w:pPr>
              <w:jc w:val="right"/>
              <w:rPr>
                <w:lang w:eastAsia="en-GB"/>
              </w:rPr>
            </w:pPr>
            <w:r w:rsidRPr="00A52AEE">
              <w:rPr>
                <w:lang w:eastAsia="en-GB"/>
              </w:rPr>
              <w:t>83%</w:t>
            </w:r>
          </w:p>
        </w:tc>
        <w:tc>
          <w:tcPr>
            <w:tcW w:w="363" w:type="pct"/>
            <w:tcBorders>
              <w:top w:val="nil"/>
              <w:left w:val="nil"/>
              <w:bottom w:val="single" w:sz="4" w:space="0" w:color="auto"/>
              <w:right w:val="single" w:sz="4" w:space="0" w:color="auto"/>
            </w:tcBorders>
            <w:shd w:val="clear" w:color="auto" w:fill="auto"/>
            <w:noWrap/>
            <w:vAlign w:val="bottom"/>
            <w:hideMark/>
          </w:tcPr>
          <w:p w14:paraId="62CE2FE4" w14:textId="77777777" w:rsidR="004872CF" w:rsidRPr="00A52AEE" w:rsidRDefault="004872CF" w:rsidP="009A2373">
            <w:pPr>
              <w:jc w:val="right"/>
              <w:rPr>
                <w:lang w:eastAsia="en-GB"/>
              </w:rPr>
            </w:pPr>
            <w:r w:rsidRPr="00A52AEE">
              <w:rPr>
                <w:lang w:eastAsia="en-GB"/>
              </w:rPr>
              <w:t>55%</w:t>
            </w:r>
          </w:p>
        </w:tc>
        <w:tc>
          <w:tcPr>
            <w:tcW w:w="363" w:type="pct"/>
            <w:tcBorders>
              <w:top w:val="nil"/>
              <w:left w:val="nil"/>
              <w:bottom w:val="single" w:sz="4" w:space="0" w:color="auto"/>
              <w:right w:val="single" w:sz="4" w:space="0" w:color="auto"/>
            </w:tcBorders>
            <w:shd w:val="clear" w:color="auto" w:fill="auto"/>
            <w:noWrap/>
            <w:vAlign w:val="bottom"/>
            <w:hideMark/>
          </w:tcPr>
          <w:p w14:paraId="1B1034F7"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4" w:space="0" w:color="auto"/>
            </w:tcBorders>
            <w:shd w:val="clear" w:color="auto" w:fill="auto"/>
            <w:noWrap/>
            <w:vAlign w:val="bottom"/>
            <w:hideMark/>
          </w:tcPr>
          <w:p w14:paraId="57CCBA3A" w14:textId="77777777" w:rsidR="004872CF" w:rsidRPr="00A52AEE" w:rsidRDefault="004872CF" w:rsidP="009A2373">
            <w:pPr>
              <w:jc w:val="right"/>
              <w:rPr>
                <w:lang w:eastAsia="en-GB"/>
              </w:rPr>
            </w:pPr>
            <w:r w:rsidRPr="00A52AEE">
              <w:rPr>
                <w:lang w:eastAsia="en-GB"/>
              </w:rPr>
              <w:t>20%</w:t>
            </w:r>
          </w:p>
        </w:tc>
        <w:tc>
          <w:tcPr>
            <w:tcW w:w="363" w:type="pct"/>
            <w:tcBorders>
              <w:top w:val="nil"/>
              <w:left w:val="nil"/>
              <w:bottom w:val="single" w:sz="4" w:space="0" w:color="auto"/>
              <w:right w:val="single" w:sz="12" w:space="0" w:color="auto"/>
            </w:tcBorders>
            <w:shd w:val="clear" w:color="auto" w:fill="auto"/>
            <w:noWrap/>
            <w:vAlign w:val="bottom"/>
            <w:hideMark/>
          </w:tcPr>
          <w:p w14:paraId="64111C62" w14:textId="77777777" w:rsidR="004872CF" w:rsidRPr="00A52AEE" w:rsidRDefault="004872CF" w:rsidP="009A2373">
            <w:pPr>
              <w:jc w:val="right"/>
              <w:rPr>
                <w:lang w:eastAsia="en-GB"/>
              </w:rPr>
            </w:pPr>
            <w:r w:rsidRPr="00A52AEE">
              <w:rPr>
                <w:lang w:eastAsia="en-GB"/>
              </w:rPr>
              <w:t>26%</w:t>
            </w:r>
          </w:p>
        </w:tc>
      </w:tr>
      <w:tr w:rsidR="00D87628" w:rsidRPr="00A52AEE" w14:paraId="4E1D0237"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24865F95" w14:textId="77777777" w:rsidR="004872CF" w:rsidRPr="00A52AEE" w:rsidRDefault="004872CF" w:rsidP="00A52AEE">
            <w:pPr>
              <w:rPr>
                <w:lang w:eastAsia="en-GB"/>
              </w:rPr>
            </w:pPr>
            <w:r w:rsidRPr="00A52AEE">
              <w:rPr>
                <w:lang w:eastAsia="en-GB"/>
              </w:rPr>
              <w:t>Asian or Asian British –Pakistani</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520DA2E1" w14:textId="77777777" w:rsidR="004872CF" w:rsidRPr="00A52AEE" w:rsidRDefault="004872CF" w:rsidP="009A2373">
            <w:pPr>
              <w:jc w:val="right"/>
              <w:rPr>
                <w:lang w:eastAsia="en-GB"/>
              </w:rPr>
            </w:pPr>
            <w:r w:rsidRPr="00A52AEE">
              <w:rPr>
                <w:lang w:eastAsia="en-GB"/>
              </w:rPr>
              <w:t>85%</w:t>
            </w:r>
          </w:p>
        </w:tc>
        <w:tc>
          <w:tcPr>
            <w:tcW w:w="363" w:type="pct"/>
            <w:tcBorders>
              <w:top w:val="nil"/>
              <w:left w:val="nil"/>
              <w:bottom w:val="single" w:sz="4" w:space="0" w:color="auto"/>
              <w:right w:val="single" w:sz="4" w:space="0" w:color="auto"/>
            </w:tcBorders>
            <w:shd w:val="clear" w:color="auto" w:fill="auto"/>
            <w:noWrap/>
            <w:vAlign w:val="bottom"/>
            <w:hideMark/>
          </w:tcPr>
          <w:p w14:paraId="702E8414" w14:textId="77777777" w:rsidR="004872CF" w:rsidRPr="00A52AEE" w:rsidRDefault="004872CF" w:rsidP="009A2373">
            <w:pPr>
              <w:jc w:val="right"/>
              <w:rPr>
                <w:lang w:eastAsia="en-GB"/>
              </w:rPr>
            </w:pPr>
            <w:r w:rsidRPr="00A52AEE">
              <w:rPr>
                <w:lang w:eastAsia="en-GB"/>
              </w:rPr>
              <w:t>70%</w:t>
            </w:r>
          </w:p>
        </w:tc>
        <w:tc>
          <w:tcPr>
            <w:tcW w:w="364" w:type="pct"/>
            <w:tcBorders>
              <w:top w:val="nil"/>
              <w:left w:val="nil"/>
              <w:bottom w:val="single" w:sz="4" w:space="0" w:color="auto"/>
              <w:right w:val="single" w:sz="4" w:space="0" w:color="auto"/>
            </w:tcBorders>
            <w:shd w:val="clear" w:color="auto" w:fill="auto"/>
            <w:noWrap/>
            <w:vAlign w:val="bottom"/>
            <w:hideMark/>
          </w:tcPr>
          <w:p w14:paraId="438DD426" w14:textId="77777777" w:rsidR="004872CF" w:rsidRPr="00A52AEE" w:rsidRDefault="004872CF" w:rsidP="009A2373">
            <w:pPr>
              <w:jc w:val="right"/>
              <w:rPr>
                <w:lang w:eastAsia="en-GB"/>
              </w:rPr>
            </w:pPr>
            <w:r w:rsidRPr="00A52AEE">
              <w:rPr>
                <w:lang w:eastAsia="en-GB"/>
              </w:rPr>
              <w:t>84%</w:t>
            </w:r>
          </w:p>
        </w:tc>
        <w:tc>
          <w:tcPr>
            <w:tcW w:w="363" w:type="pct"/>
            <w:tcBorders>
              <w:top w:val="nil"/>
              <w:left w:val="nil"/>
              <w:bottom w:val="single" w:sz="4" w:space="0" w:color="auto"/>
              <w:right w:val="single" w:sz="4" w:space="0" w:color="auto"/>
            </w:tcBorders>
            <w:shd w:val="clear" w:color="auto" w:fill="auto"/>
            <w:noWrap/>
            <w:vAlign w:val="bottom"/>
            <w:hideMark/>
          </w:tcPr>
          <w:p w14:paraId="33108A66" w14:textId="77777777" w:rsidR="004872CF" w:rsidRPr="00A52AEE" w:rsidRDefault="004872CF" w:rsidP="009A2373">
            <w:pPr>
              <w:jc w:val="right"/>
              <w:rPr>
                <w:lang w:eastAsia="en-GB"/>
              </w:rPr>
            </w:pPr>
            <w:r w:rsidRPr="00A52AEE">
              <w:rPr>
                <w:lang w:eastAsia="en-GB"/>
              </w:rPr>
              <w:t>16%</w:t>
            </w:r>
          </w:p>
        </w:tc>
        <w:tc>
          <w:tcPr>
            <w:tcW w:w="365" w:type="pct"/>
            <w:tcBorders>
              <w:top w:val="nil"/>
              <w:left w:val="nil"/>
              <w:bottom w:val="single" w:sz="4" w:space="0" w:color="auto"/>
              <w:right w:val="single" w:sz="12" w:space="0" w:color="auto"/>
            </w:tcBorders>
            <w:shd w:val="clear" w:color="auto" w:fill="auto"/>
            <w:noWrap/>
            <w:vAlign w:val="bottom"/>
            <w:hideMark/>
          </w:tcPr>
          <w:p w14:paraId="1C9A47AB" w14:textId="77777777" w:rsidR="004872CF" w:rsidRPr="00A52AEE" w:rsidRDefault="004872CF" w:rsidP="009A2373">
            <w:pPr>
              <w:jc w:val="right"/>
              <w:rPr>
                <w:lang w:eastAsia="en-GB"/>
              </w:rPr>
            </w:pPr>
            <w:r w:rsidRPr="00A52AEE">
              <w:rPr>
                <w:lang w:eastAsia="en-GB"/>
              </w:rPr>
              <w:t>43%</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65BC3214" w14:textId="77777777" w:rsidR="004872CF" w:rsidRPr="00A52AEE" w:rsidRDefault="004872CF" w:rsidP="009A2373">
            <w:pPr>
              <w:jc w:val="right"/>
              <w:rPr>
                <w:lang w:eastAsia="en-GB"/>
              </w:rPr>
            </w:pPr>
            <w:r w:rsidRPr="00A52AEE">
              <w:rPr>
                <w:lang w:eastAsia="en-GB"/>
              </w:rPr>
              <w:t>69%</w:t>
            </w:r>
          </w:p>
        </w:tc>
        <w:tc>
          <w:tcPr>
            <w:tcW w:w="363" w:type="pct"/>
            <w:tcBorders>
              <w:top w:val="nil"/>
              <w:left w:val="nil"/>
              <w:bottom w:val="single" w:sz="4" w:space="0" w:color="auto"/>
              <w:right w:val="single" w:sz="4" w:space="0" w:color="auto"/>
            </w:tcBorders>
            <w:shd w:val="clear" w:color="auto" w:fill="auto"/>
            <w:noWrap/>
            <w:vAlign w:val="bottom"/>
            <w:hideMark/>
          </w:tcPr>
          <w:p w14:paraId="7FDA03A0" w14:textId="77777777" w:rsidR="004872CF" w:rsidRPr="00A52AEE" w:rsidRDefault="004872CF" w:rsidP="009A2373">
            <w:pPr>
              <w:jc w:val="right"/>
              <w:rPr>
                <w:lang w:eastAsia="en-GB"/>
              </w:rPr>
            </w:pPr>
            <w:r w:rsidRPr="00A52AEE">
              <w:rPr>
                <w:lang w:eastAsia="en-GB"/>
              </w:rPr>
              <w:t>50%</w:t>
            </w:r>
          </w:p>
        </w:tc>
        <w:tc>
          <w:tcPr>
            <w:tcW w:w="363" w:type="pct"/>
            <w:tcBorders>
              <w:top w:val="nil"/>
              <w:left w:val="nil"/>
              <w:bottom w:val="single" w:sz="4" w:space="0" w:color="auto"/>
              <w:right w:val="single" w:sz="4" w:space="0" w:color="auto"/>
            </w:tcBorders>
            <w:shd w:val="clear" w:color="auto" w:fill="auto"/>
            <w:noWrap/>
            <w:vAlign w:val="bottom"/>
            <w:hideMark/>
          </w:tcPr>
          <w:p w14:paraId="69CA1393" w14:textId="77777777" w:rsidR="004872CF" w:rsidRPr="00A52AEE" w:rsidRDefault="004872CF" w:rsidP="009A2373">
            <w:pPr>
              <w:jc w:val="right"/>
              <w:rPr>
                <w:lang w:eastAsia="en-GB"/>
              </w:rPr>
            </w:pPr>
            <w:r w:rsidRPr="00A52AEE">
              <w:rPr>
                <w:lang w:eastAsia="en-GB"/>
              </w:rPr>
              <w:t>25%</w:t>
            </w:r>
          </w:p>
        </w:tc>
        <w:tc>
          <w:tcPr>
            <w:tcW w:w="363" w:type="pct"/>
            <w:tcBorders>
              <w:top w:val="nil"/>
              <w:left w:val="nil"/>
              <w:bottom w:val="single" w:sz="4" w:space="0" w:color="auto"/>
              <w:right w:val="single" w:sz="4" w:space="0" w:color="auto"/>
            </w:tcBorders>
            <w:shd w:val="clear" w:color="auto" w:fill="auto"/>
            <w:noWrap/>
            <w:vAlign w:val="bottom"/>
            <w:hideMark/>
          </w:tcPr>
          <w:p w14:paraId="085DD163"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1236746C" w14:textId="77777777" w:rsidR="004872CF" w:rsidRPr="00A52AEE" w:rsidRDefault="004872CF" w:rsidP="009A2373">
            <w:pPr>
              <w:jc w:val="right"/>
              <w:rPr>
                <w:lang w:eastAsia="en-GB"/>
              </w:rPr>
            </w:pPr>
            <w:r w:rsidRPr="00A52AEE">
              <w:rPr>
                <w:lang w:eastAsia="en-GB"/>
              </w:rPr>
              <w:t>34%</w:t>
            </w:r>
          </w:p>
        </w:tc>
      </w:tr>
      <w:tr w:rsidR="00D87628" w:rsidRPr="00A52AEE" w14:paraId="5192217D"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49EACD8C" w14:textId="77777777" w:rsidR="004872CF" w:rsidRPr="00A52AEE" w:rsidRDefault="004872CF" w:rsidP="00A52AEE">
            <w:pPr>
              <w:rPr>
                <w:lang w:eastAsia="en-GB"/>
              </w:rPr>
            </w:pPr>
            <w:r w:rsidRPr="00A52AEE">
              <w:rPr>
                <w:lang w:eastAsia="en-GB"/>
              </w:rPr>
              <w:t>Black or Black British - any other Black background</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4FDC5E55" w14:textId="77777777" w:rsidR="004872CF" w:rsidRPr="00A52AEE" w:rsidRDefault="004872CF" w:rsidP="009A2373">
            <w:pPr>
              <w:jc w:val="right"/>
              <w:rPr>
                <w:lang w:eastAsia="en-GB"/>
              </w:rPr>
            </w:pPr>
            <w:r w:rsidRPr="00A52AEE">
              <w:rPr>
                <w:lang w:eastAsia="en-GB"/>
              </w:rPr>
              <w:t>58%</w:t>
            </w:r>
          </w:p>
        </w:tc>
        <w:tc>
          <w:tcPr>
            <w:tcW w:w="363" w:type="pct"/>
            <w:tcBorders>
              <w:top w:val="nil"/>
              <w:left w:val="nil"/>
              <w:bottom w:val="single" w:sz="4" w:space="0" w:color="auto"/>
              <w:right w:val="single" w:sz="4" w:space="0" w:color="auto"/>
            </w:tcBorders>
            <w:shd w:val="clear" w:color="auto" w:fill="auto"/>
            <w:noWrap/>
            <w:vAlign w:val="bottom"/>
            <w:hideMark/>
          </w:tcPr>
          <w:p w14:paraId="541BC0FD" w14:textId="77777777" w:rsidR="004872CF" w:rsidRPr="00A52AEE" w:rsidRDefault="004872CF" w:rsidP="009A2373">
            <w:pPr>
              <w:jc w:val="right"/>
              <w:rPr>
                <w:lang w:eastAsia="en-GB"/>
              </w:rPr>
            </w:pPr>
            <w:r w:rsidRPr="00A52AEE">
              <w:rPr>
                <w:lang w:eastAsia="en-GB"/>
              </w:rPr>
              <w:t>67%</w:t>
            </w:r>
          </w:p>
        </w:tc>
        <w:tc>
          <w:tcPr>
            <w:tcW w:w="364" w:type="pct"/>
            <w:tcBorders>
              <w:top w:val="nil"/>
              <w:left w:val="nil"/>
              <w:bottom w:val="single" w:sz="4" w:space="0" w:color="auto"/>
              <w:right w:val="single" w:sz="4" w:space="0" w:color="auto"/>
            </w:tcBorders>
            <w:shd w:val="clear" w:color="auto" w:fill="auto"/>
            <w:noWrap/>
            <w:vAlign w:val="bottom"/>
            <w:hideMark/>
          </w:tcPr>
          <w:p w14:paraId="47C78925" w14:textId="77777777" w:rsidR="004872CF" w:rsidRPr="00A52AEE" w:rsidRDefault="004872CF" w:rsidP="009A2373">
            <w:pPr>
              <w:jc w:val="right"/>
              <w:rPr>
                <w:lang w:eastAsia="en-GB"/>
              </w:rPr>
            </w:pPr>
            <w:r w:rsidRPr="00A52AEE">
              <w:rPr>
                <w:lang w:eastAsia="en-GB"/>
              </w:rPr>
              <w:t>83%</w:t>
            </w:r>
          </w:p>
        </w:tc>
        <w:tc>
          <w:tcPr>
            <w:tcW w:w="363" w:type="pct"/>
            <w:tcBorders>
              <w:top w:val="nil"/>
              <w:left w:val="nil"/>
              <w:bottom w:val="single" w:sz="4" w:space="0" w:color="auto"/>
              <w:right w:val="single" w:sz="4" w:space="0" w:color="auto"/>
            </w:tcBorders>
            <w:shd w:val="clear" w:color="auto" w:fill="auto"/>
            <w:noWrap/>
            <w:vAlign w:val="bottom"/>
            <w:hideMark/>
          </w:tcPr>
          <w:p w14:paraId="4CE5251C" w14:textId="77777777" w:rsidR="004872CF" w:rsidRPr="00A52AEE" w:rsidRDefault="004872CF" w:rsidP="009A2373">
            <w:pPr>
              <w:jc w:val="right"/>
              <w:rPr>
                <w:lang w:eastAsia="en-GB"/>
              </w:rPr>
            </w:pPr>
            <w:r w:rsidRPr="00A52AEE">
              <w:rPr>
                <w:lang w:eastAsia="en-GB"/>
              </w:rPr>
              <w:t>0%</w:t>
            </w:r>
          </w:p>
        </w:tc>
        <w:tc>
          <w:tcPr>
            <w:tcW w:w="365" w:type="pct"/>
            <w:tcBorders>
              <w:top w:val="nil"/>
              <w:left w:val="nil"/>
              <w:bottom w:val="single" w:sz="4" w:space="0" w:color="auto"/>
              <w:right w:val="single" w:sz="12" w:space="0" w:color="auto"/>
            </w:tcBorders>
            <w:shd w:val="clear" w:color="auto" w:fill="auto"/>
            <w:noWrap/>
            <w:vAlign w:val="bottom"/>
            <w:hideMark/>
          </w:tcPr>
          <w:p w14:paraId="0DCD86C1" w14:textId="77777777" w:rsidR="004872CF" w:rsidRPr="00A52AEE" w:rsidRDefault="004872CF" w:rsidP="009A2373">
            <w:pPr>
              <w:jc w:val="right"/>
              <w:rPr>
                <w:lang w:eastAsia="en-GB"/>
              </w:rPr>
            </w:pPr>
            <w:r w:rsidRPr="00A52AEE">
              <w:rPr>
                <w:lang w:eastAsia="en-GB"/>
              </w:rPr>
              <w:t>50%</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20B75CF4" w14:textId="77777777" w:rsidR="004872CF" w:rsidRPr="00A52AEE" w:rsidRDefault="004872CF" w:rsidP="009A2373">
            <w:pPr>
              <w:jc w:val="right"/>
              <w:rPr>
                <w:lang w:eastAsia="en-GB"/>
              </w:rPr>
            </w:pPr>
            <w:r w:rsidRPr="00A52AEE">
              <w:rPr>
                <w:lang w:eastAsia="en-GB"/>
              </w:rPr>
              <w:t>75%</w:t>
            </w:r>
          </w:p>
        </w:tc>
        <w:tc>
          <w:tcPr>
            <w:tcW w:w="363" w:type="pct"/>
            <w:tcBorders>
              <w:top w:val="nil"/>
              <w:left w:val="nil"/>
              <w:bottom w:val="single" w:sz="4" w:space="0" w:color="auto"/>
              <w:right w:val="single" w:sz="4" w:space="0" w:color="auto"/>
            </w:tcBorders>
            <w:shd w:val="clear" w:color="auto" w:fill="auto"/>
            <w:noWrap/>
            <w:vAlign w:val="bottom"/>
            <w:hideMark/>
          </w:tcPr>
          <w:p w14:paraId="3575B104" w14:textId="77777777" w:rsidR="004872CF" w:rsidRPr="00A52AEE" w:rsidRDefault="004872CF" w:rsidP="009A2373">
            <w:pPr>
              <w:jc w:val="right"/>
              <w:rPr>
                <w:lang w:eastAsia="en-GB"/>
              </w:rPr>
            </w:pPr>
            <w:r w:rsidRPr="00A52AEE">
              <w:rPr>
                <w:lang w:eastAsia="en-GB"/>
              </w:rPr>
              <w:t>37%</w:t>
            </w:r>
          </w:p>
        </w:tc>
        <w:tc>
          <w:tcPr>
            <w:tcW w:w="363" w:type="pct"/>
            <w:tcBorders>
              <w:top w:val="nil"/>
              <w:left w:val="nil"/>
              <w:bottom w:val="single" w:sz="4" w:space="0" w:color="auto"/>
              <w:right w:val="single" w:sz="4" w:space="0" w:color="auto"/>
            </w:tcBorders>
            <w:shd w:val="clear" w:color="auto" w:fill="auto"/>
            <w:noWrap/>
            <w:vAlign w:val="bottom"/>
            <w:hideMark/>
          </w:tcPr>
          <w:p w14:paraId="7F14BF04" w14:textId="77777777" w:rsidR="004872CF" w:rsidRPr="00A52AEE" w:rsidRDefault="004872CF" w:rsidP="009A2373">
            <w:pPr>
              <w:jc w:val="right"/>
              <w:rPr>
                <w:lang w:eastAsia="en-GB"/>
              </w:rPr>
            </w:pPr>
            <w:r w:rsidRPr="00A52AEE">
              <w:rPr>
                <w:lang w:eastAsia="en-GB"/>
              </w:rPr>
              <w:t>20%</w:t>
            </w:r>
          </w:p>
        </w:tc>
        <w:tc>
          <w:tcPr>
            <w:tcW w:w="363" w:type="pct"/>
            <w:tcBorders>
              <w:top w:val="nil"/>
              <w:left w:val="nil"/>
              <w:bottom w:val="single" w:sz="4" w:space="0" w:color="auto"/>
              <w:right w:val="single" w:sz="4" w:space="0" w:color="auto"/>
            </w:tcBorders>
            <w:shd w:val="clear" w:color="auto" w:fill="auto"/>
            <w:noWrap/>
            <w:vAlign w:val="bottom"/>
            <w:hideMark/>
          </w:tcPr>
          <w:p w14:paraId="59F0F11D" w14:textId="77777777" w:rsidR="004872CF" w:rsidRPr="00A52AEE" w:rsidRDefault="004872CF" w:rsidP="009A2373">
            <w:pPr>
              <w:jc w:val="right"/>
              <w:rPr>
                <w:lang w:eastAsia="en-GB"/>
              </w:rPr>
            </w:pPr>
            <w:r w:rsidRPr="00A52AEE">
              <w:rPr>
                <w:lang w:eastAsia="en-GB"/>
              </w:rPr>
              <w:t>15%</w:t>
            </w:r>
          </w:p>
        </w:tc>
        <w:tc>
          <w:tcPr>
            <w:tcW w:w="363" w:type="pct"/>
            <w:tcBorders>
              <w:top w:val="nil"/>
              <w:left w:val="nil"/>
              <w:bottom w:val="single" w:sz="4" w:space="0" w:color="auto"/>
              <w:right w:val="single" w:sz="12" w:space="0" w:color="auto"/>
            </w:tcBorders>
            <w:shd w:val="clear" w:color="auto" w:fill="auto"/>
            <w:noWrap/>
            <w:vAlign w:val="bottom"/>
            <w:hideMark/>
          </w:tcPr>
          <w:p w14:paraId="0B5EDEB3" w14:textId="77777777" w:rsidR="004872CF" w:rsidRPr="00A52AEE" w:rsidRDefault="004872CF" w:rsidP="009A2373">
            <w:pPr>
              <w:jc w:val="right"/>
              <w:rPr>
                <w:lang w:eastAsia="en-GB"/>
              </w:rPr>
            </w:pPr>
            <w:r w:rsidRPr="00A52AEE">
              <w:rPr>
                <w:lang w:eastAsia="en-GB"/>
              </w:rPr>
              <w:t>33%</w:t>
            </w:r>
          </w:p>
        </w:tc>
      </w:tr>
      <w:tr w:rsidR="00D87628" w:rsidRPr="00A52AEE" w14:paraId="4099A35C"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6E1B958B" w14:textId="77777777" w:rsidR="004872CF" w:rsidRPr="00A52AEE" w:rsidRDefault="004872CF" w:rsidP="00A52AEE">
            <w:pPr>
              <w:rPr>
                <w:lang w:eastAsia="en-GB"/>
              </w:rPr>
            </w:pPr>
            <w:r w:rsidRPr="00A52AEE">
              <w:rPr>
                <w:lang w:eastAsia="en-GB"/>
              </w:rPr>
              <w:t>Black or Black British –African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3344ED3C" w14:textId="77777777" w:rsidR="004872CF" w:rsidRPr="00A52AEE" w:rsidRDefault="004872CF" w:rsidP="009A2373">
            <w:pPr>
              <w:jc w:val="right"/>
              <w:rPr>
                <w:lang w:eastAsia="en-GB"/>
              </w:rPr>
            </w:pPr>
            <w:r w:rsidRPr="00A52AEE">
              <w:rPr>
                <w:lang w:eastAsia="en-GB"/>
              </w:rPr>
              <w:t>71%</w:t>
            </w:r>
          </w:p>
        </w:tc>
        <w:tc>
          <w:tcPr>
            <w:tcW w:w="363" w:type="pct"/>
            <w:tcBorders>
              <w:top w:val="nil"/>
              <w:left w:val="nil"/>
              <w:bottom w:val="single" w:sz="4" w:space="0" w:color="auto"/>
              <w:right w:val="single" w:sz="4" w:space="0" w:color="auto"/>
            </w:tcBorders>
            <w:shd w:val="clear" w:color="auto" w:fill="auto"/>
            <w:noWrap/>
            <w:vAlign w:val="bottom"/>
            <w:hideMark/>
          </w:tcPr>
          <w:p w14:paraId="764DD476" w14:textId="77777777" w:rsidR="004872CF" w:rsidRPr="00A52AEE" w:rsidRDefault="004872CF" w:rsidP="009A2373">
            <w:pPr>
              <w:jc w:val="right"/>
              <w:rPr>
                <w:lang w:eastAsia="en-GB"/>
              </w:rPr>
            </w:pPr>
            <w:r w:rsidRPr="00A52AEE">
              <w:rPr>
                <w:lang w:eastAsia="en-GB"/>
              </w:rPr>
              <w:t>70%</w:t>
            </w:r>
          </w:p>
        </w:tc>
        <w:tc>
          <w:tcPr>
            <w:tcW w:w="364" w:type="pct"/>
            <w:tcBorders>
              <w:top w:val="nil"/>
              <w:left w:val="nil"/>
              <w:bottom w:val="single" w:sz="4" w:space="0" w:color="auto"/>
              <w:right w:val="single" w:sz="4" w:space="0" w:color="auto"/>
            </w:tcBorders>
            <w:shd w:val="clear" w:color="auto" w:fill="auto"/>
            <w:noWrap/>
            <w:vAlign w:val="bottom"/>
            <w:hideMark/>
          </w:tcPr>
          <w:p w14:paraId="22DC9F84" w14:textId="77777777" w:rsidR="004872CF" w:rsidRPr="00A52AEE" w:rsidRDefault="004872CF" w:rsidP="009A2373">
            <w:pPr>
              <w:jc w:val="right"/>
              <w:rPr>
                <w:lang w:eastAsia="en-GB"/>
              </w:rPr>
            </w:pPr>
            <w:r w:rsidRPr="00A52AEE">
              <w:rPr>
                <w:lang w:eastAsia="en-GB"/>
              </w:rPr>
              <w:t>81%</w:t>
            </w:r>
          </w:p>
        </w:tc>
        <w:tc>
          <w:tcPr>
            <w:tcW w:w="363" w:type="pct"/>
            <w:tcBorders>
              <w:top w:val="nil"/>
              <w:left w:val="nil"/>
              <w:bottom w:val="single" w:sz="4" w:space="0" w:color="auto"/>
              <w:right w:val="single" w:sz="4" w:space="0" w:color="auto"/>
            </w:tcBorders>
            <w:shd w:val="clear" w:color="auto" w:fill="auto"/>
            <w:noWrap/>
            <w:vAlign w:val="bottom"/>
            <w:hideMark/>
          </w:tcPr>
          <w:p w14:paraId="04E04D1E" w14:textId="77777777" w:rsidR="004872CF" w:rsidRPr="00A52AEE" w:rsidRDefault="004872CF" w:rsidP="009A2373">
            <w:pPr>
              <w:jc w:val="right"/>
              <w:rPr>
                <w:lang w:eastAsia="en-GB"/>
              </w:rPr>
            </w:pPr>
            <w:r w:rsidRPr="00A52AEE">
              <w:rPr>
                <w:lang w:eastAsia="en-GB"/>
              </w:rPr>
              <w:t>30%</w:t>
            </w:r>
          </w:p>
        </w:tc>
        <w:tc>
          <w:tcPr>
            <w:tcW w:w="365" w:type="pct"/>
            <w:tcBorders>
              <w:top w:val="nil"/>
              <w:left w:val="nil"/>
              <w:bottom w:val="single" w:sz="4" w:space="0" w:color="auto"/>
              <w:right w:val="single" w:sz="12" w:space="0" w:color="auto"/>
            </w:tcBorders>
            <w:shd w:val="clear" w:color="auto" w:fill="auto"/>
            <w:noWrap/>
            <w:vAlign w:val="bottom"/>
            <w:hideMark/>
          </w:tcPr>
          <w:p w14:paraId="2BFB3A49" w14:textId="77777777" w:rsidR="004872CF" w:rsidRPr="00A52AEE" w:rsidRDefault="004872CF" w:rsidP="009A2373">
            <w:pPr>
              <w:jc w:val="right"/>
              <w:rPr>
                <w:lang w:eastAsia="en-GB"/>
              </w:rPr>
            </w:pPr>
            <w:r w:rsidRPr="00A52AEE">
              <w:rPr>
                <w:lang w:eastAsia="en-GB"/>
              </w:rPr>
              <w:t>45%</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5FF7D9CF" w14:textId="77777777" w:rsidR="004872CF" w:rsidRPr="00A52AEE" w:rsidRDefault="004872CF" w:rsidP="009A2373">
            <w:pPr>
              <w:jc w:val="right"/>
              <w:rPr>
                <w:lang w:eastAsia="en-GB"/>
              </w:rPr>
            </w:pPr>
            <w:r w:rsidRPr="00A52AEE">
              <w:rPr>
                <w:lang w:eastAsia="en-GB"/>
              </w:rPr>
              <w:t>63%</w:t>
            </w:r>
          </w:p>
        </w:tc>
        <w:tc>
          <w:tcPr>
            <w:tcW w:w="363" w:type="pct"/>
            <w:tcBorders>
              <w:top w:val="nil"/>
              <w:left w:val="nil"/>
              <w:bottom w:val="single" w:sz="4" w:space="0" w:color="auto"/>
              <w:right w:val="single" w:sz="4" w:space="0" w:color="auto"/>
            </w:tcBorders>
            <w:shd w:val="clear" w:color="auto" w:fill="auto"/>
            <w:noWrap/>
            <w:vAlign w:val="bottom"/>
            <w:hideMark/>
          </w:tcPr>
          <w:p w14:paraId="426BCB7E" w14:textId="77777777" w:rsidR="004872CF" w:rsidRPr="00A52AEE" w:rsidRDefault="004872CF" w:rsidP="009A2373">
            <w:pPr>
              <w:jc w:val="right"/>
              <w:rPr>
                <w:lang w:eastAsia="en-GB"/>
              </w:rPr>
            </w:pPr>
            <w:r w:rsidRPr="00A52AEE">
              <w:rPr>
                <w:lang w:eastAsia="en-GB"/>
              </w:rPr>
              <w:t>49%</w:t>
            </w:r>
          </w:p>
        </w:tc>
        <w:tc>
          <w:tcPr>
            <w:tcW w:w="363" w:type="pct"/>
            <w:tcBorders>
              <w:top w:val="nil"/>
              <w:left w:val="nil"/>
              <w:bottom w:val="single" w:sz="4" w:space="0" w:color="auto"/>
              <w:right w:val="single" w:sz="4" w:space="0" w:color="auto"/>
            </w:tcBorders>
            <w:shd w:val="clear" w:color="auto" w:fill="auto"/>
            <w:noWrap/>
            <w:vAlign w:val="bottom"/>
            <w:hideMark/>
          </w:tcPr>
          <w:p w14:paraId="3C6A6CD4" w14:textId="77777777" w:rsidR="004872CF" w:rsidRPr="00A52AEE" w:rsidRDefault="004872CF" w:rsidP="009A2373">
            <w:pPr>
              <w:jc w:val="right"/>
              <w:rPr>
                <w:lang w:eastAsia="en-GB"/>
              </w:rPr>
            </w:pPr>
            <w:r w:rsidRPr="00A52AEE">
              <w:rPr>
                <w:lang w:eastAsia="en-GB"/>
              </w:rPr>
              <w:t>39%</w:t>
            </w:r>
          </w:p>
        </w:tc>
        <w:tc>
          <w:tcPr>
            <w:tcW w:w="363" w:type="pct"/>
            <w:tcBorders>
              <w:top w:val="nil"/>
              <w:left w:val="nil"/>
              <w:bottom w:val="single" w:sz="4" w:space="0" w:color="auto"/>
              <w:right w:val="single" w:sz="4" w:space="0" w:color="auto"/>
            </w:tcBorders>
            <w:shd w:val="clear" w:color="auto" w:fill="auto"/>
            <w:noWrap/>
            <w:vAlign w:val="bottom"/>
            <w:hideMark/>
          </w:tcPr>
          <w:p w14:paraId="59DDC280" w14:textId="77777777" w:rsidR="004872CF" w:rsidRPr="00A52AEE" w:rsidRDefault="004872CF" w:rsidP="009A2373">
            <w:pPr>
              <w:jc w:val="right"/>
              <w:rPr>
                <w:lang w:eastAsia="en-GB"/>
              </w:rPr>
            </w:pPr>
            <w:r w:rsidRPr="00A52AEE">
              <w:rPr>
                <w:lang w:eastAsia="en-GB"/>
              </w:rPr>
              <w:t>30%</w:t>
            </w:r>
          </w:p>
        </w:tc>
        <w:tc>
          <w:tcPr>
            <w:tcW w:w="363" w:type="pct"/>
            <w:tcBorders>
              <w:top w:val="nil"/>
              <w:left w:val="nil"/>
              <w:bottom w:val="single" w:sz="4" w:space="0" w:color="auto"/>
              <w:right w:val="single" w:sz="12" w:space="0" w:color="auto"/>
            </w:tcBorders>
            <w:shd w:val="clear" w:color="auto" w:fill="auto"/>
            <w:noWrap/>
            <w:vAlign w:val="bottom"/>
            <w:hideMark/>
          </w:tcPr>
          <w:p w14:paraId="2B7B9F43" w14:textId="77777777" w:rsidR="004872CF" w:rsidRPr="00A52AEE" w:rsidRDefault="004872CF" w:rsidP="009A2373">
            <w:pPr>
              <w:jc w:val="right"/>
              <w:rPr>
                <w:lang w:eastAsia="en-GB"/>
              </w:rPr>
            </w:pPr>
            <w:r w:rsidRPr="00A52AEE">
              <w:rPr>
                <w:lang w:eastAsia="en-GB"/>
              </w:rPr>
              <w:t>34%</w:t>
            </w:r>
          </w:p>
        </w:tc>
      </w:tr>
      <w:tr w:rsidR="00D87628" w:rsidRPr="00A52AEE" w14:paraId="509CA69F"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611CC7FA" w14:textId="77777777" w:rsidR="004872CF" w:rsidRPr="00A52AEE" w:rsidRDefault="004872CF" w:rsidP="00A52AEE">
            <w:pPr>
              <w:rPr>
                <w:lang w:eastAsia="en-GB"/>
              </w:rPr>
            </w:pPr>
            <w:r w:rsidRPr="00A52AEE">
              <w:rPr>
                <w:lang w:eastAsia="en-GB"/>
              </w:rPr>
              <w:t>Black or Black British –Caribbean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2830AD92" w14:textId="77777777" w:rsidR="004872CF" w:rsidRPr="00A52AEE" w:rsidRDefault="004872CF" w:rsidP="009A2373">
            <w:pPr>
              <w:jc w:val="right"/>
              <w:rPr>
                <w:lang w:eastAsia="en-GB"/>
              </w:rPr>
            </w:pPr>
            <w:r w:rsidRPr="00A52AEE">
              <w:rPr>
                <w:lang w:eastAsia="en-GB"/>
              </w:rPr>
              <w:t>63%</w:t>
            </w:r>
          </w:p>
        </w:tc>
        <w:tc>
          <w:tcPr>
            <w:tcW w:w="363" w:type="pct"/>
            <w:tcBorders>
              <w:top w:val="nil"/>
              <w:left w:val="nil"/>
              <w:bottom w:val="single" w:sz="4" w:space="0" w:color="auto"/>
              <w:right w:val="single" w:sz="4" w:space="0" w:color="auto"/>
            </w:tcBorders>
            <w:shd w:val="clear" w:color="auto" w:fill="auto"/>
            <w:noWrap/>
            <w:vAlign w:val="bottom"/>
            <w:hideMark/>
          </w:tcPr>
          <w:p w14:paraId="6E7F7528" w14:textId="77777777" w:rsidR="004872CF" w:rsidRPr="00A52AEE" w:rsidRDefault="004872CF" w:rsidP="009A2373">
            <w:pPr>
              <w:jc w:val="right"/>
              <w:rPr>
                <w:lang w:eastAsia="en-GB"/>
              </w:rPr>
            </w:pPr>
            <w:r w:rsidRPr="00A52AEE">
              <w:rPr>
                <w:lang w:eastAsia="en-GB"/>
              </w:rPr>
              <w:t>58%</w:t>
            </w:r>
          </w:p>
        </w:tc>
        <w:tc>
          <w:tcPr>
            <w:tcW w:w="364" w:type="pct"/>
            <w:tcBorders>
              <w:top w:val="nil"/>
              <w:left w:val="nil"/>
              <w:bottom w:val="single" w:sz="4" w:space="0" w:color="auto"/>
              <w:right w:val="single" w:sz="4" w:space="0" w:color="auto"/>
            </w:tcBorders>
            <w:shd w:val="clear" w:color="auto" w:fill="auto"/>
            <w:noWrap/>
            <w:vAlign w:val="bottom"/>
            <w:hideMark/>
          </w:tcPr>
          <w:p w14:paraId="2ABE656F" w14:textId="77777777" w:rsidR="004872CF" w:rsidRPr="00A52AEE" w:rsidRDefault="004872CF" w:rsidP="009A2373">
            <w:pPr>
              <w:jc w:val="right"/>
              <w:rPr>
                <w:lang w:eastAsia="en-GB"/>
              </w:rPr>
            </w:pPr>
            <w:r w:rsidRPr="00A52AEE">
              <w:rPr>
                <w:lang w:eastAsia="en-GB"/>
              </w:rPr>
              <w:t>76%</w:t>
            </w:r>
          </w:p>
        </w:tc>
        <w:tc>
          <w:tcPr>
            <w:tcW w:w="363" w:type="pct"/>
            <w:tcBorders>
              <w:top w:val="nil"/>
              <w:left w:val="nil"/>
              <w:bottom w:val="single" w:sz="4" w:space="0" w:color="auto"/>
              <w:right w:val="single" w:sz="4" w:space="0" w:color="auto"/>
            </w:tcBorders>
            <w:shd w:val="clear" w:color="auto" w:fill="auto"/>
            <w:noWrap/>
            <w:vAlign w:val="bottom"/>
            <w:hideMark/>
          </w:tcPr>
          <w:p w14:paraId="65462E5C" w14:textId="77777777" w:rsidR="004872CF" w:rsidRPr="00A52AEE" w:rsidRDefault="004872CF" w:rsidP="009A2373">
            <w:pPr>
              <w:jc w:val="right"/>
              <w:rPr>
                <w:lang w:eastAsia="en-GB"/>
              </w:rPr>
            </w:pPr>
            <w:r w:rsidRPr="00A52AEE">
              <w:rPr>
                <w:lang w:eastAsia="en-GB"/>
              </w:rPr>
              <w:t>20%</w:t>
            </w:r>
          </w:p>
        </w:tc>
        <w:tc>
          <w:tcPr>
            <w:tcW w:w="365" w:type="pct"/>
            <w:tcBorders>
              <w:top w:val="nil"/>
              <w:left w:val="nil"/>
              <w:bottom w:val="single" w:sz="4" w:space="0" w:color="auto"/>
              <w:right w:val="single" w:sz="12" w:space="0" w:color="auto"/>
            </w:tcBorders>
            <w:shd w:val="clear" w:color="auto" w:fill="auto"/>
            <w:noWrap/>
            <w:vAlign w:val="bottom"/>
            <w:hideMark/>
          </w:tcPr>
          <w:p w14:paraId="506D73DC" w14:textId="77777777" w:rsidR="004872CF" w:rsidRPr="00A52AEE" w:rsidRDefault="004872CF" w:rsidP="009A2373">
            <w:pPr>
              <w:jc w:val="right"/>
              <w:rPr>
                <w:lang w:eastAsia="en-GB"/>
              </w:rPr>
            </w:pPr>
            <w:r w:rsidRPr="00A52AEE">
              <w:rPr>
                <w:lang w:eastAsia="en-GB"/>
              </w:rPr>
              <w:t>20%</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1202A31B" w14:textId="77777777" w:rsidR="004872CF" w:rsidRPr="00A52AEE" w:rsidRDefault="004872CF" w:rsidP="009A2373">
            <w:pPr>
              <w:jc w:val="right"/>
              <w:rPr>
                <w:lang w:eastAsia="en-GB"/>
              </w:rPr>
            </w:pPr>
            <w:r w:rsidRPr="00A52AEE">
              <w:rPr>
                <w:lang w:eastAsia="en-GB"/>
              </w:rPr>
              <w:t>77%</w:t>
            </w:r>
          </w:p>
        </w:tc>
        <w:tc>
          <w:tcPr>
            <w:tcW w:w="363" w:type="pct"/>
            <w:tcBorders>
              <w:top w:val="nil"/>
              <w:left w:val="nil"/>
              <w:bottom w:val="single" w:sz="4" w:space="0" w:color="auto"/>
              <w:right w:val="single" w:sz="4" w:space="0" w:color="auto"/>
            </w:tcBorders>
            <w:shd w:val="clear" w:color="auto" w:fill="auto"/>
            <w:noWrap/>
            <w:vAlign w:val="bottom"/>
            <w:hideMark/>
          </w:tcPr>
          <w:p w14:paraId="0A37F0AB" w14:textId="77777777" w:rsidR="004872CF" w:rsidRPr="00A52AEE" w:rsidRDefault="004872CF" w:rsidP="009A2373">
            <w:pPr>
              <w:jc w:val="right"/>
              <w:rPr>
                <w:lang w:eastAsia="en-GB"/>
              </w:rPr>
            </w:pPr>
            <w:r w:rsidRPr="00A52AEE">
              <w:rPr>
                <w:lang w:eastAsia="en-GB"/>
              </w:rPr>
              <w:t>36%</w:t>
            </w:r>
          </w:p>
        </w:tc>
        <w:tc>
          <w:tcPr>
            <w:tcW w:w="363" w:type="pct"/>
            <w:tcBorders>
              <w:top w:val="nil"/>
              <w:left w:val="nil"/>
              <w:bottom w:val="single" w:sz="4" w:space="0" w:color="auto"/>
              <w:right w:val="single" w:sz="4" w:space="0" w:color="auto"/>
            </w:tcBorders>
            <w:shd w:val="clear" w:color="auto" w:fill="auto"/>
            <w:noWrap/>
            <w:vAlign w:val="bottom"/>
            <w:hideMark/>
          </w:tcPr>
          <w:p w14:paraId="1F1889E5" w14:textId="77777777" w:rsidR="004872CF" w:rsidRPr="00A52AEE" w:rsidRDefault="004872CF" w:rsidP="009A2373">
            <w:pPr>
              <w:jc w:val="right"/>
              <w:rPr>
                <w:lang w:eastAsia="en-GB"/>
              </w:rPr>
            </w:pPr>
            <w:r w:rsidRPr="00A52AEE">
              <w:rPr>
                <w:lang w:eastAsia="en-GB"/>
              </w:rPr>
              <w:t>18%</w:t>
            </w:r>
          </w:p>
        </w:tc>
        <w:tc>
          <w:tcPr>
            <w:tcW w:w="363" w:type="pct"/>
            <w:tcBorders>
              <w:top w:val="nil"/>
              <w:left w:val="nil"/>
              <w:bottom w:val="single" w:sz="4" w:space="0" w:color="auto"/>
              <w:right w:val="single" w:sz="4" w:space="0" w:color="auto"/>
            </w:tcBorders>
            <w:shd w:val="clear" w:color="auto" w:fill="auto"/>
            <w:noWrap/>
            <w:vAlign w:val="bottom"/>
            <w:hideMark/>
          </w:tcPr>
          <w:p w14:paraId="0B6ECB65" w14:textId="77777777" w:rsidR="004872CF" w:rsidRPr="00A52AEE" w:rsidRDefault="004872CF" w:rsidP="009A2373">
            <w:pPr>
              <w:jc w:val="right"/>
              <w:rPr>
                <w:lang w:eastAsia="en-GB"/>
              </w:rPr>
            </w:pPr>
            <w:r w:rsidRPr="00A52AEE">
              <w:rPr>
                <w:lang w:eastAsia="en-GB"/>
              </w:rPr>
              <w:t>15%</w:t>
            </w:r>
          </w:p>
        </w:tc>
        <w:tc>
          <w:tcPr>
            <w:tcW w:w="363" w:type="pct"/>
            <w:tcBorders>
              <w:top w:val="nil"/>
              <w:left w:val="nil"/>
              <w:bottom w:val="single" w:sz="4" w:space="0" w:color="auto"/>
              <w:right w:val="single" w:sz="12" w:space="0" w:color="auto"/>
            </w:tcBorders>
            <w:shd w:val="clear" w:color="auto" w:fill="auto"/>
            <w:noWrap/>
            <w:vAlign w:val="bottom"/>
            <w:hideMark/>
          </w:tcPr>
          <w:p w14:paraId="347D93D2" w14:textId="77777777" w:rsidR="004872CF" w:rsidRPr="00A52AEE" w:rsidRDefault="004872CF" w:rsidP="009A2373">
            <w:pPr>
              <w:jc w:val="right"/>
              <w:rPr>
                <w:lang w:eastAsia="en-GB"/>
              </w:rPr>
            </w:pPr>
            <w:r w:rsidRPr="00A52AEE">
              <w:rPr>
                <w:lang w:eastAsia="en-GB"/>
              </w:rPr>
              <w:t>18%</w:t>
            </w:r>
          </w:p>
        </w:tc>
      </w:tr>
      <w:tr w:rsidR="00D87628" w:rsidRPr="00A52AEE" w14:paraId="3B43E6BC"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24B0F89B" w14:textId="77777777" w:rsidR="004872CF" w:rsidRPr="00A52AEE" w:rsidRDefault="004872CF" w:rsidP="00A52AEE">
            <w:pPr>
              <w:rPr>
                <w:lang w:eastAsia="en-GB"/>
              </w:rPr>
            </w:pPr>
            <w:r w:rsidRPr="00A52AEE">
              <w:rPr>
                <w:lang w:eastAsia="en-GB"/>
              </w:rPr>
              <w:t>Chinese</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343E19CB"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4" w:space="0" w:color="auto"/>
            </w:tcBorders>
            <w:shd w:val="clear" w:color="auto" w:fill="auto"/>
            <w:noWrap/>
            <w:vAlign w:val="bottom"/>
            <w:hideMark/>
          </w:tcPr>
          <w:p w14:paraId="4D703F29" w14:textId="77777777" w:rsidR="004872CF" w:rsidRPr="00A52AEE" w:rsidRDefault="004872CF" w:rsidP="009A2373">
            <w:pPr>
              <w:jc w:val="right"/>
              <w:rPr>
                <w:lang w:eastAsia="en-GB"/>
              </w:rPr>
            </w:pPr>
            <w:r w:rsidRPr="00A52AEE">
              <w:rPr>
                <w:lang w:eastAsia="en-GB"/>
              </w:rPr>
              <w:t>72%</w:t>
            </w:r>
          </w:p>
        </w:tc>
        <w:tc>
          <w:tcPr>
            <w:tcW w:w="364" w:type="pct"/>
            <w:tcBorders>
              <w:top w:val="nil"/>
              <w:left w:val="nil"/>
              <w:bottom w:val="single" w:sz="4" w:space="0" w:color="auto"/>
              <w:right w:val="single" w:sz="4" w:space="0" w:color="auto"/>
            </w:tcBorders>
            <w:shd w:val="clear" w:color="auto" w:fill="auto"/>
            <w:noWrap/>
            <w:vAlign w:val="bottom"/>
            <w:hideMark/>
          </w:tcPr>
          <w:p w14:paraId="6633ED7F" w14:textId="77777777" w:rsidR="004872CF" w:rsidRPr="00A52AEE" w:rsidRDefault="004872CF" w:rsidP="009A2373">
            <w:pPr>
              <w:jc w:val="right"/>
              <w:rPr>
                <w:lang w:eastAsia="en-GB"/>
              </w:rPr>
            </w:pPr>
            <w:r w:rsidRPr="00A52AEE">
              <w:rPr>
                <w:lang w:eastAsia="en-GB"/>
              </w:rPr>
              <w:t>83%</w:t>
            </w:r>
          </w:p>
        </w:tc>
        <w:tc>
          <w:tcPr>
            <w:tcW w:w="363" w:type="pct"/>
            <w:tcBorders>
              <w:top w:val="nil"/>
              <w:left w:val="nil"/>
              <w:bottom w:val="single" w:sz="4" w:space="0" w:color="auto"/>
              <w:right w:val="single" w:sz="4" w:space="0" w:color="auto"/>
            </w:tcBorders>
            <w:shd w:val="clear" w:color="auto" w:fill="auto"/>
            <w:noWrap/>
            <w:vAlign w:val="bottom"/>
            <w:hideMark/>
          </w:tcPr>
          <w:p w14:paraId="712B06A9" w14:textId="77777777" w:rsidR="004872CF" w:rsidRPr="00A52AEE" w:rsidRDefault="004872CF" w:rsidP="009A2373">
            <w:pPr>
              <w:jc w:val="right"/>
              <w:rPr>
                <w:lang w:eastAsia="en-GB"/>
              </w:rPr>
            </w:pPr>
            <w:r w:rsidRPr="00A52AEE">
              <w:rPr>
                <w:lang w:eastAsia="en-GB"/>
              </w:rPr>
              <w:t>67%</w:t>
            </w:r>
          </w:p>
        </w:tc>
        <w:tc>
          <w:tcPr>
            <w:tcW w:w="365" w:type="pct"/>
            <w:tcBorders>
              <w:top w:val="nil"/>
              <w:left w:val="nil"/>
              <w:bottom w:val="single" w:sz="4" w:space="0" w:color="auto"/>
              <w:right w:val="single" w:sz="12" w:space="0" w:color="auto"/>
            </w:tcBorders>
            <w:shd w:val="clear" w:color="auto" w:fill="auto"/>
            <w:noWrap/>
            <w:vAlign w:val="bottom"/>
            <w:hideMark/>
          </w:tcPr>
          <w:p w14:paraId="1AAB8652" w14:textId="77777777" w:rsidR="004872CF" w:rsidRPr="00A52AEE" w:rsidRDefault="004872CF" w:rsidP="009A2373">
            <w:pPr>
              <w:jc w:val="right"/>
              <w:rPr>
                <w:lang w:eastAsia="en-GB"/>
              </w:rPr>
            </w:pPr>
            <w:r w:rsidRPr="00A52AEE">
              <w:rPr>
                <w:lang w:eastAsia="en-GB"/>
              </w:rPr>
              <w:t>20%</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414CB442" w14:textId="77777777" w:rsidR="004872CF" w:rsidRPr="00A52AEE" w:rsidRDefault="004872CF" w:rsidP="009A2373">
            <w:pPr>
              <w:jc w:val="right"/>
              <w:rPr>
                <w:lang w:eastAsia="en-GB"/>
              </w:rPr>
            </w:pPr>
            <w:r w:rsidRPr="00A52AEE">
              <w:rPr>
                <w:lang w:eastAsia="en-GB"/>
              </w:rPr>
              <w:t>71%</w:t>
            </w:r>
          </w:p>
        </w:tc>
        <w:tc>
          <w:tcPr>
            <w:tcW w:w="363" w:type="pct"/>
            <w:tcBorders>
              <w:top w:val="nil"/>
              <w:left w:val="nil"/>
              <w:bottom w:val="single" w:sz="4" w:space="0" w:color="auto"/>
              <w:right w:val="single" w:sz="4" w:space="0" w:color="auto"/>
            </w:tcBorders>
            <w:shd w:val="clear" w:color="auto" w:fill="auto"/>
            <w:noWrap/>
            <w:vAlign w:val="bottom"/>
            <w:hideMark/>
          </w:tcPr>
          <w:p w14:paraId="36AC11DB" w14:textId="77777777" w:rsidR="004872CF" w:rsidRPr="00A52AEE" w:rsidRDefault="004872CF" w:rsidP="009A2373">
            <w:pPr>
              <w:jc w:val="right"/>
              <w:rPr>
                <w:lang w:eastAsia="en-GB"/>
              </w:rPr>
            </w:pPr>
            <w:r w:rsidRPr="00A52AEE">
              <w:rPr>
                <w:lang w:eastAsia="en-GB"/>
              </w:rPr>
              <w:t>52%</w:t>
            </w:r>
          </w:p>
        </w:tc>
        <w:tc>
          <w:tcPr>
            <w:tcW w:w="363" w:type="pct"/>
            <w:tcBorders>
              <w:top w:val="nil"/>
              <w:left w:val="nil"/>
              <w:bottom w:val="single" w:sz="4" w:space="0" w:color="auto"/>
              <w:right w:val="single" w:sz="4" w:space="0" w:color="auto"/>
            </w:tcBorders>
            <w:shd w:val="clear" w:color="auto" w:fill="auto"/>
            <w:noWrap/>
            <w:vAlign w:val="bottom"/>
            <w:hideMark/>
          </w:tcPr>
          <w:p w14:paraId="0235DC26" w14:textId="77777777" w:rsidR="004872CF" w:rsidRPr="00A52AEE" w:rsidRDefault="004872CF" w:rsidP="009A2373">
            <w:pPr>
              <w:jc w:val="right"/>
              <w:rPr>
                <w:lang w:eastAsia="en-GB"/>
              </w:rPr>
            </w:pPr>
            <w:r w:rsidRPr="00A52AEE">
              <w:rPr>
                <w:lang w:eastAsia="en-GB"/>
              </w:rPr>
              <w:t>21%</w:t>
            </w:r>
          </w:p>
        </w:tc>
        <w:tc>
          <w:tcPr>
            <w:tcW w:w="363" w:type="pct"/>
            <w:tcBorders>
              <w:top w:val="nil"/>
              <w:left w:val="nil"/>
              <w:bottom w:val="single" w:sz="4" w:space="0" w:color="auto"/>
              <w:right w:val="single" w:sz="4" w:space="0" w:color="auto"/>
            </w:tcBorders>
            <w:shd w:val="clear" w:color="auto" w:fill="auto"/>
            <w:noWrap/>
            <w:vAlign w:val="bottom"/>
            <w:hideMark/>
          </w:tcPr>
          <w:p w14:paraId="674B4C42"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4EB9717F" w14:textId="77777777" w:rsidR="004872CF" w:rsidRPr="00A52AEE" w:rsidRDefault="004872CF" w:rsidP="009A2373">
            <w:pPr>
              <w:jc w:val="right"/>
              <w:rPr>
                <w:lang w:eastAsia="en-GB"/>
              </w:rPr>
            </w:pPr>
            <w:r w:rsidRPr="00A52AEE">
              <w:rPr>
                <w:lang w:eastAsia="en-GB"/>
              </w:rPr>
              <w:t>37%</w:t>
            </w:r>
          </w:p>
        </w:tc>
      </w:tr>
      <w:tr w:rsidR="00D87628" w:rsidRPr="00A52AEE" w14:paraId="63F2C333"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36F78CB8" w14:textId="77777777" w:rsidR="004872CF" w:rsidRPr="00A52AEE" w:rsidRDefault="004872CF" w:rsidP="00A52AEE">
            <w:pPr>
              <w:rPr>
                <w:lang w:eastAsia="en-GB"/>
              </w:rPr>
            </w:pPr>
            <w:r w:rsidRPr="00A52AEE">
              <w:rPr>
                <w:lang w:eastAsia="en-GB"/>
              </w:rPr>
              <w:t>Mixed - White and Asian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51DE4130" w14:textId="77777777" w:rsidR="004872CF" w:rsidRPr="00A52AEE" w:rsidRDefault="004872CF" w:rsidP="009A2373">
            <w:pPr>
              <w:jc w:val="right"/>
              <w:rPr>
                <w:lang w:eastAsia="en-GB"/>
              </w:rPr>
            </w:pPr>
            <w:r w:rsidRPr="00A52AEE">
              <w:rPr>
                <w:lang w:eastAsia="en-GB"/>
              </w:rPr>
              <w:t>60%</w:t>
            </w:r>
          </w:p>
        </w:tc>
        <w:tc>
          <w:tcPr>
            <w:tcW w:w="363" w:type="pct"/>
            <w:tcBorders>
              <w:top w:val="nil"/>
              <w:left w:val="nil"/>
              <w:bottom w:val="single" w:sz="4" w:space="0" w:color="auto"/>
              <w:right w:val="single" w:sz="4" w:space="0" w:color="auto"/>
            </w:tcBorders>
            <w:shd w:val="clear" w:color="auto" w:fill="auto"/>
            <w:noWrap/>
            <w:vAlign w:val="bottom"/>
            <w:hideMark/>
          </w:tcPr>
          <w:p w14:paraId="5677C02D" w14:textId="77777777" w:rsidR="004872CF" w:rsidRPr="00A52AEE" w:rsidRDefault="004872CF" w:rsidP="009A2373">
            <w:pPr>
              <w:jc w:val="right"/>
              <w:rPr>
                <w:lang w:eastAsia="en-GB"/>
              </w:rPr>
            </w:pPr>
            <w:r w:rsidRPr="00A52AEE">
              <w:rPr>
                <w:lang w:eastAsia="en-GB"/>
              </w:rPr>
              <w:t>44%</w:t>
            </w:r>
          </w:p>
        </w:tc>
        <w:tc>
          <w:tcPr>
            <w:tcW w:w="364" w:type="pct"/>
            <w:tcBorders>
              <w:top w:val="nil"/>
              <w:left w:val="nil"/>
              <w:bottom w:val="single" w:sz="4" w:space="0" w:color="auto"/>
              <w:right w:val="single" w:sz="4" w:space="0" w:color="auto"/>
            </w:tcBorders>
            <w:shd w:val="clear" w:color="auto" w:fill="auto"/>
            <w:noWrap/>
            <w:vAlign w:val="bottom"/>
            <w:hideMark/>
          </w:tcPr>
          <w:p w14:paraId="4B147436" w14:textId="77777777" w:rsidR="004872CF" w:rsidRPr="00A52AEE" w:rsidRDefault="004872CF" w:rsidP="009A2373">
            <w:pPr>
              <w:jc w:val="right"/>
              <w:rPr>
                <w:lang w:eastAsia="en-GB"/>
              </w:rPr>
            </w:pPr>
            <w:r w:rsidRPr="00A52AEE">
              <w:rPr>
                <w:lang w:eastAsia="en-GB"/>
              </w:rPr>
              <w:t>69%</w:t>
            </w:r>
          </w:p>
        </w:tc>
        <w:tc>
          <w:tcPr>
            <w:tcW w:w="363" w:type="pct"/>
            <w:tcBorders>
              <w:top w:val="nil"/>
              <w:left w:val="nil"/>
              <w:bottom w:val="single" w:sz="4" w:space="0" w:color="auto"/>
              <w:right w:val="single" w:sz="4" w:space="0" w:color="auto"/>
            </w:tcBorders>
            <w:shd w:val="clear" w:color="auto" w:fill="auto"/>
            <w:noWrap/>
            <w:vAlign w:val="bottom"/>
            <w:hideMark/>
          </w:tcPr>
          <w:p w14:paraId="6ABB0ABD" w14:textId="77777777" w:rsidR="004872CF" w:rsidRPr="00A52AEE" w:rsidRDefault="004872CF" w:rsidP="009A2373">
            <w:pPr>
              <w:jc w:val="right"/>
              <w:rPr>
                <w:lang w:eastAsia="en-GB"/>
              </w:rPr>
            </w:pPr>
            <w:r w:rsidRPr="00A52AEE">
              <w:rPr>
                <w:lang w:eastAsia="en-GB"/>
              </w:rPr>
              <w:t>0%</w:t>
            </w:r>
          </w:p>
        </w:tc>
        <w:tc>
          <w:tcPr>
            <w:tcW w:w="365" w:type="pct"/>
            <w:tcBorders>
              <w:top w:val="nil"/>
              <w:left w:val="nil"/>
              <w:bottom w:val="single" w:sz="4" w:space="0" w:color="auto"/>
              <w:right w:val="single" w:sz="12" w:space="0" w:color="auto"/>
            </w:tcBorders>
            <w:shd w:val="clear" w:color="auto" w:fill="auto"/>
            <w:noWrap/>
            <w:vAlign w:val="bottom"/>
            <w:hideMark/>
          </w:tcPr>
          <w:p w14:paraId="2497EDAC" w14:textId="77777777" w:rsidR="004872CF" w:rsidRPr="00A52AEE" w:rsidRDefault="004872CF" w:rsidP="009A2373">
            <w:pPr>
              <w:jc w:val="right"/>
              <w:rPr>
                <w:lang w:eastAsia="en-GB"/>
              </w:rPr>
            </w:pPr>
            <w:r w:rsidRPr="00A52AEE">
              <w:rPr>
                <w:lang w:eastAsia="en-GB"/>
              </w:rPr>
              <w:t>29%</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7385A05F" w14:textId="77777777" w:rsidR="004872CF" w:rsidRPr="00A52AEE" w:rsidRDefault="004872CF" w:rsidP="009A2373">
            <w:pPr>
              <w:jc w:val="right"/>
              <w:rPr>
                <w:lang w:eastAsia="en-GB"/>
              </w:rPr>
            </w:pPr>
            <w:r w:rsidRPr="00A52AEE">
              <w:rPr>
                <w:lang w:eastAsia="en-GB"/>
              </w:rPr>
              <w:t>63%</w:t>
            </w:r>
          </w:p>
        </w:tc>
        <w:tc>
          <w:tcPr>
            <w:tcW w:w="363" w:type="pct"/>
            <w:tcBorders>
              <w:top w:val="nil"/>
              <w:left w:val="nil"/>
              <w:bottom w:val="single" w:sz="4" w:space="0" w:color="auto"/>
              <w:right w:val="single" w:sz="4" w:space="0" w:color="auto"/>
            </w:tcBorders>
            <w:shd w:val="clear" w:color="auto" w:fill="auto"/>
            <w:noWrap/>
            <w:vAlign w:val="bottom"/>
            <w:hideMark/>
          </w:tcPr>
          <w:p w14:paraId="686641E3"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4" w:space="0" w:color="auto"/>
            </w:tcBorders>
            <w:shd w:val="clear" w:color="auto" w:fill="auto"/>
            <w:noWrap/>
            <w:vAlign w:val="bottom"/>
            <w:hideMark/>
          </w:tcPr>
          <w:p w14:paraId="35FA9887" w14:textId="77777777" w:rsidR="004872CF" w:rsidRPr="00A52AEE" w:rsidRDefault="004872CF" w:rsidP="009A2373">
            <w:pPr>
              <w:jc w:val="right"/>
              <w:rPr>
                <w:lang w:eastAsia="en-GB"/>
              </w:rPr>
            </w:pPr>
            <w:r w:rsidRPr="00A52AEE">
              <w:rPr>
                <w:lang w:eastAsia="en-GB"/>
              </w:rPr>
              <w:t>20%</w:t>
            </w:r>
          </w:p>
        </w:tc>
        <w:tc>
          <w:tcPr>
            <w:tcW w:w="363" w:type="pct"/>
            <w:tcBorders>
              <w:top w:val="nil"/>
              <w:left w:val="nil"/>
              <w:bottom w:val="single" w:sz="4" w:space="0" w:color="auto"/>
              <w:right w:val="single" w:sz="4" w:space="0" w:color="auto"/>
            </w:tcBorders>
            <w:shd w:val="clear" w:color="auto" w:fill="auto"/>
            <w:noWrap/>
            <w:vAlign w:val="bottom"/>
            <w:hideMark/>
          </w:tcPr>
          <w:p w14:paraId="69BA3E92"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28FF447A" w14:textId="77777777" w:rsidR="004872CF" w:rsidRPr="00A52AEE" w:rsidRDefault="004872CF" w:rsidP="009A2373">
            <w:pPr>
              <w:jc w:val="right"/>
              <w:rPr>
                <w:lang w:eastAsia="en-GB"/>
              </w:rPr>
            </w:pPr>
            <w:r w:rsidRPr="00A52AEE">
              <w:rPr>
                <w:lang w:eastAsia="en-GB"/>
              </w:rPr>
              <w:t>35%</w:t>
            </w:r>
          </w:p>
        </w:tc>
      </w:tr>
      <w:tr w:rsidR="00D87628" w:rsidRPr="00A52AEE" w14:paraId="2B22B580"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73377548" w14:textId="77777777" w:rsidR="004872CF" w:rsidRPr="00A52AEE" w:rsidRDefault="004872CF" w:rsidP="00A52AEE">
            <w:pPr>
              <w:rPr>
                <w:lang w:eastAsia="en-GB"/>
              </w:rPr>
            </w:pPr>
            <w:r w:rsidRPr="00A52AEE">
              <w:rPr>
                <w:lang w:eastAsia="en-GB"/>
              </w:rPr>
              <w:t>Mixed - White and Black African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319B51BB" w14:textId="77777777" w:rsidR="004872CF" w:rsidRPr="00A52AEE" w:rsidRDefault="004872CF" w:rsidP="009A2373">
            <w:pPr>
              <w:jc w:val="right"/>
              <w:rPr>
                <w:lang w:eastAsia="en-GB"/>
              </w:rPr>
            </w:pPr>
            <w:r w:rsidRPr="00A52AEE">
              <w:rPr>
                <w:lang w:eastAsia="en-GB"/>
              </w:rPr>
              <w:t>57%</w:t>
            </w:r>
          </w:p>
        </w:tc>
        <w:tc>
          <w:tcPr>
            <w:tcW w:w="363" w:type="pct"/>
            <w:tcBorders>
              <w:top w:val="nil"/>
              <w:left w:val="nil"/>
              <w:bottom w:val="single" w:sz="4" w:space="0" w:color="auto"/>
              <w:right w:val="single" w:sz="4" w:space="0" w:color="auto"/>
            </w:tcBorders>
            <w:shd w:val="clear" w:color="auto" w:fill="auto"/>
            <w:noWrap/>
            <w:vAlign w:val="bottom"/>
            <w:hideMark/>
          </w:tcPr>
          <w:p w14:paraId="2E9B2F1A" w14:textId="77777777" w:rsidR="004872CF" w:rsidRPr="00A52AEE" w:rsidRDefault="004872CF" w:rsidP="009A2373">
            <w:pPr>
              <w:jc w:val="right"/>
              <w:rPr>
                <w:lang w:eastAsia="en-GB"/>
              </w:rPr>
            </w:pPr>
            <w:r w:rsidRPr="00A52AEE">
              <w:rPr>
                <w:lang w:eastAsia="en-GB"/>
              </w:rPr>
              <w:t>57%</w:t>
            </w:r>
          </w:p>
        </w:tc>
        <w:tc>
          <w:tcPr>
            <w:tcW w:w="364" w:type="pct"/>
            <w:tcBorders>
              <w:top w:val="nil"/>
              <w:left w:val="nil"/>
              <w:bottom w:val="single" w:sz="4" w:space="0" w:color="auto"/>
              <w:right w:val="single" w:sz="4" w:space="0" w:color="auto"/>
            </w:tcBorders>
            <w:shd w:val="clear" w:color="auto" w:fill="auto"/>
            <w:noWrap/>
            <w:vAlign w:val="bottom"/>
            <w:hideMark/>
          </w:tcPr>
          <w:p w14:paraId="126ACCD1" w14:textId="77777777" w:rsidR="004872CF" w:rsidRPr="00A52AEE" w:rsidRDefault="004872CF" w:rsidP="009A2373">
            <w:pPr>
              <w:jc w:val="right"/>
              <w:rPr>
                <w:lang w:eastAsia="en-GB"/>
              </w:rPr>
            </w:pPr>
            <w:r w:rsidRPr="00A52AEE">
              <w:rPr>
                <w:lang w:eastAsia="en-GB"/>
              </w:rPr>
              <w:t>72%</w:t>
            </w:r>
          </w:p>
        </w:tc>
        <w:tc>
          <w:tcPr>
            <w:tcW w:w="363" w:type="pct"/>
            <w:tcBorders>
              <w:top w:val="nil"/>
              <w:left w:val="nil"/>
              <w:bottom w:val="single" w:sz="4" w:space="0" w:color="auto"/>
              <w:right w:val="single" w:sz="4" w:space="0" w:color="auto"/>
            </w:tcBorders>
            <w:shd w:val="clear" w:color="auto" w:fill="auto"/>
            <w:noWrap/>
            <w:vAlign w:val="bottom"/>
            <w:hideMark/>
          </w:tcPr>
          <w:p w14:paraId="264035A2" w14:textId="77777777" w:rsidR="004872CF" w:rsidRPr="00A52AEE" w:rsidRDefault="004872CF" w:rsidP="009A2373">
            <w:pPr>
              <w:jc w:val="right"/>
              <w:rPr>
                <w:lang w:eastAsia="en-GB"/>
              </w:rPr>
            </w:pPr>
            <w:r w:rsidRPr="00A52AEE">
              <w:rPr>
                <w:lang w:eastAsia="en-GB"/>
              </w:rPr>
              <w:t>20%</w:t>
            </w:r>
          </w:p>
        </w:tc>
        <w:tc>
          <w:tcPr>
            <w:tcW w:w="365" w:type="pct"/>
            <w:tcBorders>
              <w:top w:val="nil"/>
              <w:left w:val="nil"/>
              <w:bottom w:val="single" w:sz="4" w:space="0" w:color="auto"/>
              <w:right w:val="single" w:sz="12" w:space="0" w:color="auto"/>
            </w:tcBorders>
            <w:shd w:val="clear" w:color="auto" w:fill="auto"/>
            <w:noWrap/>
            <w:vAlign w:val="bottom"/>
            <w:hideMark/>
          </w:tcPr>
          <w:p w14:paraId="08565B2D" w14:textId="77777777" w:rsidR="004872CF" w:rsidRPr="00A52AEE" w:rsidRDefault="004872CF" w:rsidP="009A2373">
            <w:pPr>
              <w:jc w:val="right"/>
              <w:rPr>
                <w:lang w:eastAsia="en-GB"/>
              </w:rPr>
            </w:pPr>
            <w:r w:rsidRPr="00A52AEE">
              <w:rPr>
                <w:lang w:eastAsia="en-GB"/>
              </w:rPr>
              <w:t>23%</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73F48039" w14:textId="77777777" w:rsidR="004872CF" w:rsidRPr="00A52AEE" w:rsidRDefault="004872CF" w:rsidP="009A2373">
            <w:pPr>
              <w:jc w:val="right"/>
              <w:rPr>
                <w:lang w:eastAsia="en-GB"/>
              </w:rPr>
            </w:pPr>
            <w:r w:rsidRPr="00A52AEE">
              <w:rPr>
                <w:lang w:eastAsia="en-GB"/>
              </w:rPr>
              <w:t>56%</w:t>
            </w:r>
          </w:p>
        </w:tc>
        <w:tc>
          <w:tcPr>
            <w:tcW w:w="363" w:type="pct"/>
            <w:tcBorders>
              <w:top w:val="nil"/>
              <w:left w:val="nil"/>
              <w:bottom w:val="single" w:sz="4" w:space="0" w:color="auto"/>
              <w:right w:val="single" w:sz="4" w:space="0" w:color="auto"/>
            </w:tcBorders>
            <w:shd w:val="clear" w:color="auto" w:fill="auto"/>
            <w:noWrap/>
            <w:vAlign w:val="bottom"/>
            <w:hideMark/>
          </w:tcPr>
          <w:p w14:paraId="05E7F15D"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4" w:space="0" w:color="auto"/>
            </w:tcBorders>
            <w:shd w:val="clear" w:color="auto" w:fill="auto"/>
            <w:noWrap/>
            <w:vAlign w:val="bottom"/>
            <w:hideMark/>
          </w:tcPr>
          <w:p w14:paraId="2E232A91"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4" w:space="0" w:color="auto"/>
            </w:tcBorders>
            <w:shd w:val="clear" w:color="auto" w:fill="auto"/>
            <w:noWrap/>
            <w:vAlign w:val="bottom"/>
            <w:hideMark/>
          </w:tcPr>
          <w:p w14:paraId="1624D5D8"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12" w:space="0" w:color="auto"/>
            </w:tcBorders>
            <w:shd w:val="clear" w:color="auto" w:fill="auto"/>
            <w:noWrap/>
            <w:vAlign w:val="bottom"/>
            <w:hideMark/>
          </w:tcPr>
          <w:p w14:paraId="1E2C78CB" w14:textId="77777777" w:rsidR="004872CF" w:rsidRPr="00A52AEE" w:rsidRDefault="004872CF" w:rsidP="009A2373">
            <w:pPr>
              <w:jc w:val="right"/>
              <w:rPr>
                <w:lang w:eastAsia="en-GB"/>
              </w:rPr>
            </w:pPr>
            <w:r w:rsidRPr="00A52AEE">
              <w:rPr>
                <w:lang w:eastAsia="en-GB"/>
              </w:rPr>
              <w:t>21%</w:t>
            </w:r>
          </w:p>
        </w:tc>
      </w:tr>
      <w:tr w:rsidR="00D87628" w:rsidRPr="00A52AEE" w14:paraId="072D036D"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6D99BA5A" w14:textId="77777777" w:rsidR="004872CF" w:rsidRPr="00A52AEE" w:rsidRDefault="004872CF" w:rsidP="00A52AEE">
            <w:pPr>
              <w:rPr>
                <w:lang w:eastAsia="en-GB"/>
              </w:rPr>
            </w:pPr>
            <w:r w:rsidRPr="00A52AEE">
              <w:rPr>
                <w:lang w:eastAsia="en-GB"/>
              </w:rPr>
              <w:t>Mixed - White and Black Caribbean</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3D8EFA25" w14:textId="77777777" w:rsidR="004872CF" w:rsidRPr="00A52AEE" w:rsidRDefault="004872CF" w:rsidP="009A2373">
            <w:pPr>
              <w:jc w:val="right"/>
              <w:rPr>
                <w:lang w:eastAsia="en-GB"/>
              </w:rPr>
            </w:pPr>
            <w:r w:rsidRPr="00A52AEE">
              <w:rPr>
                <w:lang w:eastAsia="en-GB"/>
              </w:rPr>
              <w:t>64%</w:t>
            </w:r>
          </w:p>
        </w:tc>
        <w:tc>
          <w:tcPr>
            <w:tcW w:w="363" w:type="pct"/>
            <w:tcBorders>
              <w:top w:val="nil"/>
              <w:left w:val="nil"/>
              <w:bottom w:val="single" w:sz="4" w:space="0" w:color="auto"/>
              <w:right w:val="single" w:sz="4" w:space="0" w:color="auto"/>
            </w:tcBorders>
            <w:shd w:val="clear" w:color="auto" w:fill="auto"/>
            <w:noWrap/>
            <w:vAlign w:val="bottom"/>
            <w:hideMark/>
          </w:tcPr>
          <w:p w14:paraId="311F2333" w14:textId="77777777" w:rsidR="004872CF" w:rsidRPr="00A52AEE" w:rsidRDefault="004872CF" w:rsidP="009A2373">
            <w:pPr>
              <w:jc w:val="right"/>
              <w:rPr>
                <w:lang w:eastAsia="en-GB"/>
              </w:rPr>
            </w:pPr>
            <w:r w:rsidRPr="00A52AEE">
              <w:rPr>
                <w:lang w:eastAsia="en-GB"/>
              </w:rPr>
              <w:t>49%</w:t>
            </w:r>
          </w:p>
        </w:tc>
        <w:tc>
          <w:tcPr>
            <w:tcW w:w="364" w:type="pct"/>
            <w:tcBorders>
              <w:top w:val="nil"/>
              <w:left w:val="nil"/>
              <w:bottom w:val="single" w:sz="4" w:space="0" w:color="auto"/>
              <w:right w:val="single" w:sz="4" w:space="0" w:color="auto"/>
            </w:tcBorders>
            <w:shd w:val="clear" w:color="auto" w:fill="auto"/>
            <w:noWrap/>
            <w:vAlign w:val="bottom"/>
            <w:hideMark/>
          </w:tcPr>
          <w:p w14:paraId="1296397E" w14:textId="77777777" w:rsidR="004872CF" w:rsidRPr="00A52AEE" w:rsidRDefault="004872CF" w:rsidP="009A2373">
            <w:pPr>
              <w:jc w:val="right"/>
              <w:rPr>
                <w:lang w:eastAsia="en-GB"/>
              </w:rPr>
            </w:pPr>
            <w:r w:rsidRPr="00A52AEE">
              <w:rPr>
                <w:lang w:eastAsia="en-GB"/>
              </w:rPr>
              <w:t>70%</w:t>
            </w:r>
          </w:p>
        </w:tc>
        <w:tc>
          <w:tcPr>
            <w:tcW w:w="363" w:type="pct"/>
            <w:tcBorders>
              <w:top w:val="nil"/>
              <w:left w:val="nil"/>
              <w:bottom w:val="single" w:sz="4" w:space="0" w:color="auto"/>
              <w:right w:val="single" w:sz="4" w:space="0" w:color="auto"/>
            </w:tcBorders>
            <w:shd w:val="clear" w:color="auto" w:fill="auto"/>
            <w:noWrap/>
            <w:vAlign w:val="bottom"/>
            <w:hideMark/>
          </w:tcPr>
          <w:p w14:paraId="282841B6" w14:textId="77777777" w:rsidR="004872CF" w:rsidRPr="00A52AEE" w:rsidRDefault="004872CF" w:rsidP="009A2373">
            <w:pPr>
              <w:jc w:val="right"/>
              <w:rPr>
                <w:lang w:eastAsia="en-GB"/>
              </w:rPr>
            </w:pPr>
            <w:r w:rsidRPr="00A52AEE">
              <w:rPr>
                <w:lang w:eastAsia="en-GB"/>
              </w:rPr>
              <w:t>14%</w:t>
            </w:r>
          </w:p>
        </w:tc>
        <w:tc>
          <w:tcPr>
            <w:tcW w:w="365" w:type="pct"/>
            <w:tcBorders>
              <w:top w:val="nil"/>
              <w:left w:val="nil"/>
              <w:bottom w:val="single" w:sz="4" w:space="0" w:color="auto"/>
              <w:right w:val="single" w:sz="12" w:space="0" w:color="auto"/>
            </w:tcBorders>
            <w:shd w:val="clear" w:color="auto" w:fill="auto"/>
            <w:noWrap/>
            <w:vAlign w:val="bottom"/>
            <w:hideMark/>
          </w:tcPr>
          <w:p w14:paraId="2B6D99AB" w14:textId="77777777" w:rsidR="004872CF" w:rsidRPr="00A52AEE" w:rsidRDefault="004872CF" w:rsidP="009A2373">
            <w:pPr>
              <w:jc w:val="right"/>
              <w:rPr>
                <w:lang w:eastAsia="en-GB"/>
              </w:rPr>
            </w:pPr>
            <w:r w:rsidRPr="00A52AEE">
              <w:rPr>
                <w:lang w:eastAsia="en-GB"/>
              </w:rPr>
              <w:t>15%</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26ACF197" w14:textId="77777777" w:rsidR="004872CF" w:rsidRPr="00A52AEE" w:rsidRDefault="004872CF" w:rsidP="009A2373">
            <w:pPr>
              <w:jc w:val="right"/>
              <w:rPr>
                <w:lang w:eastAsia="en-GB"/>
              </w:rPr>
            </w:pPr>
            <w:r w:rsidRPr="00A52AEE">
              <w:rPr>
                <w:lang w:eastAsia="en-GB"/>
              </w:rPr>
              <w:t>76%</w:t>
            </w:r>
          </w:p>
        </w:tc>
        <w:tc>
          <w:tcPr>
            <w:tcW w:w="363" w:type="pct"/>
            <w:tcBorders>
              <w:top w:val="nil"/>
              <w:left w:val="nil"/>
              <w:bottom w:val="single" w:sz="4" w:space="0" w:color="auto"/>
              <w:right w:val="single" w:sz="4" w:space="0" w:color="auto"/>
            </w:tcBorders>
            <w:shd w:val="clear" w:color="auto" w:fill="auto"/>
            <w:noWrap/>
            <w:vAlign w:val="bottom"/>
            <w:hideMark/>
          </w:tcPr>
          <w:p w14:paraId="53BCF7BC" w14:textId="77777777" w:rsidR="004872CF" w:rsidRPr="00A52AEE" w:rsidRDefault="004872CF" w:rsidP="009A2373">
            <w:pPr>
              <w:jc w:val="right"/>
              <w:rPr>
                <w:lang w:eastAsia="en-GB"/>
              </w:rPr>
            </w:pPr>
            <w:r w:rsidRPr="00A52AEE">
              <w:rPr>
                <w:lang w:eastAsia="en-GB"/>
              </w:rPr>
              <w:t>25%</w:t>
            </w:r>
          </w:p>
        </w:tc>
        <w:tc>
          <w:tcPr>
            <w:tcW w:w="363" w:type="pct"/>
            <w:tcBorders>
              <w:top w:val="nil"/>
              <w:left w:val="nil"/>
              <w:bottom w:val="single" w:sz="4" w:space="0" w:color="auto"/>
              <w:right w:val="single" w:sz="4" w:space="0" w:color="auto"/>
            </w:tcBorders>
            <w:shd w:val="clear" w:color="auto" w:fill="auto"/>
            <w:noWrap/>
            <w:vAlign w:val="bottom"/>
            <w:hideMark/>
          </w:tcPr>
          <w:p w14:paraId="1378C4E3" w14:textId="77777777" w:rsidR="004872CF" w:rsidRPr="00A52AEE" w:rsidRDefault="004872CF" w:rsidP="009A2373">
            <w:pPr>
              <w:jc w:val="right"/>
              <w:rPr>
                <w:lang w:eastAsia="en-GB"/>
              </w:rPr>
            </w:pPr>
            <w:r w:rsidRPr="00A52AEE">
              <w:rPr>
                <w:lang w:eastAsia="en-GB"/>
              </w:rPr>
              <w:t>28%</w:t>
            </w:r>
          </w:p>
        </w:tc>
        <w:tc>
          <w:tcPr>
            <w:tcW w:w="363" w:type="pct"/>
            <w:tcBorders>
              <w:top w:val="nil"/>
              <w:left w:val="nil"/>
              <w:bottom w:val="single" w:sz="4" w:space="0" w:color="auto"/>
              <w:right w:val="single" w:sz="4" w:space="0" w:color="auto"/>
            </w:tcBorders>
            <w:shd w:val="clear" w:color="auto" w:fill="auto"/>
            <w:noWrap/>
            <w:vAlign w:val="bottom"/>
            <w:hideMark/>
          </w:tcPr>
          <w:p w14:paraId="1B25E6EC" w14:textId="77777777" w:rsidR="004872CF" w:rsidRPr="00A52AEE" w:rsidRDefault="004872CF" w:rsidP="009A2373">
            <w:pPr>
              <w:jc w:val="right"/>
              <w:rPr>
                <w:lang w:eastAsia="en-GB"/>
              </w:rPr>
            </w:pPr>
            <w:r w:rsidRPr="00A52AEE">
              <w:rPr>
                <w:lang w:eastAsia="en-GB"/>
              </w:rPr>
              <w:t>10%</w:t>
            </w:r>
          </w:p>
        </w:tc>
        <w:tc>
          <w:tcPr>
            <w:tcW w:w="363" w:type="pct"/>
            <w:tcBorders>
              <w:top w:val="nil"/>
              <w:left w:val="nil"/>
              <w:bottom w:val="single" w:sz="4" w:space="0" w:color="auto"/>
              <w:right w:val="single" w:sz="12" w:space="0" w:color="auto"/>
            </w:tcBorders>
            <w:shd w:val="clear" w:color="auto" w:fill="auto"/>
            <w:noWrap/>
            <w:vAlign w:val="bottom"/>
            <w:hideMark/>
          </w:tcPr>
          <w:p w14:paraId="1818B6E4" w14:textId="77777777" w:rsidR="004872CF" w:rsidRPr="00A52AEE" w:rsidRDefault="004872CF" w:rsidP="009A2373">
            <w:pPr>
              <w:jc w:val="right"/>
              <w:rPr>
                <w:lang w:eastAsia="en-GB"/>
              </w:rPr>
            </w:pPr>
            <w:r w:rsidRPr="00A52AEE">
              <w:rPr>
                <w:lang w:eastAsia="en-GB"/>
              </w:rPr>
              <w:t>10%</w:t>
            </w:r>
          </w:p>
        </w:tc>
      </w:tr>
      <w:tr w:rsidR="00D87628" w:rsidRPr="00A52AEE" w14:paraId="40EC85EC"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64E921B8" w14:textId="77777777" w:rsidR="004872CF" w:rsidRPr="00A52AEE" w:rsidRDefault="004872CF" w:rsidP="00A52AEE">
            <w:pPr>
              <w:rPr>
                <w:lang w:eastAsia="en-GB"/>
              </w:rPr>
            </w:pPr>
            <w:r w:rsidRPr="00A52AEE">
              <w:rPr>
                <w:lang w:eastAsia="en-GB"/>
              </w:rPr>
              <w:t>not known/not provided</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5EBF87BA" w14:textId="77777777" w:rsidR="004872CF" w:rsidRPr="00A52AEE" w:rsidRDefault="004872CF" w:rsidP="009A2373">
            <w:pPr>
              <w:jc w:val="right"/>
              <w:rPr>
                <w:lang w:eastAsia="en-GB"/>
              </w:rPr>
            </w:pPr>
            <w:r w:rsidRPr="00A52AEE">
              <w:rPr>
                <w:lang w:eastAsia="en-GB"/>
              </w:rPr>
              <w:t>75%</w:t>
            </w:r>
          </w:p>
        </w:tc>
        <w:tc>
          <w:tcPr>
            <w:tcW w:w="363" w:type="pct"/>
            <w:tcBorders>
              <w:top w:val="nil"/>
              <w:left w:val="nil"/>
              <w:bottom w:val="single" w:sz="4" w:space="0" w:color="auto"/>
              <w:right w:val="single" w:sz="4" w:space="0" w:color="auto"/>
            </w:tcBorders>
            <w:shd w:val="clear" w:color="auto" w:fill="auto"/>
            <w:noWrap/>
            <w:vAlign w:val="bottom"/>
            <w:hideMark/>
          </w:tcPr>
          <w:p w14:paraId="74C6DC62" w14:textId="77777777" w:rsidR="004872CF" w:rsidRPr="00A52AEE" w:rsidRDefault="004872CF" w:rsidP="009A2373">
            <w:pPr>
              <w:jc w:val="right"/>
              <w:rPr>
                <w:lang w:eastAsia="en-GB"/>
              </w:rPr>
            </w:pPr>
            <w:r w:rsidRPr="00A52AEE">
              <w:rPr>
                <w:lang w:eastAsia="en-GB"/>
              </w:rPr>
              <w:t>62%</w:t>
            </w:r>
          </w:p>
        </w:tc>
        <w:tc>
          <w:tcPr>
            <w:tcW w:w="364" w:type="pct"/>
            <w:tcBorders>
              <w:top w:val="nil"/>
              <w:left w:val="nil"/>
              <w:bottom w:val="single" w:sz="4" w:space="0" w:color="auto"/>
              <w:right w:val="single" w:sz="4" w:space="0" w:color="auto"/>
            </w:tcBorders>
            <w:shd w:val="clear" w:color="auto" w:fill="auto"/>
            <w:noWrap/>
            <w:vAlign w:val="bottom"/>
            <w:hideMark/>
          </w:tcPr>
          <w:p w14:paraId="0C019870" w14:textId="77777777" w:rsidR="004872CF" w:rsidRPr="00A52AEE" w:rsidRDefault="004872CF" w:rsidP="009A2373">
            <w:pPr>
              <w:jc w:val="right"/>
              <w:rPr>
                <w:lang w:eastAsia="en-GB"/>
              </w:rPr>
            </w:pPr>
            <w:r w:rsidRPr="00A52AEE">
              <w:rPr>
                <w:lang w:eastAsia="en-GB"/>
              </w:rPr>
              <w:t>73%</w:t>
            </w:r>
          </w:p>
        </w:tc>
        <w:tc>
          <w:tcPr>
            <w:tcW w:w="363" w:type="pct"/>
            <w:tcBorders>
              <w:top w:val="nil"/>
              <w:left w:val="nil"/>
              <w:bottom w:val="single" w:sz="4" w:space="0" w:color="auto"/>
              <w:right w:val="single" w:sz="4" w:space="0" w:color="auto"/>
            </w:tcBorders>
            <w:shd w:val="clear" w:color="auto" w:fill="auto"/>
            <w:noWrap/>
            <w:vAlign w:val="bottom"/>
            <w:hideMark/>
          </w:tcPr>
          <w:p w14:paraId="3441A57A" w14:textId="77777777" w:rsidR="004872CF" w:rsidRPr="00A52AEE" w:rsidRDefault="004872CF" w:rsidP="009A2373">
            <w:pPr>
              <w:jc w:val="right"/>
              <w:rPr>
                <w:lang w:eastAsia="en-GB"/>
              </w:rPr>
            </w:pPr>
            <w:r w:rsidRPr="00A52AEE">
              <w:rPr>
                <w:lang w:eastAsia="en-GB"/>
              </w:rPr>
              <w:t>13%</w:t>
            </w:r>
          </w:p>
        </w:tc>
        <w:tc>
          <w:tcPr>
            <w:tcW w:w="365" w:type="pct"/>
            <w:tcBorders>
              <w:top w:val="nil"/>
              <w:left w:val="nil"/>
              <w:bottom w:val="single" w:sz="4" w:space="0" w:color="auto"/>
              <w:right w:val="single" w:sz="12" w:space="0" w:color="auto"/>
            </w:tcBorders>
            <w:shd w:val="clear" w:color="auto" w:fill="auto"/>
            <w:noWrap/>
            <w:vAlign w:val="bottom"/>
            <w:hideMark/>
          </w:tcPr>
          <w:p w14:paraId="55761A47" w14:textId="77777777" w:rsidR="004872CF" w:rsidRPr="00A52AEE" w:rsidRDefault="004872CF" w:rsidP="009A2373">
            <w:pPr>
              <w:jc w:val="right"/>
              <w:rPr>
                <w:lang w:eastAsia="en-GB"/>
              </w:rPr>
            </w:pPr>
            <w:r w:rsidRPr="00A52AEE">
              <w:rPr>
                <w:lang w:eastAsia="en-GB"/>
              </w:rPr>
              <w:t>26%</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2EDAF148" w14:textId="77777777" w:rsidR="004872CF" w:rsidRPr="00A52AEE" w:rsidRDefault="004872CF" w:rsidP="009A2373">
            <w:pPr>
              <w:jc w:val="right"/>
              <w:rPr>
                <w:lang w:eastAsia="en-GB"/>
              </w:rPr>
            </w:pPr>
            <w:r w:rsidRPr="00A52AEE">
              <w:rPr>
                <w:lang w:eastAsia="en-GB"/>
              </w:rPr>
              <w:t>60%</w:t>
            </w:r>
          </w:p>
        </w:tc>
        <w:tc>
          <w:tcPr>
            <w:tcW w:w="363" w:type="pct"/>
            <w:tcBorders>
              <w:top w:val="nil"/>
              <w:left w:val="nil"/>
              <w:bottom w:val="single" w:sz="4" w:space="0" w:color="auto"/>
              <w:right w:val="single" w:sz="4" w:space="0" w:color="auto"/>
            </w:tcBorders>
            <w:shd w:val="clear" w:color="auto" w:fill="auto"/>
            <w:noWrap/>
            <w:vAlign w:val="bottom"/>
            <w:hideMark/>
          </w:tcPr>
          <w:p w14:paraId="206728AE" w14:textId="77777777" w:rsidR="004872CF" w:rsidRPr="00A52AEE" w:rsidRDefault="004872CF" w:rsidP="009A2373">
            <w:pPr>
              <w:jc w:val="right"/>
              <w:rPr>
                <w:lang w:eastAsia="en-GB"/>
              </w:rPr>
            </w:pPr>
            <w:r w:rsidRPr="00A52AEE">
              <w:rPr>
                <w:lang w:eastAsia="en-GB"/>
              </w:rPr>
              <w:t>40%</w:t>
            </w:r>
          </w:p>
        </w:tc>
        <w:tc>
          <w:tcPr>
            <w:tcW w:w="363" w:type="pct"/>
            <w:tcBorders>
              <w:top w:val="nil"/>
              <w:left w:val="nil"/>
              <w:bottom w:val="single" w:sz="4" w:space="0" w:color="auto"/>
              <w:right w:val="single" w:sz="4" w:space="0" w:color="auto"/>
            </w:tcBorders>
            <w:shd w:val="clear" w:color="auto" w:fill="auto"/>
            <w:noWrap/>
            <w:vAlign w:val="bottom"/>
            <w:hideMark/>
          </w:tcPr>
          <w:p w14:paraId="309066AA" w14:textId="77777777" w:rsidR="004872CF" w:rsidRPr="00A52AEE" w:rsidRDefault="004872CF" w:rsidP="009A2373">
            <w:pPr>
              <w:jc w:val="right"/>
              <w:rPr>
                <w:lang w:eastAsia="en-GB"/>
              </w:rPr>
            </w:pPr>
            <w:r w:rsidRPr="00A52AEE">
              <w:rPr>
                <w:lang w:eastAsia="en-GB"/>
              </w:rPr>
              <w:t>22%</w:t>
            </w:r>
          </w:p>
        </w:tc>
        <w:tc>
          <w:tcPr>
            <w:tcW w:w="363" w:type="pct"/>
            <w:tcBorders>
              <w:top w:val="nil"/>
              <w:left w:val="nil"/>
              <w:bottom w:val="single" w:sz="4" w:space="0" w:color="auto"/>
              <w:right w:val="single" w:sz="4" w:space="0" w:color="auto"/>
            </w:tcBorders>
            <w:shd w:val="clear" w:color="auto" w:fill="auto"/>
            <w:noWrap/>
            <w:vAlign w:val="bottom"/>
            <w:hideMark/>
          </w:tcPr>
          <w:p w14:paraId="2EBF5E3A"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7E8EA212" w14:textId="77777777" w:rsidR="004872CF" w:rsidRPr="00A52AEE" w:rsidRDefault="004872CF" w:rsidP="009A2373">
            <w:pPr>
              <w:jc w:val="right"/>
              <w:rPr>
                <w:lang w:eastAsia="en-GB"/>
              </w:rPr>
            </w:pPr>
            <w:r w:rsidRPr="00A52AEE">
              <w:rPr>
                <w:lang w:eastAsia="en-GB"/>
              </w:rPr>
              <w:t>16%</w:t>
            </w:r>
          </w:p>
        </w:tc>
      </w:tr>
      <w:tr w:rsidR="00D87628" w:rsidRPr="00A52AEE" w14:paraId="2D7C1D6D"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4CDA9277" w14:textId="77777777" w:rsidR="004872CF" w:rsidRPr="00A52AEE" w:rsidRDefault="004872CF" w:rsidP="00A52AEE">
            <w:pPr>
              <w:rPr>
                <w:lang w:eastAsia="en-GB"/>
              </w:rPr>
            </w:pPr>
            <w:r w:rsidRPr="00A52AEE">
              <w:rPr>
                <w:lang w:eastAsia="en-GB"/>
              </w:rPr>
              <w:t>Other ethnic group</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7831B000" w14:textId="77777777" w:rsidR="004872CF" w:rsidRPr="00A52AEE" w:rsidRDefault="004872CF" w:rsidP="009A2373">
            <w:pPr>
              <w:jc w:val="right"/>
              <w:rPr>
                <w:lang w:eastAsia="en-GB"/>
              </w:rPr>
            </w:pPr>
            <w:r w:rsidRPr="00A52AEE">
              <w:rPr>
                <w:lang w:eastAsia="en-GB"/>
              </w:rPr>
              <w:t>80%</w:t>
            </w:r>
          </w:p>
        </w:tc>
        <w:tc>
          <w:tcPr>
            <w:tcW w:w="363" w:type="pct"/>
            <w:tcBorders>
              <w:top w:val="nil"/>
              <w:left w:val="nil"/>
              <w:bottom w:val="single" w:sz="4" w:space="0" w:color="auto"/>
              <w:right w:val="single" w:sz="4" w:space="0" w:color="auto"/>
            </w:tcBorders>
            <w:shd w:val="clear" w:color="auto" w:fill="auto"/>
            <w:noWrap/>
            <w:vAlign w:val="bottom"/>
            <w:hideMark/>
          </w:tcPr>
          <w:p w14:paraId="2539E8DC" w14:textId="77777777" w:rsidR="004872CF" w:rsidRPr="00A52AEE" w:rsidRDefault="004872CF" w:rsidP="009A2373">
            <w:pPr>
              <w:jc w:val="right"/>
              <w:rPr>
                <w:lang w:eastAsia="en-GB"/>
              </w:rPr>
            </w:pPr>
            <w:r w:rsidRPr="00A52AEE">
              <w:rPr>
                <w:lang w:eastAsia="en-GB"/>
              </w:rPr>
              <w:t>72%</w:t>
            </w:r>
          </w:p>
        </w:tc>
        <w:tc>
          <w:tcPr>
            <w:tcW w:w="364" w:type="pct"/>
            <w:tcBorders>
              <w:top w:val="nil"/>
              <w:left w:val="nil"/>
              <w:bottom w:val="single" w:sz="4" w:space="0" w:color="auto"/>
              <w:right w:val="single" w:sz="4" w:space="0" w:color="auto"/>
            </w:tcBorders>
            <w:shd w:val="clear" w:color="auto" w:fill="auto"/>
            <w:noWrap/>
            <w:vAlign w:val="bottom"/>
            <w:hideMark/>
          </w:tcPr>
          <w:p w14:paraId="39A71950" w14:textId="77777777" w:rsidR="004872CF" w:rsidRPr="00A52AEE" w:rsidRDefault="004872CF" w:rsidP="009A2373">
            <w:pPr>
              <w:jc w:val="right"/>
              <w:rPr>
                <w:lang w:eastAsia="en-GB"/>
              </w:rPr>
            </w:pPr>
            <w:r w:rsidRPr="00A52AEE">
              <w:rPr>
                <w:lang w:eastAsia="en-GB"/>
              </w:rPr>
              <w:t>78%</w:t>
            </w:r>
          </w:p>
        </w:tc>
        <w:tc>
          <w:tcPr>
            <w:tcW w:w="363" w:type="pct"/>
            <w:tcBorders>
              <w:top w:val="nil"/>
              <w:left w:val="nil"/>
              <w:bottom w:val="single" w:sz="4" w:space="0" w:color="auto"/>
              <w:right w:val="single" w:sz="4" w:space="0" w:color="auto"/>
            </w:tcBorders>
            <w:shd w:val="clear" w:color="auto" w:fill="auto"/>
            <w:noWrap/>
            <w:vAlign w:val="bottom"/>
            <w:hideMark/>
          </w:tcPr>
          <w:p w14:paraId="5A82E049" w14:textId="77777777" w:rsidR="004872CF" w:rsidRPr="00A52AEE" w:rsidRDefault="004872CF" w:rsidP="009A2373">
            <w:pPr>
              <w:jc w:val="right"/>
              <w:rPr>
                <w:lang w:eastAsia="en-GB"/>
              </w:rPr>
            </w:pPr>
            <w:r w:rsidRPr="00A52AEE">
              <w:rPr>
                <w:lang w:eastAsia="en-GB"/>
              </w:rPr>
              <w:t>5%</w:t>
            </w:r>
          </w:p>
        </w:tc>
        <w:tc>
          <w:tcPr>
            <w:tcW w:w="365" w:type="pct"/>
            <w:tcBorders>
              <w:top w:val="nil"/>
              <w:left w:val="nil"/>
              <w:bottom w:val="single" w:sz="4" w:space="0" w:color="auto"/>
              <w:right w:val="single" w:sz="12" w:space="0" w:color="auto"/>
            </w:tcBorders>
            <w:shd w:val="clear" w:color="auto" w:fill="auto"/>
            <w:noWrap/>
            <w:vAlign w:val="bottom"/>
            <w:hideMark/>
          </w:tcPr>
          <w:p w14:paraId="69E342A2" w14:textId="77777777" w:rsidR="004872CF" w:rsidRPr="00A52AEE" w:rsidRDefault="004872CF" w:rsidP="009A2373">
            <w:pPr>
              <w:jc w:val="right"/>
              <w:rPr>
                <w:lang w:eastAsia="en-GB"/>
              </w:rPr>
            </w:pPr>
            <w:r w:rsidRPr="00A52AEE">
              <w:rPr>
                <w:lang w:eastAsia="en-GB"/>
              </w:rPr>
              <w:t>29%</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4E803331" w14:textId="77777777" w:rsidR="004872CF" w:rsidRPr="00A52AEE" w:rsidRDefault="004872CF" w:rsidP="009A2373">
            <w:pPr>
              <w:jc w:val="right"/>
              <w:rPr>
                <w:lang w:eastAsia="en-GB"/>
              </w:rPr>
            </w:pPr>
            <w:r w:rsidRPr="00A52AEE">
              <w:rPr>
                <w:lang w:eastAsia="en-GB"/>
              </w:rPr>
              <w:t>69%</w:t>
            </w:r>
          </w:p>
        </w:tc>
        <w:tc>
          <w:tcPr>
            <w:tcW w:w="363" w:type="pct"/>
            <w:tcBorders>
              <w:top w:val="nil"/>
              <w:left w:val="nil"/>
              <w:bottom w:val="single" w:sz="4" w:space="0" w:color="auto"/>
              <w:right w:val="single" w:sz="4" w:space="0" w:color="auto"/>
            </w:tcBorders>
            <w:shd w:val="clear" w:color="auto" w:fill="auto"/>
            <w:noWrap/>
            <w:vAlign w:val="bottom"/>
            <w:hideMark/>
          </w:tcPr>
          <w:p w14:paraId="2738BFAF" w14:textId="77777777" w:rsidR="004872CF" w:rsidRPr="00A52AEE" w:rsidRDefault="004872CF" w:rsidP="009A2373">
            <w:pPr>
              <w:jc w:val="right"/>
              <w:rPr>
                <w:lang w:eastAsia="en-GB"/>
              </w:rPr>
            </w:pPr>
            <w:r w:rsidRPr="00A52AEE">
              <w:rPr>
                <w:lang w:eastAsia="en-GB"/>
              </w:rPr>
              <w:t>47%</w:t>
            </w:r>
          </w:p>
        </w:tc>
        <w:tc>
          <w:tcPr>
            <w:tcW w:w="363" w:type="pct"/>
            <w:tcBorders>
              <w:top w:val="nil"/>
              <w:left w:val="nil"/>
              <w:bottom w:val="single" w:sz="4" w:space="0" w:color="auto"/>
              <w:right w:val="single" w:sz="4" w:space="0" w:color="auto"/>
            </w:tcBorders>
            <w:shd w:val="clear" w:color="auto" w:fill="auto"/>
            <w:noWrap/>
            <w:vAlign w:val="bottom"/>
            <w:hideMark/>
          </w:tcPr>
          <w:p w14:paraId="471E7118" w14:textId="77777777" w:rsidR="004872CF" w:rsidRPr="00A52AEE" w:rsidRDefault="004872CF" w:rsidP="009A2373">
            <w:pPr>
              <w:jc w:val="right"/>
              <w:rPr>
                <w:lang w:eastAsia="en-GB"/>
              </w:rPr>
            </w:pPr>
            <w:r w:rsidRPr="00A52AEE">
              <w:rPr>
                <w:lang w:eastAsia="en-GB"/>
              </w:rPr>
              <w:t>21%</w:t>
            </w:r>
          </w:p>
        </w:tc>
        <w:tc>
          <w:tcPr>
            <w:tcW w:w="363" w:type="pct"/>
            <w:tcBorders>
              <w:top w:val="nil"/>
              <w:left w:val="nil"/>
              <w:bottom w:val="single" w:sz="4" w:space="0" w:color="auto"/>
              <w:right w:val="single" w:sz="4" w:space="0" w:color="auto"/>
            </w:tcBorders>
            <w:shd w:val="clear" w:color="auto" w:fill="auto"/>
            <w:noWrap/>
            <w:vAlign w:val="bottom"/>
            <w:hideMark/>
          </w:tcPr>
          <w:p w14:paraId="75E57B5C"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7FBA69DC" w14:textId="77777777" w:rsidR="004872CF" w:rsidRPr="00A52AEE" w:rsidRDefault="004872CF" w:rsidP="009A2373">
            <w:pPr>
              <w:jc w:val="right"/>
              <w:rPr>
                <w:lang w:eastAsia="en-GB"/>
              </w:rPr>
            </w:pPr>
            <w:r w:rsidRPr="00A52AEE">
              <w:rPr>
                <w:lang w:eastAsia="en-GB"/>
              </w:rPr>
              <w:t>24%</w:t>
            </w:r>
          </w:p>
        </w:tc>
      </w:tr>
      <w:tr w:rsidR="00D87628" w:rsidRPr="00A52AEE" w14:paraId="4DE84E9E"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0D81A5DC" w14:textId="77777777" w:rsidR="004872CF" w:rsidRPr="00A52AEE" w:rsidRDefault="004872CF" w:rsidP="00A52AEE">
            <w:pPr>
              <w:rPr>
                <w:lang w:eastAsia="en-GB"/>
              </w:rPr>
            </w:pPr>
            <w:r w:rsidRPr="00A52AEE">
              <w:rPr>
                <w:lang w:eastAsia="en-GB"/>
              </w:rPr>
              <w:t>Other Mixed / multiple ethnic background</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41C4926F" w14:textId="77777777" w:rsidR="004872CF" w:rsidRPr="00A52AEE" w:rsidRDefault="004872CF" w:rsidP="009A2373">
            <w:pPr>
              <w:jc w:val="right"/>
              <w:rPr>
                <w:lang w:eastAsia="en-GB"/>
              </w:rPr>
            </w:pPr>
            <w:r w:rsidRPr="00A52AEE">
              <w:rPr>
                <w:lang w:eastAsia="en-GB"/>
              </w:rPr>
              <w:t>73%</w:t>
            </w:r>
          </w:p>
        </w:tc>
        <w:tc>
          <w:tcPr>
            <w:tcW w:w="363" w:type="pct"/>
            <w:tcBorders>
              <w:top w:val="nil"/>
              <w:left w:val="nil"/>
              <w:bottom w:val="single" w:sz="4" w:space="0" w:color="auto"/>
              <w:right w:val="single" w:sz="4" w:space="0" w:color="auto"/>
            </w:tcBorders>
            <w:shd w:val="clear" w:color="auto" w:fill="auto"/>
            <w:noWrap/>
            <w:vAlign w:val="bottom"/>
            <w:hideMark/>
          </w:tcPr>
          <w:p w14:paraId="2D3277EE" w14:textId="77777777" w:rsidR="004872CF" w:rsidRPr="00A52AEE" w:rsidRDefault="004872CF" w:rsidP="009A2373">
            <w:pPr>
              <w:jc w:val="right"/>
              <w:rPr>
                <w:lang w:eastAsia="en-GB"/>
              </w:rPr>
            </w:pPr>
            <w:r w:rsidRPr="00A52AEE">
              <w:rPr>
                <w:lang w:eastAsia="en-GB"/>
              </w:rPr>
              <w:t>58%</w:t>
            </w:r>
          </w:p>
        </w:tc>
        <w:tc>
          <w:tcPr>
            <w:tcW w:w="364" w:type="pct"/>
            <w:tcBorders>
              <w:top w:val="nil"/>
              <w:left w:val="nil"/>
              <w:bottom w:val="single" w:sz="4" w:space="0" w:color="auto"/>
              <w:right w:val="single" w:sz="4" w:space="0" w:color="auto"/>
            </w:tcBorders>
            <w:shd w:val="clear" w:color="auto" w:fill="auto"/>
            <w:noWrap/>
            <w:vAlign w:val="bottom"/>
            <w:hideMark/>
          </w:tcPr>
          <w:p w14:paraId="042FA381" w14:textId="77777777" w:rsidR="004872CF" w:rsidRPr="00A52AEE" w:rsidRDefault="004872CF" w:rsidP="009A2373">
            <w:pPr>
              <w:jc w:val="right"/>
              <w:rPr>
                <w:lang w:eastAsia="en-GB"/>
              </w:rPr>
            </w:pPr>
            <w:r w:rsidRPr="00A52AEE">
              <w:rPr>
                <w:lang w:eastAsia="en-GB"/>
              </w:rPr>
              <w:t>70%</w:t>
            </w:r>
          </w:p>
        </w:tc>
        <w:tc>
          <w:tcPr>
            <w:tcW w:w="363" w:type="pct"/>
            <w:tcBorders>
              <w:top w:val="nil"/>
              <w:left w:val="nil"/>
              <w:bottom w:val="single" w:sz="4" w:space="0" w:color="auto"/>
              <w:right w:val="single" w:sz="4" w:space="0" w:color="auto"/>
            </w:tcBorders>
            <w:shd w:val="clear" w:color="auto" w:fill="auto"/>
            <w:noWrap/>
            <w:vAlign w:val="bottom"/>
            <w:hideMark/>
          </w:tcPr>
          <w:p w14:paraId="32A04EA0" w14:textId="77777777" w:rsidR="004872CF" w:rsidRPr="00A52AEE" w:rsidRDefault="004872CF" w:rsidP="009A2373">
            <w:pPr>
              <w:jc w:val="right"/>
              <w:rPr>
                <w:lang w:eastAsia="en-GB"/>
              </w:rPr>
            </w:pPr>
            <w:r w:rsidRPr="00A52AEE">
              <w:rPr>
                <w:lang w:eastAsia="en-GB"/>
              </w:rPr>
              <w:t>29%</w:t>
            </w:r>
          </w:p>
        </w:tc>
        <w:tc>
          <w:tcPr>
            <w:tcW w:w="365" w:type="pct"/>
            <w:tcBorders>
              <w:top w:val="nil"/>
              <w:left w:val="nil"/>
              <w:bottom w:val="single" w:sz="4" w:space="0" w:color="auto"/>
              <w:right w:val="single" w:sz="12" w:space="0" w:color="auto"/>
            </w:tcBorders>
            <w:shd w:val="clear" w:color="auto" w:fill="auto"/>
            <w:noWrap/>
            <w:vAlign w:val="bottom"/>
            <w:hideMark/>
          </w:tcPr>
          <w:p w14:paraId="4AF523E5" w14:textId="77777777" w:rsidR="004872CF" w:rsidRPr="00A52AEE" w:rsidRDefault="004872CF" w:rsidP="009A2373">
            <w:pPr>
              <w:jc w:val="right"/>
              <w:rPr>
                <w:lang w:eastAsia="en-GB"/>
              </w:rPr>
            </w:pPr>
            <w:r w:rsidRPr="00A52AEE">
              <w:rPr>
                <w:lang w:eastAsia="en-GB"/>
              </w:rPr>
              <w:t>22%</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396EE4E1" w14:textId="77777777" w:rsidR="004872CF" w:rsidRPr="00A52AEE" w:rsidRDefault="004872CF" w:rsidP="009A2373">
            <w:pPr>
              <w:jc w:val="right"/>
              <w:rPr>
                <w:lang w:eastAsia="en-GB"/>
              </w:rPr>
            </w:pPr>
            <w:r w:rsidRPr="00A52AEE">
              <w:rPr>
                <w:lang w:eastAsia="en-GB"/>
              </w:rPr>
              <w:t>79%</w:t>
            </w:r>
          </w:p>
        </w:tc>
        <w:tc>
          <w:tcPr>
            <w:tcW w:w="363" w:type="pct"/>
            <w:tcBorders>
              <w:top w:val="nil"/>
              <w:left w:val="nil"/>
              <w:bottom w:val="single" w:sz="4" w:space="0" w:color="auto"/>
              <w:right w:val="single" w:sz="4" w:space="0" w:color="auto"/>
            </w:tcBorders>
            <w:shd w:val="clear" w:color="auto" w:fill="auto"/>
            <w:noWrap/>
            <w:vAlign w:val="bottom"/>
            <w:hideMark/>
          </w:tcPr>
          <w:p w14:paraId="6E4F59A9" w14:textId="77777777" w:rsidR="004872CF" w:rsidRPr="00A52AEE" w:rsidRDefault="004872CF" w:rsidP="009A2373">
            <w:pPr>
              <w:jc w:val="right"/>
              <w:rPr>
                <w:lang w:eastAsia="en-GB"/>
              </w:rPr>
            </w:pPr>
            <w:r w:rsidRPr="00A52AEE">
              <w:rPr>
                <w:lang w:eastAsia="en-GB"/>
              </w:rPr>
              <w:t>33%</w:t>
            </w:r>
          </w:p>
        </w:tc>
        <w:tc>
          <w:tcPr>
            <w:tcW w:w="363" w:type="pct"/>
            <w:tcBorders>
              <w:top w:val="nil"/>
              <w:left w:val="nil"/>
              <w:bottom w:val="single" w:sz="4" w:space="0" w:color="auto"/>
              <w:right w:val="single" w:sz="4" w:space="0" w:color="auto"/>
            </w:tcBorders>
            <w:shd w:val="clear" w:color="auto" w:fill="auto"/>
            <w:noWrap/>
            <w:vAlign w:val="bottom"/>
            <w:hideMark/>
          </w:tcPr>
          <w:p w14:paraId="752FA4FF" w14:textId="77777777" w:rsidR="004872CF" w:rsidRPr="00A52AEE" w:rsidRDefault="004872CF" w:rsidP="009A2373">
            <w:pPr>
              <w:jc w:val="right"/>
              <w:rPr>
                <w:lang w:eastAsia="en-GB"/>
              </w:rPr>
            </w:pPr>
            <w:r w:rsidRPr="00A52AEE">
              <w:rPr>
                <w:lang w:eastAsia="en-GB"/>
              </w:rPr>
              <w:t>28%</w:t>
            </w:r>
          </w:p>
        </w:tc>
        <w:tc>
          <w:tcPr>
            <w:tcW w:w="363" w:type="pct"/>
            <w:tcBorders>
              <w:top w:val="nil"/>
              <w:left w:val="nil"/>
              <w:bottom w:val="single" w:sz="4" w:space="0" w:color="auto"/>
              <w:right w:val="single" w:sz="4" w:space="0" w:color="auto"/>
            </w:tcBorders>
            <w:shd w:val="clear" w:color="auto" w:fill="auto"/>
            <w:noWrap/>
            <w:vAlign w:val="bottom"/>
            <w:hideMark/>
          </w:tcPr>
          <w:p w14:paraId="3FD9CD89" w14:textId="77777777" w:rsidR="004872CF" w:rsidRPr="00A52AEE" w:rsidRDefault="004872CF" w:rsidP="009A2373">
            <w:pPr>
              <w:jc w:val="right"/>
              <w:rPr>
                <w:lang w:eastAsia="en-GB"/>
              </w:rPr>
            </w:pPr>
            <w:r w:rsidRPr="00A52AEE">
              <w:rPr>
                <w:lang w:eastAsia="en-GB"/>
              </w:rPr>
              <w:t>0%</w:t>
            </w:r>
          </w:p>
        </w:tc>
        <w:tc>
          <w:tcPr>
            <w:tcW w:w="363" w:type="pct"/>
            <w:tcBorders>
              <w:top w:val="nil"/>
              <w:left w:val="nil"/>
              <w:bottom w:val="single" w:sz="4" w:space="0" w:color="auto"/>
              <w:right w:val="single" w:sz="12" w:space="0" w:color="auto"/>
            </w:tcBorders>
            <w:shd w:val="clear" w:color="auto" w:fill="auto"/>
            <w:noWrap/>
            <w:vAlign w:val="bottom"/>
            <w:hideMark/>
          </w:tcPr>
          <w:p w14:paraId="21AEE733" w14:textId="77777777" w:rsidR="004872CF" w:rsidRPr="00A52AEE" w:rsidRDefault="004872CF" w:rsidP="009A2373">
            <w:pPr>
              <w:jc w:val="right"/>
              <w:rPr>
                <w:lang w:eastAsia="en-GB"/>
              </w:rPr>
            </w:pPr>
            <w:r w:rsidRPr="00A52AEE">
              <w:rPr>
                <w:lang w:eastAsia="en-GB"/>
              </w:rPr>
              <w:t>21%</w:t>
            </w:r>
          </w:p>
        </w:tc>
      </w:tr>
      <w:tr w:rsidR="00D87628" w:rsidRPr="00A52AEE" w14:paraId="0EB17CA7" w14:textId="77777777" w:rsidTr="00D87628">
        <w:trPr>
          <w:trHeight w:val="300"/>
        </w:trPr>
        <w:tc>
          <w:tcPr>
            <w:tcW w:w="1365" w:type="pct"/>
            <w:tcBorders>
              <w:top w:val="nil"/>
              <w:left w:val="single" w:sz="12" w:space="0" w:color="auto"/>
              <w:bottom w:val="single" w:sz="4" w:space="0" w:color="auto"/>
              <w:right w:val="single" w:sz="12" w:space="0" w:color="auto"/>
            </w:tcBorders>
            <w:shd w:val="clear" w:color="auto" w:fill="auto"/>
            <w:noWrap/>
            <w:vAlign w:val="bottom"/>
            <w:hideMark/>
          </w:tcPr>
          <w:p w14:paraId="641CDAFD" w14:textId="77777777" w:rsidR="004872CF" w:rsidRPr="00A52AEE" w:rsidRDefault="004872CF" w:rsidP="00A52AEE">
            <w:pPr>
              <w:rPr>
                <w:lang w:eastAsia="en-GB"/>
              </w:rPr>
            </w:pPr>
            <w:r w:rsidRPr="00A52AEE">
              <w:rPr>
                <w:lang w:eastAsia="en-GB"/>
              </w:rPr>
              <w:t>White - any other White background</w:t>
            </w:r>
          </w:p>
        </w:tc>
        <w:tc>
          <w:tcPr>
            <w:tcW w:w="364" w:type="pct"/>
            <w:tcBorders>
              <w:top w:val="nil"/>
              <w:left w:val="single" w:sz="12" w:space="0" w:color="auto"/>
              <w:bottom w:val="single" w:sz="4" w:space="0" w:color="auto"/>
              <w:right w:val="single" w:sz="4" w:space="0" w:color="auto"/>
            </w:tcBorders>
            <w:shd w:val="clear" w:color="auto" w:fill="auto"/>
            <w:noWrap/>
            <w:vAlign w:val="bottom"/>
            <w:hideMark/>
          </w:tcPr>
          <w:p w14:paraId="420A02B6" w14:textId="77777777" w:rsidR="004872CF" w:rsidRPr="00A52AEE" w:rsidRDefault="004872CF" w:rsidP="009A2373">
            <w:pPr>
              <w:jc w:val="right"/>
              <w:rPr>
                <w:lang w:eastAsia="en-GB"/>
              </w:rPr>
            </w:pPr>
            <w:r w:rsidRPr="00A52AEE">
              <w:rPr>
                <w:lang w:eastAsia="en-GB"/>
              </w:rPr>
              <w:t>75%</w:t>
            </w:r>
          </w:p>
        </w:tc>
        <w:tc>
          <w:tcPr>
            <w:tcW w:w="363" w:type="pct"/>
            <w:tcBorders>
              <w:top w:val="nil"/>
              <w:left w:val="nil"/>
              <w:bottom w:val="single" w:sz="4" w:space="0" w:color="auto"/>
              <w:right w:val="single" w:sz="4" w:space="0" w:color="auto"/>
            </w:tcBorders>
            <w:shd w:val="clear" w:color="auto" w:fill="auto"/>
            <w:noWrap/>
            <w:vAlign w:val="bottom"/>
            <w:hideMark/>
          </w:tcPr>
          <w:p w14:paraId="1516E20D" w14:textId="77777777" w:rsidR="004872CF" w:rsidRPr="00A52AEE" w:rsidRDefault="004872CF" w:rsidP="009A2373">
            <w:pPr>
              <w:jc w:val="right"/>
              <w:rPr>
                <w:lang w:eastAsia="en-GB"/>
              </w:rPr>
            </w:pPr>
            <w:r w:rsidRPr="00A52AEE">
              <w:rPr>
                <w:lang w:eastAsia="en-GB"/>
              </w:rPr>
              <w:t>60%</w:t>
            </w:r>
          </w:p>
        </w:tc>
        <w:tc>
          <w:tcPr>
            <w:tcW w:w="364" w:type="pct"/>
            <w:tcBorders>
              <w:top w:val="nil"/>
              <w:left w:val="nil"/>
              <w:bottom w:val="single" w:sz="4" w:space="0" w:color="auto"/>
              <w:right w:val="single" w:sz="4" w:space="0" w:color="auto"/>
            </w:tcBorders>
            <w:shd w:val="clear" w:color="auto" w:fill="auto"/>
            <w:noWrap/>
            <w:vAlign w:val="bottom"/>
            <w:hideMark/>
          </w:tcPr>
          <w:p w14:paraId="29EACFB6" w14:textId="77777777" w:rsidR="004872CF" w:rsidRPr="00A52AEE" w:rsidRDefault="004872CF" w:rsidP="009A2373">
            <w:pPr>
              <w:jc w:val="right"/>
              <w:rPr>
                <w:lang w:eastAsia="en-GB"/>
              </w:rPr>
            </w:pPr>
            <w:r w:rsidRPr="00A52AEE">
              <w:rPr>
                <w:lang w:eastAsia="en-GB"/>
              </w:rPr>
              <w:t>71%</w:t>
            </w:r>
          </w:p>
        </w:tc>
        <w:tc>
          <w:tcPr>
            <w:tcW w:w="363" w:type="pct"/>
            <w:tcBorders>
              <w:top w:val="nil"/>
              <w:left w:val="nil"/>
              <w:bottom w:val="single" w:sz="4" w:space="0" w:color="auto"/>
              <w:right w:val="single" w:sz="4" w:space="0" w:color="auto"/>
            </w:tcBorders>
            <w:shd w:val="clear" w:color="auto" w:fill="auto"/>
            <w:noWrap/>
            <w:vAlign w:val="bottom"/>
            <w:hideMark/>
          </w:tcPr>
          <w:p w14:paraId="302F3B6E" w14:textId="77777777" w:rsidR="004872CF" w:rsidRPr="00A52AEE" w:rsidRDefault="004872CF" w:rsidP="009A2373">
            <w:pPr>
              <w:jc w:val="right"/>
              <w:rPr>
                <w:lang w:eastAsia="en-GB"/>
              </w:rPr>
            </w:pPr>
            <w:r w:rsidRPr="00A52AEE">
              <w:rPr>
                <w:lang w:eastAsia="en-GB"/>
              </w:rPr>
              <w:t>9%</w:t>
            </w:r>
          </w:p>
        </w:tc>
        <w:tc>
          <w:tcPr>
            <w:tcW w:w="365" w:type="pct"/>
            <w:tcBorders>
              <w:top w:val="nil"/>
              <w:left w:val="nil"/>
              <w:bottom w:val="single" w:sz="4" w:space="0" w:color="auto"/>
              <w:right w:val="single" w:sz="12" w:space="0" w:color="auto"/>
            </w:tcBorders>
            <w:shd w:val="clear" w:color="auto" w:fill="auto"/>
            <w:noWrap/>
            <w:vAlign w:val="bottom"/>
            <w:hideMark/>
          </w:tcPr>
          <w:p w14:paraId="1F07BB49" w14:textId="77777777" w:rsidR="004872CF" w:rsidRPr="00A52AEE" w:rsidRDefault="004872CF" w:rsidP="009A2373">
            <w:pPr>
              <w:jc w:val="right"/>
              <w:rPr>
                <w:lang w:eastAsia="en-GB"/>
              </w:rPr>
            </w:pPr>
            <w:r w:rsidRPr="00A52AEE">
              <w:rPr>
                <w:lang w:eastAsia="en-GB"/>
              </w:rPr>
              <w:t>27%</w:t>
            </w:r>
          </w:p>
        </w:tc>
        <w:tc>
          <w:tcPr>
            <w:tcW w:w="363" w:type="pct"/>
            <w:tcBorders>
              <w:top w:val="nil"/>
              <w:left w:val="single" w:sz="12" w:space="0" w:color="auto"/>
              <w:bottom w:val="single" w:sz="4" w:space="0" w:color="auto"/>
              <w:right w:val="single" w:sz="4" w:space="0" w:color="auto"/>
            </w:tcBorders>
            <w:shd w:val="clear" w:color="auto" w:fill="auto"/>
            <w:noWrap/>
            <w:vAlign w:val="bottom"/>
            <w:hideMark/>
          </w:tcPr>
          <w:p w14:paraId="06A8AE93" w14:textId="77777777" w:rsidR="004872CF" w:rsidRPr="00A52AEE" w:rsidRDefault="004872CF" w:rsidP="009A2373">
            <w:pPr>
              <w:jc w:val="right"/>
              <w:rPr>
                <w:lang w:eastAsia="en-GB"/>
              </w:rPr>
            </w:pPr>
            <w:r w:rsidRPr="00A52AEE">
              <w:rPr>
                <w:lang w:eastAsia="en-GB"/>
              </w:rPr>
              <w:t>60%</w:t>
            </w:r>
          </w:p>
        </w:tc>
        <w:tc>
          <w:tcPr>
            <w:tcW w:w="363" w:type="pct"/>
            <w:tcBorders>
              <w:top w:val="nil"/>
              <w:left w:val="nil"/>
              <w:bottom w:val="single" w:sz="4" w:space="0" w:color="auto"/>
              <w:right w:val="single" w:sz="4" w:space="0" w:color="auto"/>
            </w:tcBorders>
            <w:shd w:val="clear" w:color="auto" w:fill="auto"/>
            <w:noWrap/>
            <w:vAlign w:val="bottom"/>
            <w:hideMark/>
          </w:tcPr>
          <w:p w14:paraId="103DE2B8" w14:textId="77777777" w:rsidR="004872CF" w:rsidRPr="00A52AEE" w:rsidRDefault="004872CF" w:rsidP="009A2373">
            <w:pPr>
              <w:jc w:val="right"/>
              <w:rPr>
                <w:lang w:eastAsia="en-GB"/>
              </w:rPr>
            </w:pPr>
            <w:r w:rsidRPr="00A52AEE">
              <w:rPr>
                <w:lang w:eastAsia="en-GB"/>
              </w:rPr>
              <w:t>37%</w:t>
            </w:r>
          </w:p>
        </w:tc>
        <w:tc>
          <w:tcPr>
            <w:tcW w:w="363" w:type="pct"/>
            <w:tcBorders>
              <w:top w:val="nil"/>
              <w:left w:val="nil"/>
              <w:bottom w:val="single" w:sz="4" w:space="0" w:color="auto"/>
              <w:right w:val="single" w:sz="4" w:space="0" w:color="auto"/>
            </w:tcBorders>
            <w:shd w:val="clear" w:color="auto" w:fill="auto"/>
            <w:noWrap/>
            <w:vAlign w:val="bottom"/>
            <w:hideMark/>
          </w:tcPr>
          <w:p w14:paraId="312F71DB" w14:textId="77777777" w:rsidR="004872CF" w:rsidRPr="00A52AEE" w:rsidRDefault="004872CF" w:rsidP="009A2373">
            <w:pPr>
              <w:jc w:val="right"/>
              <w:rPr>
                <w:lang w:eastAsia="en-GB"/>
              </w:rPr>
            </w:pPr>
            <w:r w:rsidRPr="00A52AEE">
              <w:rPr>
                <w:lang w:eastAsia="en-GB"/>
              </w:rPr>
              <w:t>15%</w:t>
            </w:r>
          </w:p>
        </w:tc>
        <w:tc>
          <w:tcPr>
            <w:tcW w:w="363" w:type="pct"/>
            <w:tcBorders>
              <w:top w:val="nil"/>
              <w:left w:val="nil"/>
              <w:bottom w:val="single" w:sz="4" w:space="0" w:color="auto"/>
              <w:right w:val="single" w:sz="4" w:space="0" w:color="auto"/>
            </w:tcBorders>
            <w:shd w:val="clear" w:color="auto" w:fill="auto"/>
            <w:noWrap/>
            <w:vAlign w:val="bottom"/>
            <w:hideMark/>
          </w:tcPr>
          <w:p w14:paraId="042F9D34" w14:textId="77777777" w:rsidR="004872CF" w:rsidRPr="00A52AEE" w:rsidRDefault="004872CF" w:rsidP="009A2373">
            <w:pPr>
              <w:jc w:val="right"/>
              <w:rPr>
                <w:lang w:eastAsia="en-GB"/>
              </w:rPr>
            </w:pPr>
            <w:r w:rsidRPr="00A52AEE">
              <w:rPr>
                <w:lang w:eastAsia="en-GB"/>
              </w:rPr>
              <w:t>7%</w:t>
            </w:r>
          </w:p>
        </w:tc>
        <w:tc>
          <w:tcPr>
            <w:tcW w:w="363" w:type="pct"/>
            <w:tcBorders>
              <w:top w:val="nil"/>
              <w:left w:val="nil"/>
              <w:bottom w:val="single" w:sz="4" w:space="0" w:color="auto"/>
              <w:right w:val="single" w:sz="12" w:space="0" w:color="auto"/>
            </w:tcBorders>
            <w:shd w:val="clear" w:color="auto" w:fill="auto"/>
            <w:noWrap/>
            <w:vAlign w:val="bottom"/>
            <w:hideMark/>
          </w:tcPr>
          <w:p w14:paraId="31AE81AC" w14:textId="77777777" w:rsidR="004872CF" w:rsidRPr="00A52AEE" w:rsidRDefault="004872CF" w:rsidP="009A2373">
            <w:pPr>
              <w:jc w:val="right"/>
              <w:rPr>
                <w:lang w:eastAsia="en-GB"/>
              </w:rPr>
            </w:pPr>
            <w:r w:rsidRPr="00A52AEE">
              <w:rPr>
                <w:lang w:eastAsia="en-GB"/>
              </w:rPr>
              <w:t>18%</w:t>
            </w:r>
          </w:p>
        </w:tc>
      </w:tr>
      <w:tr w:rsidR="00D87628" w:rsidRPr="00A52AEE" w14:paraId="19292C73" w14:textId="77777777" w:rsidTr="00D87628">
        <w:trPr>
          <w:trHeight w:val="315"/>
        </w:trPr>
        <w:tc>
          <w:tcPr>
            <w:tcW w:w="1365" w:type="pct"/>
            <w:tcBorders>
              <w:top w:val="nil"/>
              <w:left w:val="single" w:sz="12" w:space="0" w:color="auto"/>
              <w:bottom w:val="single" w:sz="12" w:space="0" w:color="auto"/>
              <w:right w:val="single" w:sz="12" w:space="0" w:color="auto"/>
            </w:tcBorders>
            <w:shd w:val="clear" w:color="auto" w:fill="auto"/>
            <w:noWrap/>
            <w:vAlign w:val="bottom"/>
            <w:hideMark/>
          </w:tcPr>
          <w:p w14:paraId="4A07CBFD" w14:textId="77777777" w:rsidR="004872CF" w:rsidRPr="00A52AEE" w:rsidRDefault="004872CF" w:rsidP="00A52AEE">
            <w:pPr>
              <w:rPr>
                <w:lang w:eastAsia="en-GB"/>
              </w:rPr>
            </w:pPr>
            <w:r w:rsidRPr="00A52AEE">
              <w:rPr>
                <w:lang w:eastAsia="en-GB"/>
              </w:rPr>
              <w:t>White –British</w:t>
            </w:r>
          </w:p>
        </w:tc>
        <w:tc>
          <w:tcPr>
            <w:tcW w:w="364" w:type="pct"/>
            <w:tcBorders>
              <w:top w:val="nil"/>
              <w:left w:val="single" w:sz="12" w:space="0" w:color="auto"/>
              <w:bottom w:val="single" w:sz="12" w:space="0" w:color="auto"/>
              <w:right w:val="single" w:sz="4" w:space="0" w:color="auto"/>
            </w:tcBorders>
            <w:shd w:val="clear" w:color="auto" w:fill="auto"/>
            <w:noWrap/>
            <w:vAlign w:val="bottom"/>
            <w:hideMark/>
          </w:tcPr>
          <w:p w14:paraId="28298107" w14:textId="77777777" w:rsidR="004872CF" w:rsidRPr="00A52AEE" w:rsidRDefault="004872CF" w:rsidP="009A2373">
            <w:pPr>
              <w:jc w:val="right"/>
              <w:rPr>
                <w:lang w:eastAsia="en-GB"/>
              </w:rPr>
            </w:pPr>
            <w:r w:rsidRPr="00A52AEE">
              <w:rPr>
                <w:lang w:eastAsia="en-GB"/>
              </w:rPr>
              <w:t>68%</w:t>
            </w:r>
          </w:p>
        </w:tc>
        <w:tc>
          <w:tcPr>
            <w:tcW w:w="363" w:type="pct"/>
            <w:tcBorders>
              <w:top w:val="nil"/>
              <w:left w:val="nil"/>
              <w:bottom w:val="single" w:sz="12" w:space="0" w:color="auto"/>
              <w:right w:val="single" w:sz="4" w:space="0" w:color="auto"/>
            </w:tcBorders>
            <w:shd w:val="clear" w:color="auto" w:fill="auto"/>
            <w:noWrap/>
            <w:vAlign w:val="bottom"/>
            <w:hideMark/>
          </w:tcPr>
          <w:p w14:paraId="5B47B465" w14:textId="77777777" w:rsidR="004872CF" w:rsidRPr="00A52AEE" w:rsidRDefault="004872CF" w:rsidP="009A2373">
            <w:pPr>
              <w:jc w:val="right"/>
              <w:rPr>
                <w:lang w:eastAsia="en-GB"/>
              </w:rPr>
            </w:pPr>
            <w:r w:rsidRPr="00A52AEE">
              <w:rPr>
                <w:lang w:eastAsia="en-GB"/>
              </w:rPr>
              <w:t>44%</w:t>
            </w:r>
          </w:p>
        </w:tc>
        <w:tc>
          <w:tcPr>
            <w:tcW w:w="364" w:type="pct"/>
            <w:tcBorders>
              <w:top w:val="nil"/>
              <w:left w:val="nil"/>
              <w:bottom w:val="single" w:sz="12" w:space="0" w:color="auto"/>
              <w:right w:val="single" w:sz="4" w:space="0" w:color="auto"/>
            </w:tcBorders>
            <w:shd w:val="clear" w:color="auto" w:fill="auto"/>
            <w:noWrap/>
            <w:vAlign w:val="bottom"/>
            <w:hideMark/>
          </w:tcPr>
          <w:p w14:paraId="68E07223" w14:textId="77777777" w:rsidR="004872CF" w:rsidRPr="00A52AEE" w:rsidRDefault="004872CF" w:rsidP="009A2373">
            <w:pPr>
              <w:jc w:val="right"/>
              <w:rPr>
                <w:lang w:eastAsia="en-GB"/>
              </w:rPr>
            </w:pPr>
            <w:r w:rsidRPr="00A52AEE">
              <w:rPr>
                <w:lang w:eastAsia="en-GB"/>
              </w:rPr>
              <w:t>61%</w:t>
            </w:r>
          </w:p>
        </w:tc>
        <w:tc>
          <w:tcPr>
            <w:tcW w:w="363" w:type="pct"/>
            <w:tcBorders>
              <w:top w:val="nil"/>
              <w:left w:val="nil"/>
              <w:bottom w:val="single" w:sz="12" w:space="0" w:color="auto"/>
              <w:right w:val="single" w:sz="4" w:space="0" w:color="auto"/>
            </w:tcBorders>
            <w:shd w:val="clear" w:color="auto" w:fill="auto"/>
            <w:noWrap/>
            <w:vAlign w:val="bottom"/>
            <w:hideMark/>
          </w:tcPr>
          <w:p w14:paraId="058794B1" w14:textId="77777777" w:rsidR="004872CF" w:rsidRPr="00A52AEE" w:rsidRDefault="004872CF" w:rsidP="009A2373">
            <w:pPr>
              <w:jc w:val="right"/>
              <w:rPr>
                <w:lang w:eastAsia="en-GB"/>
              </w:rPr>
            </w:pPr>
            <w:r w:rsidRPr="00A52AEE">
              <w:rPr>
                <w:lang w:eastAsia="en-GB"/>
              </w:rPr>
              <w:t>9%</w:t>
            </w:r>
          </w:p>
        </w:tc>
        <w:tc>
          <w:tcPr>
            <w:tcW w:w="365" w:type="pct"/>
            <w:tcBorders>
              <w:top w:val="nil"/>
              <w:left w:val="nil"/>
              <w:bottom w:val="single" w:sz="12" w:space="0" w:color="auto"/>
              <w:right w:val="single" w:sz="12" w:space="0" w:color="auto"/>
            </w:tcBorders>
            <w:shd w:val="clear" w:color="auto" w:fill="auto"/>
            <w:noWrap/>
            <w:vAlign w:val="bottom"/>
            <w:hideMark/>
          </w:tcPr>
          <w:p w14:paraId="3D5FF3F6" w14:textId="77777777" w:rsidR="004872CF" w:rsidRPr="00A52AEE" w:rsidRDefault="004872CF" w:rsidP="009A2373">
            <w:pPr>
              <w:jc w:val="right"/>
              <w:rPr>
                <w:lang w:eastAsia="en-GB"/>
              </w:rPr>
            </w:pPr>
            <w:r w:rsidRPr="00A52AEE">
              <w:rPr>
                <w:lang w:eastAsia="en-GB"/>
              </w:rPr>
              <w:t>9%</w:t>
            </w:r>
          </w:p>
        </w:tc>
        <w:tc>
          <w:tcPr>
            <w:tcW w:w="363" w:type="pct"/>
            <w:tcBorders>
              <w:top w:val="nil"/>
              <w:left w:val="single" w:sz="12" w:space="0" w:color="auto"/>
              <w:bottom w:val="single" w:sz="12" w:space="0" w:color="auto"/>
              <w:right w:val="single" w:sz="4" w:space="0" w:color="auto"/>
            </w:tcBorders>
            <w:shd w:val="clear" w:color="auto" w:fill="auto"/>
            <w:noWrap/>
            <w:vAlign w:val="bottom"/>
            <w:hideMark/>
          </w:tcPr>
          <w:p w14:paraId="251EFDE9" w14:textId="77777777" w:rsidR="004872CF" w:rsidRPr="00A52AEE" w:rsidRDefault="004872CF" w:rsidP="009A2373">
            <w:pPr>
              <w:jc w:val="right"/>
              <w:rPr>
                <w:lang w:eastAsia="en-GB"/>
              </w:rPr>
            </w:pPr>
            <w:r w:rsidRPr="00A52AEE">
              <w:rPr>
                <w:lang w:eastAsia="en-GB"/>
              </w:rPr>
              <w:t>79%</w:t>
            </w:r>
          </w:p>
        </w:tc>
        <w:tc>
          <w:tcPr>
            <w:tcW w:w="363" w:type="pct"/>
            <w:tcBorders>
              <w:top w:val="nil"/>
              <w:left w:val="nil"/>
              <w:bottom w:val="single" w:sz="12" w:space="0" w:color="auto"/>
              <w:right w:val="single" w:sz="4" w:space="0" w:color="auto"/>
            </w:tcBorders>
            <w:shd w:val="clear" w:color="auto" w:fill="auto"/>
            <w:noWrap/>
            <w:vAlign w:val="bottom"/>
            <w:hideMark/>
          </w:tcPr>
          <w:p w14:paraId="30FF8972" w14:textId="18106075" w:rsidR="004872CF" w:rsidRPr="00A52AEE" w:rsidRDefault="004872CF" w:rsidP="009A2373">
            <w:pPr>
              <w:jc w:val="right"/>
              <w:rPr>
                <w:lang w:eastAsia="en-GB"/>
              </w:rPr>
            </w:pPr>
            <w:r w:rsidRPr="00A52AEE">
              <w:rPr>
                <w:lang w:eastAsia="en-GB"/>
              </w:rPr>
              <w:t>26%</w:t>
            </w:r>
          </w:p>
        </w:tc>
        <w:tc>
          <w:tcPr>
            <w:tcW w:w="363" w:type="pct"/>
            <w:tcBorders>
              <w:top w:val="nil"/>
              <w:left w:val="nil"/>
              <w:bottom w:val="single" w:sz="12" w:space="0" w:color="auto"/>
              <w:right w:val="single" w:sz="4" w:space="0" w:color="auto"/>
            </w:tcBorders>
            <w:shd w:val="clear" w:color="auto" w:fill="auto"/>
            <w:noWrap/>
            <w:vAlign w:val="bottom"/>
            <w:hideMark/>
          </w:tcPr>
          <w:p w14:paraId="56489DEC" w14:textId="0E96F341" w:rsidR="004872CF" w:rsidRPr="00A52AEE" w:rsidRDefault="004872CF" w:rsidP="009A2373">
            <w:pPr>
              <w:jc w:val="right"/>
              <w:rPr>
                <w:lang w:eastAsia="en-GB"/>
              </w:rPr>
            </w:pPr>
            <w:r w:rsidRPr="00A52AEE">
              <w:rPr>
                <w:lang w:eastAsia="en-GB"/>
              </w:rPr>
              <w:t>58%</w:t>
            </w:r>
          </w:p>
        </w:tc>
        <w:tc>
          <w:tcPr>
            <w:tcW w:w="363" w:type="pct"/>
            <w:tcBorders>
              <w:top w:val="nil"/>
              <w:left w:val="nil"/>
              <w:bottom w:val="single" w:sz="12" w:space="0" w:color="auto"/>
              <w:right w:val="single" w:sz="4" w:space="0" w:color="auto"/>
            </w:tcBorders>
            <w:shd w:val="clear" w:color="auto" w:fill="auto"/>
            <w:noWrap/>
            <w:vAlign w:val="bottom"/>
            <w:hideMark/>
          </w:tcPr>
          <w:p w14:paraId="3ADF59D3" w14:textId="77777777" w:rsidR="004872CF" w:rsidRPr="00A52AEE" w:rsidRDefault="004872CF" w:rsidP="009A2373">
            <w:pPr>
              <w:jc w:val="right"/>
              <w:rPr>
                <w:lang w:eastAsia="en-GB"/>
              </w:rPr>
            </w:pPr>
            <w:r w:rsidRPr="00A52AEE">
              <w:rPr>
                <w:lang w:eastAsia="en-GB"/>
              </w:rPr>
              <w:t>3%</w:t>
            </w:r>
          </w:p>
        </w:tc>
        <w:tc>
          <w:tcPr>
            <w:tcW w:w="363" w:type="pct"/>
            <w:tcBorders>
              <w:top w:val="nil"/>
              <w:left w:val="nil"/>
              <w:bottom w:val="single" w:sz="12" w:space="0" w:color="auto"/>
              <w:right w:val="single" w:sz="12" w:space="0" w:color="auto"/>
            </w:tcBorders>
            <w:shd w:val="clear" w:color="auto" w:fill="auto"/>
            <w:noWrap/>
            <w:vAlign w:val="bottom"/>
            <w:hideMark/>
          </w:tcPr>
          <w:p w14:paraId="2585CD7E" w14:textId="77777777" w:rsidR="004872CF" w:rsidRPr="00A52AEE" w:rsidRDefault="004872CF" w:rsidP="009A2373">
            <w:pPr>
              <w:jc w:val="right"/>
              <w:rPr>
                <w:lang w:eastAsia="en-GB"/>
              </w:rPr>
            </w:pPr>
            <w:r w:rsidRPr="00A52AEE">
              <w:rPr>
                <w:lang w:eastAsia="en-GB"/>
              </w:rPr>
              <w:t>8%</w:t>
            </w:r>
          </w:p>
        </w:tc>
      </w:tr>
    </w:tbl>
    <w:p w14:paraId="7DB0E5D9" w14:textId="0B98031E" w:rsidR="00860170" w:rsidRPr="00A52AEE" w:rsidRDefault="00D87628" w:rsidP="002F1965">
      <w:pPr>
        <w:pStyle w:val="Heading2"/>
        <w:spacing w:after="0"/>
      </w:pPr>
      <w:bookmarkStart w:id="126" w:name="_Toc429151342"/>
      <w:r w:rsidRPr="00A52AEE">
        <w:t>5.1</w:t>
      </w:r>
      <w:r w:rsidR="00AE2C39" w:rsidRPr="00A52AEE">
        <w:t>8</w:t>
      </w:r>
      <w:r w:rsidRPr="00A52AEE">
        <w:tab/>
      </w:r>
      <w:r w:rsidR="00F342FD">
        <w:tab/>
      </w:r>
      <w:r w:rsidR="00860170" w:rsidRPr="00A52AEE">
        <w:t>HE progression rates by POLAR3 quintile</w:t>
      </w:r>
      <w:bookmarkEnd w:id="126"/>
    </w:p>
    <w:p w14:paraId="3A4D163D" w14:textId="77777777" w:rsidR="00860170" w:rsidRPr="00A52AEE" w:rsidRDefault="00860170" w:rsidP="002F1965">
      <w:pPr>
        <w:rPr>
          <w:lang w:eastAsia="en-GB"/>
        </w:rPr>
      </w:pPr>
    </w:p>
    <w:p w14:paraId="77573460" w14:textId="09875851" w:rsidR="00860170" w:rsidRPr="00A52AEE" w:rsidRDefault="00860170" w:rsidP="002F1965">
      <w:r w:rsidRPr="00A52AEE">
        <w:t xml:space="preserve">Progression rates for two </w:t>
      </w:r>
      <w:r w:rsidR="008C027A" w:rsidRPr="00A52AEE">
        <w:t xml:space="preserve">groups of </w:t>
      </w:r>
      <w:r w:rsidR="00842186" w:rsidRPr="00A52AEE">
        <w:t>student</w:t>
      </w:r>
      <w:r w:rsidRPr="00A52AEE">
        <w:t xml:space="preserve">s classified </w:t>
      </w:r>
      <w:r w:rsidR="00235FB9" w:rsidRPr="00A52AEE">
        <w:t xml:space="preserve">as most advantaged (Q5) and most disadvantaged (Q1) using POLAR3 are shown in the chart in Figure </w:t>
      </w:r>
      <w:r w:rsidR="007E698B" w:rsidRPr="00A52AEE">
        <w:t>7</w:t>
      </w:r>
      <w:r w:rsidR="00235FB9" w:rsidRPr="00A52AEE">
        <w:t xml:space="preserve">. Not surprisingly, rates are considerably higher for the advantaged group of </w:t>
      </w:r>
      <w:r w:rsidR="00842186" w:rsidRPr="00A52AEE">
        <w:t>student</w:t>
      </w:r>
      <w:r w:rsidR="00235FB9" w:rsidRPr="00A52AEE">
        <w:t>s from Q5. Both groups saw a decrease in rates in 2011-12 (entering HE in 2012-13).</w:t>
      </w:r>
    </w:p>
    <w:p w14:paraId="55691F05" w14:textId="77777777" w:rsidR="00053A52" w:rsidRDefault="00053A52" w:rsidP="00A52AEE"/>
    <w:p w14:paraId="2868ED92" w14:textId="77777777" w:rsidR="002F1965" w:rsidRDefault="002F1965">
      <w:pPr>
        <w:spacing w:after="160" w:line="259" w:lineRule="auto"/>
        <w:rPr>
          <w:b/>
        </w:rPr>
      </w:pPr>
      <w:r>
        <w:rPr>
          <w:b/>
        </w:rPr>
        <w:br w:type="page"/>
      </w:r>
    </w:p>
    <w:p w14:paraId="5D98989D" w14:textId="0BFA9D15" w:rsidR="00860170" w:rsidRDefault="00860170" w:rsidP="00A52AEE">
      <w:pPr>
        <w:rPr>
          <w:b/>
        </w:rPr>
      </w:pPr>
      <w:r w:rsidRPr="00053A52">
        <w:rPr>
          <w:b/>
        </w:rPr>
        <w:t xml:space="preserve">Figure </w:t>
      </w:r>
      <w:r w:rsidR="007E698B" w:rsidRPr="00053A52">
        <w:rPr>
          <w:b/>
        </w:rPr>
        <w:t>7</w:t>
      </w:r>
      <w:r w:rsidR="00D87628" w:rsidRPr="00053A52">
        <w:rPr>
          <w:b/>
        </w:rPr>
        <w:t xml:space="preserve">: </w:t>
      </w:r>
      <w:r w:rsidRPr="00053A52">
        <w:rPr>
          <w:b/>
        </w:rPr>
        <w:t xml:space="preserve">Chart showing progression rates for POLAR 3 Q1 and Q5 </w:t>
      </w:r>
      <w:r w:rsidR="00842186" w:rsidRPr="00053A52">
        <w:rPr>
          <w:b/>
        </w:rPr>
        <w:t>student</w:t>
      </w:r>
      <w:r w:rsidRPr="00053A52">
        <w:rPr>
          <w:b/>
        </w:rPr>
        <w:t>s</w:t>
      </w:r>
    </w:p>
    <w:p w14:paraId="2D13324F" w14:textId="77777777" w:rsidR="009A2373" w:rsidRPr="00053A52" w:rsidRDefault="009A2373" w:rsidP="00A52AEE">
      <w:pPr>
        <w:rPr>
          <w:b/>
        </w:rPr>
      </w:pPr>
    </w:p>
    <w:p w14:paraId="584633DE" w14:textId="77777777" w:rsidR="00A268F4" w:rsidRPr="00A52AEE" w:rsidRDefault="00860170" w:rsidP="00A52AEE">
      <w:r w:rsidRPr="00A52AEE">
        <w:rPr>
          <w:noProof/>
          <w:lang w:eastAsia="en-GB"/>
        </w:rPr>
        <w:drawing>
          <wp:inline distT="0" distB="0" distL="0" distR="0" wp14:anchorId="0ABA5C62" wp14:editId="6AE0986E">
            <wp:extent cx="5848350" cy="1981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BBAD27" w14:textId="77777777" w:rsidR="002F1965" w:rsidRDefault="002F1965" w:rsidP="005D104D">
      <w:pPr>
        <w:pStyle w:val="Heading2"/>
        <w:spacing w:after="0"/>
      </w:pPr>
    </w:p>
    <w:p w14:paraId="77A0DC1E" w14:textId="72A04A48" w:rsidR="00A268F4" w:rsidRPr="00A52AEE" w:rsidRDefault="00AE2C39" w:rsidP="005D104D">
      <w:pPr>
        <w:pStyle w:val="Heading2"/>
        <w:spacing w:after="0"/>
      </w:pPr>
      <w:bookmarkStart w:id="127" w:name="_Toc429151343"/>
      <w:r w:rsidRPr="00A52AEE">
        <w:t>5.19</w:t>
      </w:r>
      <w:r w:rsidR="0059233C" w:rsidRPr="00A52AEE">
        <w:tab/>
      </w:r>
      <w:r w:rsidR="00F342FD">
        <w:tab/>
      </w:r>
      <w:r w:rsidR="00D87628" w:rsidRPr="00A52AEE">
        <w:t>HE</w:t>
      </w:r>
      <w:r w:rsidR="00A268F4" w:rsidRPr="00A52AEE">
        <w:t xml:space="preserve"> progression rates by IDACI quintile</w:t>
      </w:r>
      <w:bookmarkEnd w:id="127"/>
    </w:p>
    <w:p w14:paraId="5D31A0A0" w14:textId="77777777" w:rsidR="009A2373" w:rsidRDefault="009A2373" w:rsidP="005D104D"/>
    <w:p w14:paraId="002D17D1" w14:textId="12E73055" w:rsidR="00A268F4" w:rsidRPr="00A52AEE" w:rsidRDefault="00A268F4" w:rsidP="005D104D">
      <w:r w:rsidRPr="00A52AEE">
        <w:t>In section 2 we saw that three in four students in the tracked coho</w:t>
      </w:r>
      <w:r w:rsidR="007C17F7">
        <w:t xml:space="preserve">rt were classified as living </w:t>
      </w:r>
      <w:r w:rsidRPr="00A52AEE">
        <w:t xml:space="preserve"> in the top 40% of England in terms of disadvantage using IDACI.</w:t>
      </w:r>
      <w:r w:rsidR="00775234" w:rsidRPr="00A52AEE">
        <w:t xml:space="preserve"> Table </w:t>
      </w:r>
      <w:r w:rsidR="004E52FE">
        <w:t>36</w:t>
      </w:r>
      <w:r w:rsidR="00775234" w:rsidRPr="00A52AEE">
        <w:t xml:space="preserve"> shows higher progression rates for </w:t>
      </w:r>
      <w:r w:rsidR="0093491E" w:rsidRPr="00A52AEE">
        <w:t xml:space="preserve">IDACI </w:t>
      </w:r>
      <w:r w:rsidR="00775234" w:rsidRPr="00A52AEE">
        <w:t xml:space="preserve">Q1 </w:t>
      </w:r>
      <w:r w:rsidR="00842186" w:rsidRPr="00A52AEE">
        <w:t>student</w:t>
      </w:r>
      <w:r w:rsidR="00775234" w:rsidRPr="00A52AEE">
        <w:t xml:space="preserve">s than Q5 </w:t>
      </w:r>
      <w:r w:rsidR="00842186" w:rsidRPr="00A52AEE">
        <w:t>student</w:t>
      </w:r>
      <w:r w:rsidR="00775234" w:rsidRPr="00A52AEE">
        <w:t>s</w:t>
      </w:r>
      <w:r w:rsidR="00F342FD">
        <w:t xml:space="preserve"> which is</w:t>
      </w:r>
      <w:r w:rsidR="00775234" w:rsidRPr="00A52AEE">
        <w:t xml:space="preserve"> not what you would expect</w:t>
      </w:r>
      <w:r w:rsidR="00F342FD">
        <w:t>,</w:t>
      </w:r>
      <w:r w:rsidR="00775234" w:rsidRPr="00A52AEE">
        <w:t xml:space="preserve"> but when we explore these quintiles further we find that more </w:t>
      </w:r>
      <w:r w:rsidR="00775234" w:rsidRPr="00F342FD">
        <w:rPr>
          <w:b/>
        </w:rPr>
        <w:t>young students</w:t>
      </w:r>
      <w:r w:rsidR="00775234" w:rsidRPr="00A52AEE">
        <w:t xml:space="preserve"> live in disadvantaged area</w:t>
      </w:r>
      <w:r w:rsidR="00F342FD">
        <w:t>s as do</w:t>
      </w:r>
      <w:r w:rsidR="00775234" w:rsidRPr="00A52AEE">
        <w:t xml:space="preserve"> more students from </w:t>
      </w:r>
      <w:r w:rsidR="00775234" w:rsidRPr="00F342FD">
        <w:rPr>
          <w:b/>
        </w:rPr>
        <w:t>BME groups</w:t>
      </w:r>
      <w:r w:rsidR="00F342FD">
        <w:t>:</w:t>
      </w:r>
      <w:r w:rsidR="00775234" w:rsidRPr="00A52AEE">
        <w:t xml:space="preserve"> both characteristics that lead to higher progression.  It is significant that the IDACI </w:t>
      </w:r>
      <w:r w:rsidR="0093491E" w:rsidRPr="00A52AEE">
        <w:t xml:space="preserve">Q1 </w:t>
      </w:r>
      <w:r w:rsidR="00775234" w:rsidRPr="00A52AEE">
        <w:t xml:space="preserve">group has seen a decline in progression rates but the Q5 group saw an increase and this is probably due to the fact that fees appear have to have had a higher impact on young students from specific ethnic groups who are also now just as likely to be studying BTEC than A </w:t>
      </w:r>
      <w:r w:rsidR="0021637B" w:rsidRPr="00A52AEE">
        <w:t>Level</w:t>
      </w:r>
      <w:r w:rsidR="00775234" w:rsidRPr="00A52AEE">
        <w:t>.</w:t>
      </w:r>
    </w:p>
    <w:p w14:paraId="7D3C7EA9" w14:textId="77777777" w:rsidR="00775234" w:rsidRPr="00A52AEE" w:rsidRDefault="00775234" w:rsidP="00A52AEE"/>
    <w:p w14:paraId="4B6984A1" w14:textId="15727077" w:rsidR="00775234" w:rsidRPr="00F342FD" w:rsidRDefault="00775234" w:rsidP="00A52AEE">
      <w:pPr>
        <w:rPr>
          <w:b/>
        </w:rPr>
      </w:pPr>
      <w:r w:rsidRPr="00F342FD">
        <w:rPr>
          <w:b/>
        </w:rPr>
        <w:t xml:space="preserve">Table </w:t>
      </w:r>
      <w:r w:rsidR="0022142D">
        <w:rPr>
          <w:b/>
        </w:rPr>
        <w:t>36</w:t>
      </w:r>
      <w:r w:rsidR="0093491E" w:rsidRPr="00F342FD">
        <w:rPr>
          <w:b/>
        </w:rPr>
        <w:t>:</w:t>
      </w:r>
      <w:r w:rsidR="007E698B" w:rsidRPr="00F342FD">
        <w:rPr>
          <w:b/>
        </w:rPr>
        <w:t xml:space="preserve"> </w:t>
      </w:r>
      <w:r w:rsidRPr="00F342FD">
        <w:rPr>
          <w:b/>
        </w:rPr>
        <w:t>Progression rates by IDACI quintile</w:t>
      </w:r>
    </w:p>
    <w:p w14:paraId="5F77722C" w14:textId="77777777" w:rsidR="0093491E" w:rsidRPr="00A52AEE" w:rsidRDefault="0093491E" w:rsidP="00A52AEE"/>
    <w:tbl>
      <w:tblPr>
        <w:tblW w:w="8940" w:type="dxa"/>
        <w:tblInd w:w="118" w:type="dxa"/>
        <w:tblLook w:val="04A0" w:firstRow="1" w:lastRow="0" w:firstColumn="1" w:lastColumn="0" w:noHBand="0" w:noVBand="1"/>
      </w:tblPr>
      <w:tblGrid>
        <w:gridCol w:w="2825"/>
        <w:gridCol w:w="1635"/>
        <w:gridCol w:w="1120"/>
        <w:gridCol w:w="1120"/>
        <w:gridCol w:w="1120"/>
        <w:gridCol w:w="1120"/>
      </w:tblGrid>
      <w:tr w:rsidR="00F342FD" w:rsidRPr="00F342FD" w14:paraId="26287C14" w14:textId="77777777" w:rsidTr="00053A52">
        <w:trPr>
          <w:trHeight w:val="330"/>
        </w:trPr>
        <w:tc>
          <w:tcPr>
            <w:tcW w:w="2825" w:type="dxa"/>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6315165A" w14:textId="483AE479" w:rsidR="00775234" w:rsidRPr="00F342FD" w:rsidRDefault="00775234" w:rsidP="00F342FD">
            <w:pPr>
              <w:rPr>
                <w:b/>
                <w:color w:val="FFFFFF" w:themeColor="background1"/>
                <w:lang w:eastAsia="en-GB"/>
              </w:rPr>
            </w:pPr>
            <w:r w:rsidRPr="00F342FD">
              <w:rPr>
                <w:b/>
                <w:color w:val="FFFFFF" w:themeColor="background1"/>
                <w:lang w:eastAsia="en-GB"/>
              </w:rPr>
              <w:t>IDACI quintile</w:t>
            </w:r>
            <w:r w:rsidR="00F342FD">
              <w:rPr>
                <w:b/>
                <w:color w:val="FFFFFF" w:themeColor="background1"/>
                <w:lang w:eastAsia="en-GB"/>
              </w:rPr>
              <w:t>s</w:t>
            </w:r>
          </w:p>
        </w:tc>
        <w:tc>
          <w:tcPr>
            <w:tcW w:w="6115" w:type="dxa"/>
            <w:gridSpan w:val="5"/>
            <w:tcBorders>
              <w:top w:val="single" w:sz="8" w:space="0" w:color="auto"/>
              <w:left w:val="nil"/>
              <w:bottom w:val="single" w:sz="8" w:space="0" w:color="auto"/>
              <w:right w:val="single" w:sz="8" w:space="0" w:color="000000"/>
            </w:tcBorders>
            <w:shd w:val="clear" w:color="auto" w:fill="1F4E79" w:themeFill="accent1" w:themeFillShade="80"/>
            <w:noWrap/>
            <w:vAlign w:val="center"/>
            <w:hideMark/>
          </w:tcPr>
          <w:p w14:paraId="3B0767DE" w14:textId="77777777" w:rsidR="00775234" w:rsidRPr="00F342FD" w:rsidRDefault="00775234" w:rsidP="00F342FD">
            <w:pPr>
              <w:jc w:val="center"/>
              <w:rPr>
                <w:b/>
                <w:color w:val="FFFFFF" w:themeColor="background1"/>
                <w:lang w:eastAsia="en-GB"/>
              </w:rPr>
            </w:pPr>
            <w:r w:rsidRPr="00F342FD">
              <w:rPr>
                <w:b/>
                <w:color w:val="FFFFFF" w:themeColor="background1"/>
                <w:lang w:eastAsia="en-GB"/>
              </w:rPr>
              <w:t>Immediate HE progression rate</w:t>
            </w:r>
          </w:p>
        </w:tc>
      </w:tr>
      <w:tr w:rsidR="00F342FD" w:rsidRPr="00F342FD" w14:paraId="527CCD29" w14:textId="77777777" w:rsidTr="00053A52">
        <w:trPr>
          <w:trHeight w:val="610"/>
        </w:trPr>
        <w:tc>
          <w:tcPr>
            <w:tcW w:w="2825" w:type="dxa"/>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7A2CC93A" w14:textId="77777777" w:rsidR="00775234" w:rsidRPr="00F342FD" w:rsidRDefault="00775234" w:rsidP="00F342FD">
            <w:pPr>
              <w:jc w:val="center"/>
              <w:rPr>
                <w:b/>
                <w:color w:val="FFFFFF" w:themeColor="background1"/>
                <w:lang w:eastAsia="en-GB"/>
              </w:rPr>
            </w:pPr>
          </w:p>
        </w:tc>
        <w:tc>
          <w:tcPr>
            <w:tcW w:w="1635" w:type="dxa"/>
            <w:tcBorders>
              <w:top w:val="nil"/>
              <w:left w:val="nil"/>
              <w:bottom w:val="single" w:sz="8" w:space="0" w:color="auto"/>
              <w:right w:val="single" w:sz="8" w:space="0" w:color="auto"/>
            </w:tcBorders>
            <w:shd w:val="clear" w:color="auto" w:fill="1F4E79" w:themeFill="accent1" w:themeFillShade="80"/>
            <w:vAlign w:val="center"/>
            <w:hideMark/>
          </w:tcPr>
          <w:p w14:paraId="768A12DF" w14:textId="77777777" w:rsidR="00053A52" w:rsidRDefault="00053A52" w:rsidP="00053A52">
            <w:pPr>
              <w:rPr>
                <w:b/>
                <w:color w:val="FFFFFF" w:themeColor="background1"/>
                <w:lang w:eastAsia="en-GB"/>
              </w:rPr>
            </w:pPr>
            <w:r>
              <w:rPr>
                <w:b/>
                <w:color w:val="FFFFFF" w:themeColor="background1"/>
                <w:lang w:eastAsia="en-GB"/>
              </w:rPr>
              <w:t>I</w:t>
            </w:r>
            <w:r w:rsidR="00775234" w:rsidRPr="00F342FD">
              <w:rPr>
                <w:b/>
                <w:color w:val="FFFFFF" w:themeColor="background1"/>
                <w:lang w:eastAsia="en-GB"/>
              </w:rPr>
              <w:t xml:space="preserve">nto HE </w:t>
            </w:r>
          </w:p>
          <w:p w14:paraId="2330BE97" w14:textId="2A02F1FE" w:rsidR="00775234" w:rsidRPr="00F342FD" w:rsidRDefault="00775234" w:rsidP="00053A52">
            <w:pPr>
              <w:rPr>
                <w:b/>
                <w:color w:val="FFFFFF" w:themeColor="background1"/>
                <w:lang w:eastAsia="en-GB"/>
              </w:rPr>
            </w:pPr>
            <w:r w:rsidRPr="00F342FD">
              <w:rPr>
                <w:b/>
                <w:color w:val="FFFFFF" w:themeColor="background1"/>
                <w:lang w:eastAsia="en-GB"/>
              </w:rPr>
              <w:t>2008-09</w:t>
            </w:r>
          </w:p>
        </w:tc>
        <w:tc>
          <w:tcPr>
            <w:tcW w:w="1120" w:type="dxa"/>
            <w:tcBorders>
              <w:top w:val="nil"/>
              <w:left w:val="nil"/>
              <w:bottom w:val="single" w:sz="8" w:space="0" w:color="auto"/>
              <w:right w:val="single" w:sz="8" w:space="0" w:color="auto"/>
            </w:tcBorders>
            <w:shd w:val="clear" w:color="auto" w:fill="1F4E79" w:themeFill="accent1" w:themeFillShade="80"/>
            <w:vAlign w:val="center"/>
            <w:hideMark/>
          </w:tcPr>
          <w:p w14:paraId="200C7EE6" w14:textId="473B2F95" w:rsidR="00775234" w:rsidRPr="00F342FD" w:rsidRDefault="00053A52" w:rsidP="00053A52">
            <w:pPr>
              <w:jc w:val="center"/>
              <w:rPr>
                <w:b/>
                <w:color w:val="FFFFFF" w:themeColor="background1"/>
                <w:lang w:eastAsia="en-GB"/>
              </w:rPr>
            </w:pPr>
            <w:r>
              <w:rPr>
                <w:b/>
                <w:color w:val="FFFFFF" w:themeColor="background1"/>
                <w:lang w:eastAsia="en-GB"/>
              </w:rPr>
              <w:t>I</w:t>
            </w:r>
            <w:r w:rsidR="00775234" w:rsidRPr="00F342FD">
              <w:rPr>
                <w:b/>
                <w:color w:val="FFFFFF" w:themeColor="background1"/>
                <w:lang w:eastAsia="en-GB"/>
              </w:rPr>
              <w:t>nto HE 2009-10</w:t>
            </w:r>
          </w:p>
        </w:tc>
        <w:tc>
          <w:tcPr>
            <w:tcW w:w="1120" w:type="dxa"/>
            <w:tcBorders>
              <w:top w:val="nil"/>
              <w:left w:val="nil"/>
              <w:bottom w:val="single" w:sz="8" w:space="0" w:color="auto"/>
              <w:right w:val="single" w:sz="8" w:space="0" w:color="auto"/>
            </w:tcBorders>
            <w:shd w:val="clear" w:color="auto" w:fill="1F4E79" w:themeFill="accent1" w:themeFillShade="80"/>
            <w:vAlign w:val="center"/>
            <w:hideMark/>
          </w:tcPr>
          <w:p w14:paraId="1A6D0171" w14:textId="6CA71205" w:rsidR="00775234" w:rsidRPr="00F342FD" w:rsidRDefault="00053A52" w:rsidP="00053A52">
            <w:pPr>
              <w:jc w:val="center"/>
              <w:rPr>
                <w:b/>
                <w:color w:val="FFFFFF" w:themeColor="background1"/>
                <w:lang w:eastAsia="en-GB"/>
              </w:rPr>
            </w:pPr>
            <w:r>
              <w:rPr>
                <w:b/>
                <w:color w:val="FFFFFF" w:themeColor="background1"/>
                <w:lang w:eastAsia="en-GB"/>
              </w:rPr>
              <w:t>I</w:t>
            </w:r>
            <w:r w:rsidR="00775234" w:rsidRPr="00F342FD">
              <w:rPr>
                <w:b/>
                <w:color w:val="FFFFFF" w:themeColor="background1"/>
                <w:lang w:eastAsia="en-GB"/>
              </w:rPr>
              <w:t>nto HE 2010-11</w:t>
            </w:r>
          </w:p>
        </w:tc>
        <w:tc>
          <w:tcPr>
            <w:tcW w:w="1120" w:type="dxa"/>
            <w:tcBorders>
              <w:top w:val="nil"/>
              <w:left w:val="nil"/>
              <w:bottom w:val="single" w:sz="8" w:space="0" w:color="auto"/>
              <w:right w:val="single" w:sz="8" w:space="0" w:color="auto"/>
            </w:tcBorders>
            <w:shd w:val="clear" w:color="auto" w:fill="1F4E79" w:themeFill="accent1" w:themeFillShade="80"/>
            <w:vAlign w:val="center"/>
            <w:hideMark/>
          </w:tcPr>
          <w:p w14:paraId="62DD1541" w14:textId="10FD03EA" w:rsidR="00775234" w:rsidRPr="00F342FD" w:rsidRDefault="00053A52" w:rsidP="00053A52">
            <w:pPr>
              <w:jc w:val="center"/>
              <w:rPr>
                <w:b/>
                <w:color w:val="FFFFFF" w:themeColor="background1"/>
                <w:lang w:eastAsia="en-GB"/>
              </w:rPr>
            </w:pPr>
            <w:r>
              <w:rPr>
                <w:b/>
                <w:color w:val="FFFFFF" w:themeColor="background1"/>
                <w:lang w:eastAsia="en-GB"/>
              </w:rPr>
              <w:t>I</w:t>
            </w:r>
            <w:r w:rsidR="00775234" w:rsidRPr="00F342FD">
              <w:rPr>
                <w:b/>
                <w:color w:val="FFFFFF" w:themeColor="background1"/>
                <w:lang w:eastAsia="en-GB"/>
              </w:rPr>
              <w:t>nto HE 2011-12</w:t>
            </w:r>
          </w:p>
        </w:tc>
        <w:tc>
          <w:tcPr>
            <w:tcW w:w="1120" w:type="dxa"/>
            <w:tcBorders>
              <w:top w:val="nil"/>
              <w:left w:val="nil"/>
              <w:bottom w:val="single" w:sz="8" w:space="0" w:color="auto"/>
              <w:right w:val="single" w:sz="8" w:space="0" w:color="auto"/>
            </w:tcBorders>
            <w:shd w:val="clear" w:color="auto" w:fill="1F4E79" w:themeFill="accent1" w:themeFillShade="80"/>
            <w:vAlign w:val="center"/>
            <w:hideMark/>
          </w:tcPr>
          <w:p w14:paraId="56854A36" w14:textId="7857A8B7" w:rsidR="00775234" w:rsidRPr="00F342FD" w:rsidRDefault="00053A52" w:rsidP="00053A52">
            <w:pPr>
              <w:jc w:val="center"/>
              <w:rPr>
                <w:b/>
                <w:color w:val="FFFFFF" w:themeColor="background1"/>
                <w:lang w:eastAsia="en-GB"/>
              </w:rPr>
            </w:pPr>
            <w:r>
              <w:rPr>
                <w:b/>
                <w:color w:val="FFFFFF" w:themeColor="background1"/>
                <w:lang w:eastAsia="en-GB"/>
              </w:rPr>
              <w:t>I</w:t>
            </w:r>
            <w:r w:rsidR="00775234" w:rsidRPr="00F342FD">
              <w:rPr>
                <w:b/>
                <w:color w:val="FFFFFF" w:themeColor="background1"/>
                <w:lang w:eastAsia="en-GB"/>
              </w:rPr>
              <w:t>nto HE 2012/13</w:t>
            </w:r>
          </w:p>
        </w:tc>
      </w:tr>
      <w:tr w:rsidR="00775234" w:rsidRPr="00A52AEE" w14:paraId="79C9E376"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18D78C0B" w14:textId="77777777" w:rsidR="00775234" w:rsidRPr="0022142D" w:rsidRDefault="00775234" w:rsidP="00A52AEE">
            <w:pPr>
              <w:rPr>
                <w:b/>
                <w:lang w:eastAsia="en-GB"/>
              </w:rPr>
            </w:pPr>
            <w:r w:rsidRPr="0022142D">
              <w:rPr>
                <w:b/>
                <w:lang w:eastAsia="en-GB"/>
              </w:rPr>
              <w:t>Q1 - disadvantaged</w:t>
            </w:r>
          </w:p>
        </w:tc>
        <w:tc>
          <w:tcPr>
            <w:tcW w:w="1635" w:type="dxa"/>
            <w:tcBorders>
              <w:top w:val="nil"/>
              <w:left w:val="nil"/>
              <w:bottom w:val="single" w:sz="8" w:space="0" w:color="auto"/>
              <w:right w:val="single" w:sz="8" w:space="0" w:color="auto"/>
            </w:tcBorders>
            <w:shd w:val="clear" w:color="000000" w:fill="FFFFFF"/>
            <w:noWrap/>
            <w:vAlign w:val="center"/>
            <w:hideMark/>
          </w:tcPr>
          <w:p w14:paraId="202435EC" w14:textId="77777777" w:rsidR="00775234" w:rsidRPr="00A52AEE" w:rsidRDefault="00775234" w:rsidP="00053A52">
            <w:pPr>
              <w:jc w:val="right"/>
              <w:rPr>
                <w:lang w:eastAsia="en-GB"/>
              </w:rPr>
            </w:pPr>
            <w:r w:rsidRPr="00A52AEE">
              <w:rPr>
                <w:lang w:eastAsia="en-GB"/>
              </w:rPr>
              <w:t>48%</w:t>
            </w:r>
          </w:p>
        </w:tc>
        <w:tc>
          <w:tcPr>
            <w:tcW w:w="1120" w:type="dxa"/>
            <w:tcBorders>
              <w:top w:val="nil"/>
              <w:left w:val="nil"/>
              <w:bottom w:val="single" w:sz="8" w:space="0" w:color="auto"/>
              <w:right w:val="single" w:sz="8" w:space="0" w:color="auto"/>
            </w:tcBorders>
            <w:shd w:val="clear" w:color="000000" w:fill="FFFFFF"/>
            <w:noWrap/>
            <w:vAlign w:val="center"/>
            <w:hideMark/>
          </w:tcPr>
          <w:p w14:paraId="283573DB" w14:textId="77777777" w:rsidR="00775234" w:rsidRPr="00A52AEE" w:rsidRDefault="00775234" w:rsidP="00053A52">
            <w:pPr>
              <w:jc w:val="right"/>
              <w:rPr>
                <w:lang w:eastAsia="en-GB"/>
              </w:rPr>
            </w:pPr>
            <w:r w:rsidRPr="00A52AEE">
              <w:rPr>
                <w:lang w:eastAsia="en-GB"/>
              </w:rPr>
              <w:t>46%</w:t>
            </w:r>
          </w:p>
        </w:tc>
        <w:tc>
          <w:tcPr>
            <w:tcW w:w="1120" w:type="dxa"/>
            <w:tcBorders>
              <w:top w:val="nil"/>
              <w:left w:val="nil"/>
              <w:bottom w:val="single" w:sz="8" w:space="0" w:color="auto"/>
              <w:right w:val="single" w:sz="8" w:space="0" w:color="auto"/>
            </w:tcBorders>
            <w:shd w:val="clear" w:color="000000" w:fill="FFFFFF"/>
            <w:noWrap/>
            <w:vAlign w:val="center"/>
            <w:hideMark/>
          </w:tcPr>
          <w:p w14:paraId="25AA5939" w14:textId="77777777" w:rsidR="00775234" w:rsidRPr="00A52AEE" w:rsidRDefault="00775234" w:rsidP="00053A52">
            <w:pPr>
              <w:jc w:val="right"/>
              <w:rPr>
                <w:lang w:eastAsia="en-GB"/>
              </w:rPr>
            </w:pPr>
            <w:r w:rsidRPr="00A52AEE">
              <w:rPr>
                <w:lang w:eastAsia="en-GB"/>
              </w:rPr>
              <w:t>45%</w:t>
            </w:r>
          </w:p>
        </w:tc>
        <w:tc>
          <w:tcPr>
            <w:tcW w:w="1120" w:type="dxa"/>
            <w:tcBorders>
              <w:top w:val="nil"/>
              <w:left w:val="nil"/>
              <w:bottom w:val="single" w:sz="8" w:space="0" w:color="auto"/>
              <w:right w:val="single" w:sz="8" w:space="0" w:color="auto"/>
            </w:tcBorders>
            <w:shd w:val="clear" w:color="000000" w:fill="FFFFFF"/>
            <w:noWrap/>
            <w:vAlign w:val="center"/>
            <w:hideMark/>
          </w:tcPr>
          <w:p w14:paraId="132DB02F" w14:textId="77777777" w:rsidR="00775234" w:rsidRPr="00A52AEE" w:rsidRDefault="00775234" w:rsidP="00053A52">
            <w:pPr>
              <w:jc w:val="right"/>
              <w:rPr>
                <w:lang w:eastAsia="en-GB"/>
              </w:rPr>
            </w:pPr>
            <w:r w:rsidRPr="00A52AEE">
              <w:rPr>
                <w:lang w:eastAsia="en-GB"/>
              </w:rPr>
              <w:t>47%</w:t>
            </w:r>
          </w:p>
        </w:tc>
        <w:tc>
          <w:tcPr>
            <w:tcW w:w="1120" w:type="dxa"/>
            <w:tcBorders>
              <w:top w:val="nil"/>
              <w:left w:val="nil"/>
              <w:bottom w:val="single" w:sz="8" w:space="0" w:color="auto"/>
              <w:right w:val="single" w:sz="8" w:space="0" w:color="auto"/>
            </w:tcBorders>
            <w:shd w:val="clear" w:color="000000" w:fill="FFFFFF"/>
            <w:noWrap/>
            <w:vAlign w:val="center"/>
            <w:hideMark/>
          </w:tcPr>
          <w:p w14:paraId="5ACCB1B2" w14:textId="77777777" w:rsidR="00775234" w:rsidRPr="00A52AEE" w:rsidRDefault="00775234" w:rsidP="00053A52">
            <w:pPr>
              <w:jc w:val="right"/>
              <w:rPr>
                <w:lang w:eastAsia="en-GB"/>
              </w:rPr>
            </w:pPr>
            <w:r w:rsidRPr="00A52AEE">
              <w:rPr>
                <w:lang w:eastAsia="en-GB"/>
              </w:rPr>
              <w:t>41%</w:t>
            </w:r>
          </w:p>
        </w:tc>
      </w:tr>
      <w:tr w:rsidR="00775234" w:rsidRPr="00A52AEE" w14:paraId="4929D1AF"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512811FD" w14:textId="77777777" w:rsidR="00775234" w:rsidRPr="0022142D" w:rsidRDefault="00775234" w:rsidP="00A52AEE">
            <w:pPr>
              <w:rPr>
                <w:b/>
                <w:lang w:eastAsia="en-GB"/>
              </w:rPr>
            </w:pPr>
            <w:r w:rsidRPr="0022142D">
              <w:rPr>
                <w:b/>
                <w:lang w:eastAsia="en-GB"/>
              </w:rPr>
              <w:t>Q2</w:t>
            </w:r>
          </w:p>
        </w:tc>
        <w:tc>
          <w:tcPr>
            <w:tcW w:w="1635" w:type="dxa"/>
            <w:tcBorders>
              <w:top w:val="nil"/>
              <w:left w:val="nil"/>
              <w:bottom w:val="single" w:sz="8" w:space="0" w:color="auto"/>
              <w:right w:val="single" w:sz="8" w:space="0" w:color="auto"/>
            </w:tcBorders>
            <w:shd w:val="clear" w:color="000000" w:fill="FFFFFF"/>
            <w:noWrap/>
            <w:vAlign w:val="center"/>
            <w:hideMark/>
          </w:tcPr>
          <w:p w14:paraId="0946F4F3" w14:textId="77777777" w:rsidR="00775234" w:rsidRPr="00A52AEE" w:rsidRDefault="00775234" w:rsidP="00053A52">
            <w:pPr>
              <w:jc w:val="right"/>
              <w:rPr>
                <w:lang w:eastAsia="en-GB"/>
              </w:rPr>
            </w:pPr>
            <w:r w:rsidRPr="00A52AEE">
              <w:rPr>
                <w:lang w:eastAsia="en-GB"/>
              </w:rPr>
              <w:t>42%</w:t>
            </w:r>
          </w:p>
        </w:tc>
        <w:tc>
          <w:tcPr>
            <w:tcW w:w="1120" w:type="dxa"/>
            <w:tcBorders>
              <w:top w:val="nil"/>
              <w:left w:val="nil"/>
              <w:bottom w:val="single" w:sz="8" w:space="0" w:color="auto"/>
              <w:right w:val="single" w:sz="8" w:space="0" w:color="auto"/>
            </w:tcBorders>
            <w:shd w:val="clear" w:color="000000" w:fill="FFFFFF"/>
            <w:noWrap/>
            <w:vAlign w:val="center"/>
            <w:hideMark/>
          </w:tcPr>
          <w:p w14:paraId="022FC02F" w14:textId="77777777" w:rsidR="00775234" w:rsidRPr="00A52AEE" w:rsidRDefault="00775234" w:rsidP="00053A52">
            <w:pPr>
              <w:jc w:val="right"/>
              <w:rPr>
                <w:lang w:eastAsia="en-GB"/>
              </w:rPr>
            </w:pPr>
            <w:r w:rsidRPr="00A52AEE">
              <w:rPr>
                <w:lang w:eastAsia="en-GB"/>
              </w:rPr>
              <w:t>39%</w:t>
            </w:r>
          </w:p>
        </w:tc>
        <w:tc>
          <w:tcPr>
            <w:tcW w:w="1120" w:type="dxa"/>
            <w:tcBorders>
              <w:top w:val="nil"/>
              <w:left w:val="nil"/>
              <w:bottom w:val="single" w:sz="8" w:space="0" w:color="auto"/>
              <w:right w:val="single" w:sz="8" w:space="0" w:color="auto"/>
            </w:tcBorders>
            <w:shd w:val="clear" w:color="000000" w:fill="FFFFFF"/>
            <w:noWrap/>
            <w:vAlign w:val="center"/>
            <w:hideMark/>
          </w:tcPr>
          <w:p w14:paraId="7CEC7D7F" w14:textId="77777777" w:rsidR="00775234" w:rsidRPr="00A52AEE" w:rsidRDefault="00775234" w:rsidP="00053A52">
            <w:pPr>
              <w:jc w:val="right"/>
              <w:rPr>
                <w:lang w:eastAsia="en-GB"/>
              </w:rPr>
            </w:pPr>
            <w:r w:rsidRPr="00A52AEE">
              <w:rPr>
                <w:lang w:eastAsia="en-GB"/>
              </w:rPr>
              <w:t>38%</w:t>
            </w:r>
          </w:p>
        </w:tc>
        <w:tc>
          <w:tcPr>
            <w:tcW w:w="1120" w:type="dxa"/>
            <w:tcBorders>
              <w:top w:val="nil"/>
              <w:left w:val="nil"/>
              <w:bottom w:val="single" w:sz="8" w:space="0" w:color="auto"/>
              <w:right w:val="single" w:sz="8" w:space="0" w:color="auto"/>
            </w:tcBorders>
            <w:shd w:val="clear" w:color="000000" w:fill="FFFFFF"/>
            <w:noWrap/>
            <w:vAlign w:val="center"/>
            <w:hideMark/>
          </w:tcPr>
          <w:p w14:paraId="17977AB6" w14:textId="77777777" w:rsidR="00775234" w:rsidRPr="00A52AEE" w:rsidRDefault="00775234" w:rsidP="00053A52">
            <w:pPr>
              <w:jc w:val="right"/>
              <w:rPr>
                <w:lang w:eastAsia="en-GB"/>
              </w:rPr>
            </w:pPr>
            <w:r w:rsidRPr="00A52AEE">
              <w:rPr>
                <w:lang w:eastAsia="en-GB"/>
              </w:rPr>
              <w:t>44%</w:t>
            </w:r>
          </w:p>
        </w:tc>
        <w:tc>
          <w:tcPr>
            <w:tcW w:w="1120" w:type="dxa"/>
            <w:tcBorders>
              <w:top w:val="nil"/>
              <w:left w:val="nil"/>
              <w:bottom w:val="single" w:sz="8" w:space="0" w:color="auto"/>
              <w:right w:val="single" w:sz="8" w:space="0" w:color="auto"/>
            </w:tcBorders>
            <w:shd w:val="clear" w:color="000000" w:fill="FFFFFF"/>
            <w:noWrap/>
            <w:vAlign w:val="center"/>
            <w:hideMark/>
          </w:tcPr>
          <w:p w14:paraId="294B4F31" w14:textId="77777777" w:rsidR="00775234" w:rsidRPr="00A52AEE" w:rsidRDefault="00775234" w:rsidP="00053A52">
            <w:pPr>
              <w:jc w:val="right"/>
              <w:rPr>
                <w:lang w:eastAsia="en-GB"/>
              </w:rPr>
            </w:pPr>
            <w:r w:rsidRPr="00A52AEE">
              <w:rPr>
                <w:lang w:eastAsia="en-GB"/>
              </w:rPr>
              <w:t>39%</w:t>
            </w:r>
          </w:p>
        </w:tc>
      </w:tr>
      <w:tr w:rsidR="00775234" w:rsidRPr="00A52AEE" w14:paraId="2F738530"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645DF9F8" w14:textId="77777777" w:rsidR="00775234" w:rsidRPr="0022142D" w:rsidRDefault="00775234" w:rsidP="00A52AEE">
            <w:pPr>
              <w:rPr>
                <w:b/>
                <w:lang w:eastAsia="en-GB"/>
              </w:rPr>
            </w:pPr>
            <w:r w:rsidRPr="0022142D">
              <w:rPr>
                <w:b/>
                <w:lang w:eastAsia="en-GB"/>
              </w:rPr>
              <w:t>Q3</w:t>
            </w:r>
          </w:p>
        </w:tc>
        <w:tc>
          <w:tcPr>
            <w:tcW w:w="1635" w:type="dxa"/>
            <w:tcBorders>
              <w:top w:val="nil"/>
              <w:left w:val="nil"/>
              <w:bottom w:val="single" w:sz="8" w:space="0" w:color="auto"/>
              <w:right w:val="single" w:sz="8" w:space="0" w:color="auto"/>
            </w:tcBorders>
            <w:shd w:val="clear" w:color="000000" w:fill="FFFFFF"/>
            <w:noWrap/>
            <w:vAlign w:val="center"/>
            <w:hideMark/>
          </w:tcPr>
          <w:p w14:paraId="044B7F4E" w14:textId="77777777" w:rsidR="00775234" w:rsidRPr="00A52AEE" w:rsidRDefault="00775234" w:rsidP="00053A52">
            <w:pPr>
              <w:jc w:val="right"/>
              <w:rPr>
                <w:lang w:eastAsia="en-GB"/>
              </w:rPr>
            </w:pPr>
            <w:r w:rsidRPr="00A52AEE">
              <w:rPr>
                <w:lang w:eastAsia="en-GB"/>
              </w:rPr>
              <w:t>35%</w:t>
            </w:r>
          </w:p>
        </w:tc>
        <w:tc>
          <w:tcPr>
            <w:tcW w:w="1120" w:type="dxa"/>
            <w:tcBorders>
              <w:top w:val="nil"/>
              <w:left w:val="nil"/>
              <w:bottom w:val="single" w:sz="8" w:space="0" w:color="auto"/>
              <w:right w:val="single" w:sz="8" w:space="0" w:color="auto"/>
            </w:tcBorders>
            <w:shd w:val="clear" w:color="000000" w:fill="FFFFFF"/>
            <w:noWrap/>
            <w:vAlign w:val="center"/>
            <w:hideMark/>
          </w:tcPr>
          <w:p w14:paraId="5F5F8F80" w14:textId="77777777" w:rsidR="00775234" w:rsidRPr="00A52AEE" w:rsidRDefault="00775234" w:rsidP="00053A52">
            <w:pPr>
              <w:jc w:val="right"/>
              <w:rPr>
                <w:lang w:eastAsia="en-GB"/>
              </w:rPr>
            </w:pPr>
            <w:r w:rsidRPr="00A52AEE">
              <w:rPr>
                <w:lang w:eastAsia="en-GB"/>
              </w:rPr>
              <w:t>33%</w:t>
            </w:r>
          </w:p>
        </w:tc>
        <w:tc>
          <w:tcPr>
            <w:tcW w:w="1120" w:type="dxa"/>
            <w:tcBorders>
              <w:top w:val="nil"/>
              <w:left w:val="nil"/>
              <w:bottom w:val="single" w:sz="8" w:space="0" w:color="auto"/>
              <w:right w:val="single" w:sz="8" w:space="0" w:color="auto"/>
            </w:tcBorders>
            <w:shd w:val="clear" w:color="000000" w:fill="FFFFFF"/>
            <w:noWrap/>
            <w:vAlign w:val="center"/>
            <w:hideMark/>
          </w:tcPr>
          <w:p w14:paraId="70111C3B" w14:textId="77777777" w:rsidR="00775234" w:rsidRPr="00A52AEE" w:rsidRDefault="00775234" w:rsidP="00053A52">
            <w:pPr>
              <w:jc w:val="right"/>
              <w:rPr>
                <w:lang w:eastAsia="en-GB"/>
              </w:rPr>
            </w:pPr>
            <w:r w:rsidRPr="00A52AEE">
              <w:rPr>
                <w:lang w:eastAsia="en-GB"/>
              </w:rPr>
              <w:t>33%</w:t>
            </w:r>
          </w:p>
        </w:tc>
        <w:tc>
          <w:tcPr>
            <w:tcW w:w="1120" w:type="dxa"/>
            <w:tcBorders>
              <w:top w:val="nil"/>
              <w:left w:val="nil"/>
              <w:bottom w:val="single" w:sz="8" w:space="0" w:color="auto"/>
              <w:right w:val="single" w:sz="8" w:space="0" w:color="auto"/>
            </w:tcBorders>
            <w:shd w:val="clear" w:color="000000" w:fill="FFFFFF"/>
            <w:noWrap/>
            <w:vAlign w:val="center"/>
            <w:hideMark/>
          </w:tcPr>
          <w:p w14:paraId="5B74F180" w14:textId="77777777" w:rsidR="00775234" w:rsidRPr="00A52AEE" w:rsidRDefault="00775234" w:rsidP="00053A52">
            <w:pPr>
              <w:jc w:val="right"/>
              <w:rPr>
                <w:lang w:eastAsia="en-GB"/>
              </w:rPr>
            </w:pPr>
            <w:r w:rsidRPr="00A52AEE">
              <w:rPr>
                <w:lang w:eastAsia="en-GB"/>
              </w:rPr>
              <w:t>38%</w:t>
            </w:r>
          </w:p>
        </w:tc>
        <w:tc>
          <w:tcPr>
            <w:tcW w:w="1120" w:type="dxa"/>
            <w:tcBorders>
              <w:top w:val="nil"/>
              <w:left w:val="nil"/>
              <w:bottom w:val="single" w:sz="8" w:space="0" w:color="auto"/>
              <w:right w:val="single" w:sz="8" w:space="0" w:color="auto"/>
            </w:tcBorders>
            <w:shd w:val="clear" w:color="000000" w:fill="FFFFFF"/>
            <w:noWrap/>
            <w:vAlign w:val="center"/>
            <w:hideMark/>
          </w:tcPr>
          <w:p w14:paraId="3061B542" w14:textId="77777777" w:rsidR="00775234" w:rsidRPr="00A52AEE" w:rsidRDefault="00775234" w:rsidP="00053A52">
            <w:pPr>
              <w:jc w:val="right"/>
              <w:rPr>
                <w:lang w:eastAsia="en-GB"/>
              </w:rPr>
            </w:pPr>
            <w:r w:rsidRPr="00A52AEE">
              <w:rPr>
                <w:lang w:eastAsia="en-GB"/>
              </w:rPr>
              <w:t>34%</w:t>
            </w:r>
          </w:p>
        </w:tc>
      </w:tr>
      <w:tr w:rsidR="00775234" w:rsidRPr="00A52AEE" w14:paraId="3D822CC1"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7DC93E9A" w14:textId="77777777" w:rsidR="00775234" w:rsidRPr="0022142D" w:rsidRDefault="00775234" w:rsidP="00A52AEE">
            <w:pPr>
              <w:rPr>
                <w:b/>
                <w:lang w:eastAsia="en-GB"/>
              </w:rPr>
            </w:pPr>
            <w:r w:rsidRPr="0022142D">
              <w:rPr>
                <w:b/>
                <w:lang w:eastAsia="en-GB"/>
              </w:rPr>
              <w:t>Q4</w:t>
            </w:r>
          </w:p>
        </w:tc>
        <w:tc>
          <w:tcPr>
            <w:tcW w:w="1635" w:type="dxa"/>
            <w:tcBorders>
              <w:top w:val="nil"/>
              <w:left w:val="nil"/>
              <w:bottom w:val="single" w:sz="8" w:space="0" w:color="auto"/>
              <w:right w:val="single" w:sz="8" w:space="0" w:color="auto"/>
            </w:tcBorders>
            <w:shd w:val="clear" w:color="000000" w:fill="FFFFFF"/>
            <w:noWrap/>
            <w:vAlign w:val="center"/>
            <w:hideMark/>
          </w:tcPr>
          <w:p w14:paraId="2C7394AE" w14:textId="77777777" w:rsidR="00775234" w:rsidRPr="00A52AEE" w:rsidRDefault="00775234" w:rsidP="00053A52">
            <w:pPr>
              <w:jc w:val="right"/>
              <w:rPr>
                <w:lang w:eastAsia="en-GB"/>
              </w:rPr>
            </w:pPr>
            <w:r w:rsidRPr="00A52AEE">
              <w:rPr>
                <w:lang w:eastAsia="en-GB"/>
              </w:rPr>
              <w:t>30%</w:t>
            </w:r>
          </w:p>
        </w:tc>
        <w:tc>
          <w:tcPr>
            <w:tcW w:w="1120" w:type="dxa"/>
            <w:tcBorders>
              <w:top w:val="nil"/>
              <w:left w:val="nil"/>
              <w:bottom w:val="single" w:sz="8" w:space="0" w:color="auto"/>
              <w:right w:val="single" w:sz="8" w:space="0" w:color="auto"/>
            </w:tcBorders>
            <w:shd w:val="clear" w:color="000000" w:fill="FFFFFF"/>
            <w:noWrap/>
            <w:vAlign w:val="center"/>
            <w:hideMark/>
          </w:tcPr>
          <w:p w14:paraId="691B9F11" w14:textId="77777777" w:rsidR="00775234" w:rsidRPr="00A52AEE" w:rsidRDefault="00775234" w:rsidP="00053A52">
            <w:pPr>
              <w:jc w:val="right"/>
              <w:rPr>
                <w:lang w:eastAsia="en-GB"/>
              </w:rPr>
            </w:pPr>
            <w:r w:rsidRPr="00A52AEE">
              <w:rPr>
                <w:lang w:eastAsia="en-GB"/>
              </w:rPr>
              <w:t>28%</w:t>
            </w:r>
          </w:p>
        </w:tc>
        <w:tc>
          <w:tcPr>
            <w:tcW w:w="1120" w:type="dxa"/>
            <w:tcBorders>
              <w:top w:val="nil"/>
              <w:left w:val="nil"/>
              <w:bottom w:val="single" w:sz="8" w:space="0" w:color="auto"/>
              <w:right w:val="single" w:sz="8" w:space="0" w:color="auto"/>
            </w:tcBorders>
            <w:shd w:val="clear" w:color="000000" w:fill="FFFFFF"/>
            <w:noWrap/>
            <w:vAlign w:val="center"/>
            <w:hideMark/>
          </w:tcPr>
          <w:p w14:paraId="63B2306E" w14:textId="77777777" w:rsidR="00775234" w:rsidRPr="00A52AEE" w:rsidRDefault="00775234" w:rsidP="00053A52">
            <w:pPr>
              <w:jc w:val="right"/>
              <w:rPr>
                <w:lang w:eastAsia="en-GB"/>
              </w:rPr>
            </w:pPr>
            <w:r w:rsidRPr="00A52AEE">
              <w:rPr>
                <w:lang w:eastAsia="en-GB"/>
              </w:rPr>
              <w:t>28%</w:t>
            </w:r>
          </w:p>
        </w:tc>
        <w:tc>
          <w:tcPr>
            <w:tcW w:w="1120" w:type="dxa"/>
            <w:tcBorders>
              <w:top w:val="nil"/>
              <w:left w:val="nil"/>
              <w:bottom w:val="single" w:sz="8" w:space="0" w:color="auto"/>
              <w:right w:val="single" w:sz="8" w:space="0" w:color="auto"/>
            </w:tcBorders>
            <w:shd w:val="clear" w:color="000000" w:fill="FFFFFF"/>
            <w:noWrap/>
            <w:vAlign w:val="center"/>
            <w:hideMark/>
          </w:tcPr>
          <w:p w14:paraId="45F8E352" w14:textId="77777777" w:rsidR="00775234" w:rsidRPr="00A52AEE" w:rsidRDefault="00775234" w:rsidP="00053A52">
            <w:pPr>
              <w:jc w:val="right"/>
              <w:rPr>
                <w:lang w:eastAsia="en-GB"/>
              </w:rPr>
            </w:pPr>
            <w:r w:rsidRPr="00A52AEE">
              <w:rPr>
                <w:lang w:eastAsia="en-GB"/>
              </w:rPr>
              <w:t>33%</w:t>
            </w:r>
          </w:p>
        </w:tc>
        <w:tc>
          <w:tcPr>
            <w:tcW w:w="1120" w:type="dxa"/>
            <w:tcBorders>
              <w:top w:val="nil"/>
              <w:left w:val="nil"/>
              <w:bottom w:val="single" w:sz="8" w:space="0" w:color="auto"/>
              <w:right w:val="single" w:sz="8" w:space="0" w:color="auto"/>
            </w:tcBorders>
            <w:shd w:val="clear" w:color="000000" w:fill="FFFFFF"/>
            <w:noWrap/>
            <w:vAlign w:val="center"/>
            <w:hideMark/>
          </w:tcPr>
          <w:p w14:paraId="7835A830" w14:textId="77777777" w:rsidR="00775234" w:rsidRPr="00A52AEE" w:rsidRDefault="00775234" w:rsidP="00053A52">
            <w:pPr>
              <w:jc w:val="right"/>
              <w:rPr>
                <w:lang w:eastAsia="en-GB"/>
              </w:rPr>
            </w:pPr>
            <w:r w:rsidRPr="00A52AEE">
              <w:rPr>
                <w:lang w:eastAsia="en-GB"/>
              </w:rPr>
              <w:t>31%</w:t>
            </w:r>
          </w:p>
        </w:tc>
      </w:tr>
      <w:tr w:rsidR="00775234" w:rsidRPr="00A52AEE" w14:paraId="37F5153E"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45FBB092" w14:textId="77777777" w:rsidR="00775234" w:rsidRPr="0022142D" w:rsidRDefault="00775234" w:rsidP="00A52AEE">
            <w:pPr>
              <w:rPr>
                <w:b/>
                <w:lang w:eastAsia="en-GB"/>
              </w:rPr>
            </w:pPr>
            <w:r w:rsidRPr="0022142D">
              <w:rPr>
                <w:b/>
                <w:lang w:eastAsia="en-GB"/>
              </w:rPr>
              <w:t>Q5 - advantaged</w:t>
            </w:r>
          </w:p>
        </w:tc>
        <w:tc>
          <w:tcPr>
            <w:tcW w:w="1635" w:type="dxa"/>
            <w:tcBorders>
              <w:top w:val="nil"/>
              <w:left w:val="nil"/>
              <w:bottom w:val="single" w:sz="8" w:space="0" w:color="auto"/>
              <w:right w:val="single" w:sz="8" w:space="0" w:color="auto"/>
            </w:tcBorders>
            <w:shd w:val="clear" w:color="000000" w:fill="FFFFFF"/>
            <w:noWrap/>
            <w:vAlign w:val="center"/>
            <w:hideMark/>
          </w:tcPr>
          <w:p w14:paraId="63B19D50" w14:textId="77777777" w:rsidR="00775234" w:rsidRPr="00A52AEE" w:rsidRDefault="00775234" w:rsidP="00053A52">
            <w:pPr>
              <w:jc w:val="right"/>
              <w:rPr>
                <w:lang w:eastAsia="en-GB"/>
              </w:rPr>
            </w:pPr>
            <w:r w:rsidRPr="00A52AEE">
              <w:rPr>
                <w:lang w:eastAsia="en-GB"/>
              </w:rPr>
              <w:t>25%</w:t>
            </w:r>
          </w:p>
        </w:tc>
        <w:tc>
          <w:tcPr>
            <w:tcW w:w="1120" w:type="dxa"/>
            <w:tcBorders>
              <w:top w:val="nil"/>
              <w:left w:val="nil"/>
              <w:bottom w:val="single" w:sz="8" w:space="0" w:color="auto"/>
              <w:right w:val="single" w:sz="8" w:space="0" w:color="auto"/>
            </w:tcBorders>
            <w:shd w:val="clear" w:color="000000" w:fill="FFFFFF"/>
            <w:noWrap/>
            <w:vAlign w:val="center"/>
            <w:hideMark/>
          </w:tcPr>
          <w:p w14:paraId="2FED02D2" w14:textId="77777777" w:rsidR="00775234" w:rsidRPr="00A52AEE" w:rsidRDefault="00775234" w:rsidP="00053A52">
            <w:pPr>
              <w:jc w:val="right"/>
              <w:rPr>
                <w:lang w:eastAsia="en-GB"/>
              </w:rPr>
            </w:pPr>
            <w:r w:rsidRPr="00A52AEE">
              <w:rPr>
                <w:lang w:eastAsia="en-GB"/>
              </w:rPr>
              <w:t>28%</w:t>
            </w:r>
          </w:p>
        </w:tc>
        <w:tc>
          <w:tcPr>
            <w:tcW w:w="1120" w:type="dxa"/>
            <w:tcBorders>
              <w:top w:val="nil"/>
              <w:left w:val="nil"/>
              <w:bottom w:val="single" w:sz="8" w:space="0" w:color="auto"/>
              <w:right w:val="single" w:sz="8" w:space="0" w:color="auto"/>
            </w:tcBorders>
            <w:shd w:val="clear" w:color="000000" w:fill="FFFFFF"/>
            <w:noWrap/>
            <w:vAlign w:val="center"/>
            <w:hideMark/>
          </w:tcPr>
          <w:p w14:paraId="3291F653" w14:textId="77777777" w:rsidR="00775234" w:rsidRPr="00A52AEE" w:rsidRDefault="00775234" w:rsidP="00053A52">
            <w:pPr>
              <w:jc w:val="right"/>
              <w:rPr>
                <w:lang w:eastAsia="en-GB"/>
              </w:rPr>
            </w:pPr>
            <w:r w:rsidRPr="00A52AEE">
              <w:rPr>
                <w:lang w:eastAsia="en-GB"/>
              </w:rPr>
              <w:t>28%</w:t>
            </w:r>
          </w:p>
        </w:tc>
        <w:tc>
          <w:tcPr>
            <w:tcW w:w="1120" w:type="dxa"/>
            <w:tcBorders>
              <w:top w:val="nil"/>
              <w:left w:val="nil"/>
              <w:bottom w:val="single" w:sz="8" w:space="0" w:color="auto"/>
              <w:right w:val="single" w:sz="8" w:space="0" w:color="auto"/>
            </w:tcBorders>
            <w:shd w:val="clear" w:color="000000" w:fill="FFFFFF"/>
            <w:noWrap/>
            <w:vAlign w:val="center"/>
            <w:hideMark/>
          </w:tcPr>
          <w:p w14:paraId="24A3A54C" w14:textId="77777777" w:rsidR="00775234" w:rsidRPr="00A52AEE" w:rsidRDefault="00775234" w:rsidP="00053A52">
            <w:pPr>
              <w:jc w:val="right"/>
              <w:rPr>
                <w:lang w:eastAsia="en-GB"/>
              </w:rPr>
            </w:pPr>
            <w:r w:rsidRPr="00A52AEE">
              <w:rPr>
                <w:lang w:eastAsia="en-GB"/>
              </w:rPr>
              <w:t>32%</w:t>
            </w:r>
          </w:p>
        </w:tc>
        <w:tc>
          <w:tcPr>
            <w:tcW w:w="1120" w:type="dxa"/>
            <w:tcBorders>
              <w:top w:val="nil"/>
              <w:left w:val="nil"/>
              <w:bottom w:val="single" w:sz="8" w:space="0" w:color="auto"/>
              <w:right w:val="single" w:sz="8" w:space="0" w:color="auto"/>
            </w:tcBorders>
            <w:shd w:val="clear" w:color="000000" w:fill="FFFFFF"/>
            <w:noWrap/>
            <w:vAlign w:val="center"/>
            <w:hideMark/>
          </w:tcPr>
          <w:p w14:paraId="3509119A" w14:textId="77777777" w:rsidR="00775234" w:rsidRPr="00A52AEE" w:rsidRDefault="00775234" w:rsidP="00053A52">
            <w:pPr>
              <w:jc w:val="right"/>
              <w:rPr>
                <w:lang w:eastAsia="en-GB"/>
              </w:rPr>
            </w:pPr>
            <w:r w:rsidRPr="00A52AEE">
              <w:rPr>
                <w:lang w:eastAsia="en-GB"/>
              </w:rPr>
              <w:t>30%</w:t>
            </w:r>
          </w:p>
        </w:tc>
      </w:tr>
      <w:tr w:rsidR="00775234" w:rsidRPr="00A52AEE" w14:paraId="658DD479"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503CAC43" w14:textId="77777777" w:rsidR="00775234" w:rsidRPr="0022142D" w:rsidRDefault="00775234" w:rsidP="00A52AEE">
            <w:pPr>
              <w:rPr>
                <w:b/>
                <w:lang w:eastAsia="en-GB"/>
              </w:rPr>
            </w:pPr>
            <w:r w:rsidRPr="0022142D">
              <w:rPr>
                <w:b/>
                <w:lang w:eastAsia="en-GB"/>
              </w:rPr>
              <w:t>Unknown</w:t>
            </w:r>
          </w:p>
        </w:tc>
        <w:tc>
          <w:tcPr>
            <w:tcW w:w="1635" w:type="dxa"/>
            <w:tcBorders>
              <w:top w:val="nil"/>
              <w:left w:val="nil"/>
              <w:bottom w:val="single" w:sz="8" w:space="0" w:color="auto"/>
              <w:right w:val="single" w:sz="8" w:space="0" w:color="auto"/>
            </w:tcBorders>
            <w:shd w:val="clear" w:color="000000" w:fill="FFFFFF"/>
            <w:noWrap/>
            <w:vAlign w:val="center"/>
            <w:hideMark/>
          </w:tcPr>
          <w:p w14:paraId="42A95DC8" w14:textId="77777777" w:rsidR="00775234" w:rsidRPr="00A52AEE" w:rsidRDefault="00775234" w:rsidP="00053A52">
            <w:pPr>
              <w:jc w:val="right"/>
              <w:rPr>
                <w:lang w:eastAsia="en-GB"/>
              </w:rPr>
            </w:pPr>
            <w:r w:rsidRPr="00A52AEE">
              <w:rPr>
                <w:lang w:eastAsia="en-GB"/>
              </w:rPr>
              <w:t>15%</w:t>
            </w:r>
          </w:p>
        </w:tc>
        <w:tc>
          <w:tcPr>
            <w:tcW w:w="1120" w:type="dxa"/>
            <w:tcBorders>
              <w:top w:val="nil"/>
              <w:left w:val="nil"/>
              <w:bottom w:val="single" w:sz="8" w:space="0" w:color="auto"/>
              <w:right w:val="single" w:sz="8" w:space="0" w:color="auto"/>
            </w:tcBorders>
            <w:shd w:val="clear" w:color="000000" w:fill="FFFFFF"/>
            <w:noWrap/>
            <w:vAlign w:val="center"/>
            <w:hideMark/>
          </w:tcPr>
          <w:p w14:paraId="767F9A85" w14:textId="77777777" w:rsidR="00775234" w:rsidRPr="00A52AEE" w:rsidRDefault="00775234" w:rsidP="00053A52">
            <w:pPr>
              <w:jc w:val="right"/>
              <w:rPr>
                <w:lang w:eastAsia="en-GB"/>
              </w:rPr>
            </w:pPr>
            <w:r w:rsidRPr="00A52AEE">
              <w:rPr>
                <w:lang w:eastAsia="en-GB"/>
              </w:rPr>
              <w:t>16%</w:t>
            </w:r>
          </w:p>
        </w:tc>
        <w:tc>
          <w:tcPr>
            <w:tcW w:w="1120" w:type="dxa"/>
            <w:tcBorders>
              <w:top w:val="nil"/>
              <w:left w:val="nil"/>
              <w:bottom w:val="single" w:sz="8" w:space="0" w:color="auto"/>
              <w:right w:val="single" w:sz="8" w:space="0" w:color="auto"/>
            </w:tcBorders>
            <w:shd w:val="clear" w:color="000000" w:fill="FFFFFF"/>
            <w:noWrap/>
            <w:vAlign w:val="center"/>
            <w:hideMark/>
          </w:tcPr>
          <w:p w14:paraId="1857CA7E" w14:textId="77777777" w:rsidR="00775234" w:rsidRPr="00A52AEE" w:rsidRDefault="00775234" w:rsidP="00053A52">
            <w:pPr>
              <w:jc w:val="right"/>
              <w:rPr>
                <w:lang w:eastAsia="en-GB"/>
              </w:rPr>
            </w:pPr>
            <w:r w:rsidRPr="00A52AEE">
              <w:rPr>
                <w:lang w:eastAsia="en-GB"/>
              </w:rPr>
              <w:t>11%</w:t>
            </w:r>
          </w:p>
        </w:tc>
        <w:tc>
          <w:tcPr>
            <w:tcW w:w="1120" w:type="dxa"/>
            <w:tcBorders>
              <w:top w:val="nil"/>
              <w:left w:val="nil"/>
              <w:bottom w:val="single" w:sz="8" w:space="0" w:color="auto"/>
              <w:right w:val="single" w:sz="8" w:space="0" w:color="auto"/>
            </w:tcBorders>
            <w:shd w:val="clear" w:color="000000" w:fill="FFFFFF"/>
            <w:noWrap/>
            <w:vAlign w:val="center"/>
            <w:hideMark/>
          </w:tcPr>
          <w:p w14:paraId="7B000615" w14:textId="77777777" w:rsidR="00775234" w:rsidRPr="00A52AEE" w:rsidRDefault="00775234" w:rsidP="00053A52">
            <w:pPr>
              <w:jc w:val="right"/>
              <w:rPr>
                <w:lang w:eastAsia="en-GB"/>
              </w:rPr>
            </w:pPr>
            <w:r w:rsidRPr="00A52AEE">
              <w:rPr>
                <w:lang w:eastAsia="en-GB"/>
              </w:rPr>
              <w:t>26%</w:t>
            </w:r>
          </w:p>
        </w:tc>
        <w:tc>
          <w:tcPr>
            <w:tcW w:w="1120" w:type="dxa"/>
            <w:tcBorders>
              <w:top w:val="nil"/>
              <w:left w:val="nil"/>
              <w:bottom w:val="single" w:sz="8" w:space="0" w:color="auto"/>
              <w:right w:val="single" w:sz="8" w:space="0" w:color="auto"/>
            </w:tcBorders>
            <w:shd w:val="clear" w:color="000000" w:fill="FFFFFF"/>
            <w:noWrap/>
            <w:vAlign w:val="center"/>
            <w:hideMark/>
          </w:tcPr>
          <w:p w14:paraId="4AF64A51" w14:textId="77777777" w:rsidR="00775234" w:rsidRPr="00A52AEE" w:rsidRDefault="00775234" w:rsidP="00053A52">
            <w:pPr>
              <w:jc w:val="right"/>
              <w:rPr>
                <w:lang w:eastAsia="en-GB"/>
              </w:rPr>
            </w:pPr>
            <w:r w:rsidRPr="00A52AEE">
              <w:rPr>
                <w:lang w:eastAsia="en-GB"/>
              </w:rPr>
              <w:t>19%</w:t>
            </w:r>
          </w:p>
        </w:tc>
      </w:tr>
      <w:tr w:rsidR="00775234" w:rsidRPr="00A52AEE" w14:paraId="471AAD5B" w14:textId="77777777" w:rsidTr="00053A52">
        <w:trPr>
          <w:trHeight w:val="330"/>
        </w:trPr>
        <w:tc>
          <w:tcPr>
            <w:tcW w:w="2825" w:type="dxa"/>
            <w:tcBorders>
              <w:top w:val="nil"/>
              <w:left w:val="single" w:sz="8" w:space="0" w:color="auto"/>
              <w:bottom w:val="single" w:sz="8" w:space="0" w:color="auto"/>
              <w:right w:val="single" w:sz="8" w:space="0" w:color="auto"/>
            </w:tcBorders>
            <w:shd w:val="clear" w:color="000000" w:fill="FFFFFF"/>
            <w:noWrap/>
            <w:vAlign w:val="center"/>
            <w:hideMark/>
          </w:tcPr>
          <w:p w14:paraId="0D1D1800" w14:textId="77777777" w:rsidR="00775234" w:rsidRPr="0022142D" w:rsidRDefault="00775234" w:rsidP="00A52AEE">
            <w:pPr>
              <w:rPr>
                <w:b/>
                <w:lang w:eastAsia="en-GB"/>
              </w:rPr>
            </w:pPr>
            <w:r w:rsidRPr="0022142D">
              <w:rPr>
                <w:b/>
                <w:lang w:eastAsia="en-GB"/>
              </w:rPr>
              <w:t>Average progression rates</w:t>
            </w:r>
          </w:p>
        </w:tc>
        <w:tc>
          <w:tcPr>
            <w:tcW w:w="1635" w:type="dxa"/>
            <w:tcBorders>
              <w:top w:val="nil"/>
              <w:left w:val="nil"/>
              <w:bottom w:val="single" w:sz="8" w:space="0" w:color="auto"/>
              <w:right w:val="single" w:sz="8" w:space="0" w:color="auto"/>
            </w:tcBorders>
            <w:shd w:val="clear" w:color="000000" w:fill="FFFFFF"/>
            <w:noWrap/>
            <w:vAlign w:val="center"/>
            <w:hideMark/>
          </w:tcPr>
          <w:p w14:paraId="302E7D03" w14:textId="77777777" w:rsidR="00775234" w:rsidRPr="00A52AEE" w:rsidRDefault="00775234" w:rsidP="00053A52">
            <w:pPr>
              <w:jc w:val="right"/>
              <w:rPr>
                <w:lang w:eastAsia="en-GB"/>
              </w:rPr>
            </w:pPr>
            <w:r w:rsidRPr="00A52AEE">
              <w:rPr>
                <w:lang w:eastAsia="en-GB"/>
              </w:rPr>
              <w:t>42%</w:t>
            </w:r>
          </w:p>
        </w:tc>
        <w:tc>
          <w:tcPr>
            <w:tcW w:w="1120" w:type="dxa"/>
            <w:tcBorders>
              <w:top w:val="nil"/>
              <w:left w:val="nil"/>
              <w:bottom w:val="single" w:sz="8" w:space="0" w:color="auto"/>
              <w:right w:val="single" w:sz="8" w:space="0" w:color="auto"/>
            </w:tcBorders>
            <w:shd w:val="clear" w:color="000000" w:fill="FFFFFF"/>
            <w:noWrap/>
            <w:vAlign w:val="center"/>
            <w:hideMark/>
          </w:tcPr>
          <w:p w14:paraId="027E9ABC" w14:textId="77777777" w:rsidR="00775234" w:rsidRPr="00A52AEE" w:rsidRDefault="00775234" w:rsidP="00053A52">
            <w:pPr>
              <w:jc w:val="right"/>
              <w:rPr>
                <w:lang w:eastAsia="en-GB"/>
              </w:rPr>
            </w:pPr>
            <w:r w:rsidRPr="00A52AEE">
              <w:rPr>
                <w:lang w:eastAsia="en-GB"/>
              </w:rPr>
              <w:t>40%</w:t>
            </w:r>
          </w:p>
        </w:tc>
        <w:tc>
          <w:tcPr>
            <w:tcW w:w="1120" w:type="dxa"/>
            <w:tcBorders>
              <w:top w:val="nil"/>
              <w:left w:val="nil"/>
              <w:bottom w:val="single" w:sz="8" w:space="0" w:color="auto"/>
              <w:right w:val="single" w:sz="8" w:space="0" w:color="auto"/>
            </w:tcBorders>
            <w:shd w:val="clear" w:color="000000" w:fill="FFFFFF"/>
            <w:noWrap/>
            <w:vAlign w:val="center"/>
            <w:hideMark/>
          </w:tcPr>
          <w:p w14:paraId="4E02CC14" w14:textId="77777777" w:rsidR="00775234" w:rsidRPr="00A52AEE" w:rsidRDefault="00775234" w:rsidP="00053A52">
            <w:pPr>
              <w:jc w:val="right"/>
              <w:rPr>
                <w:lang w:eastAsia="en-GB"/>
              </w:rPr>
            </w:pPr>
            <w:r w:rsidRPr="00A52AEE">
              <w:rPr>
                <w:lang w:eastAsia="en-GB"/>
              </w:rPr>
              <w:t>39%</w:t>
            </w:r>
          </w:p>
        </w:tc>
        <w:tc>
          <w:tcPr>
            <w:tcW w:w="1120" w:type="dxa"/>
            <w:tcBorders>
              <w:top w:val="nil"/>
              <w:left w:val="nil"/>
              <w:bottom w:val="single" w:sz="8" w:space="0" w:color="auto"/>
              <w:right w:val="single" w:sz="8" w:space="0" w:color="auto"/>
            </w:tcBorders>
            <w:shd w:val="clear" w:color="000000" w:fill="FFFFFF"/>
            <w:noWrap/>
            <w:vAlign w:val="center"/>
            <w:hideMark/>
          </w:tcPr>
          <w:p w14:paraId="5C5BF46E" w14:textId="77777777" w:rsidR="00775234" w:rsidRPr="00A52AEE" w:rsidRDefault="00775234" w:rsidP="00053A52">
            <w:pPr>
              <w:jc w:val="right"/>
              <w:rPr>
                <w:lang w:eastAsia="en-GB"/>
              </w:rPr>
            </w:pPr>
            <w:r w:rsidRPr="00A52AEE">
              <w:rPr>
                <w:lang w:eastAsia="en-GB"/>
              </w:rPr>
              <w:t>43%</w:t>
            </w:r>
          </w:p>
        </w:tc>
        <w:tc>
          <w:tcPr>
            <w:tcW w:w="1120" w:type="dxa"/>
            <w:tcBorders>
              <w:top w:val="nil"/>
              <w:left w:val="nil"/>
              <w:bottom w:val="single" w:sz="8" w:space="0" w:color="auto"/>
              <w:right w:val="single" w:sz="8" w:space="0" w:color="auto"/>
            </w:tcBorders>
            <w:shd w:val="clear" w:color="000000" w:fill="FFFFFF"/>
            <w:noWrap/>
            <w:vAlign w:val="center"/>
            <w:hideMark/>
          </w:tcPr>
          <w:p w14:paraId="4EBD16A6" w14:textId="77777777" w:rsidR="00775234" w:rsidRPr="00A52AEE" w:rsidRDefault="00775234" w:rsidP="00053A52">
            <w:pPr>
              <w:jc w:val="right"/>
              <w:rPr>
                <w:lang w:eastAsia="en-GB"/>
              </w:rPr>
            </w:pPr>
            <w:r w:rsidRPr="00A52AEE">
              <w:rPr>
                <w:lang w:eastAsia="en-GB"/>
              </w:rPr>
              <w:t>38%</w:t>
            </w:r>
          </w:p>
        </w:tc>
      </w:tr>
    </w:tbl>
    <w:p w14:paraId="7563FF95" w14:textId="70D99849" w:rsidR="0093491E" w:rsidRPr="00A52AEE" w:rsidRDefault="00A268F4" w:rsidP="00A52AEE">
      <w:r w:rsidRPr="00A52AEE">
        <w:t xml:space="preserve"> </w:t>
      </w:r>
    </w:p>
    <w:p w14:paraId="1E9DEB09" w14:textId="5305C96A" w:rsidR="0019031A" w:rsidRPr="00A52AEE" w:rsidRDefault="00AE2C39" w:rsidP="008D527A">
      <w:pPr>
        <w:pStyle w:val="Heading2"/>
      </w:pPr>
      <w:bookmarkStart w:id="128" w:name="_Toc429151344"/>
      <w:r w:rsidRPr="00A52AEE">
        <w:t>5.20</w:t>
      </w:r>
      <w:r w:rsidR="0059233C" w:rsidRPr="00A52AEE">
        <w:tab/>
      </w:r>
      <w:r w:rsidR="00053A52">
        <w:tab/>
      </w:r>
      <w:r w:rsidR="0019031A" w:rsidRPr="00A52AEE">
        <w:t>HE providers</w:t>
      </w:r>
      <w:bookmarkEnd w:id="128"/>
    </w:p>
    <w:p w14:paraId="08CAF212" w14:textId="78B3F6E4" w:rsidR="0019031A" w:rsidRDefault="00053A52" w:rsidP="00A52AEE">
      <w:r>
        <w:t>T</w:t>
      </w:r>
      <w:r w:rsidR="0019031A" w:rsidRPr="00A52AEE">
        <w:t xml:space="preserve">able </w:t>
      </w:r>
      <w:r w:rsidR="004E52FE">
        <w:t>37</w:t>
      </w:r>
      <w:r w:rsidR="0019031A" w:rsidRPr="00A52AEE">
        <w:t>, the top 35 providers of prescribed HE study are detailed with numbers of entrants for each of the five tracked cohorts.</w:t>
      </w:r>
    </w:p>
    <w:p w14:paraId="23398A30" w14:textId="77777777" w:rsidR="00053A52" w:rsidRPr="00A52AEE" w:rsidRDefault="00053A52" w:rsidP="00A52AEE"/>
    <w:p w14:paraId="6134E483" w14:textId="77777777" w:rsidR="002F1965" w:rsidRDefault="002F1965" w:rsidP="00A52AEE">
      <w:pPr>
        <w:rPr>
          <w:b/>
        </w:rPr>
      </w:pPr>
    </w:p>
    <w:p w14:paraId="6C5AF898" w14:textId="77777777" w:rsidR="002F1965" w:rsidRDefault="002F1965" w:rsidP="00A52AEE">
      <w:pPr>
        <w:rPr>
          <w:b/>
        </w:rPr>
      </w:pPr>
    </w:p>
    <w:p w14:paraId="7E5BE902" w14:textId="74A6BFB7" w:rsidR="0019031A" w:rsidRPr="00053A52" w:rsidRDefault="0019031A" w:rsidP="00A52AEE">
      <w:pPr>
        <w:rPr>
          <w:b/>
        </w:rPr>
      </w:pPr>
      <w:r w:rsidRPr="00053A52">
        <w:rPr>
          <w:b/>
        </w:rPr>
        <w:t xml:space="preserve">Table </w:t>
      </w:r>
      <w:r w:rsidR="0022142D">
        <w:rPr>
          <w:b/>
        </w:rPr>
        <w:t>37</w:t>
      </w:r>
      <w:r w:rsidR="00053A52">
        <w:rPr>
          <w:b/>
        </w:rPr>
        <w:t>: Top 35 p</w:t>
      </w:r>
      <w:r w:rsidR="0093491E" w:rsidRPr="00053A52">
        <w:rPr>
          <w:b/>
        </w:rPr>
        <w:t>roviders of p</w:t>
      </w:r>
      <w:r w:rsidRPr="00053A52">
        <w:rPr>
          <w:b/>
        </w:rPr>
        <w:t>rescribed HE level by FE cohort year</w:t>
      </w:r>
    </w:p>
    <w:p w14:paraId="21ECD4B3" w14:textId="77777777" w:rsidR="00053A52" w:rsidRPr="00A52AEE" w:rsidRDefault="00053A52" w:rsidP="00A52AEE"/>
    <w:tbl>
      <w:tblPr>
        <w:tblW w:w="5000" w:type="pct"/>
        <w:tblLayout w:type="fixed"/>
        <w:tblLook w:val="04A0" w:firstRow="1" w:lastRow="0" w:firstColumn="1" w:lastColumn="0" w:noHBand="0" w:noVBand="1"/>
      </w:tblPr>
      <w:tblGrid>
        <w:gridCol w:w="3847"/>
        <w:gridCol w:w="1106"/>
        <w:gridCol w:w="1108"/>
        <w:gridCol w:w="1108"/>
        <w:gridCol w:w="1246"/>
        <w:gridCol w:w="1156"/>
      </w:tblGrid>
      <w:tr w:rsidR="0093491E" w:rsidRPr="00053A52" w14:paraId="7EC76B92" w14:textId="77777777" w:rsidTr="0093491E">
        <w:trPr>
          <w:trHeight w:val="300"/>
          <w:tblHeader/>
        </w:trPr>
        <w:tc>
          <w:tcPr>
            <w:tcW w:w="2009"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6AB7F889" w14:textId="3ED73353" w:rsidR="0019031A" w:rsidRPr="00053A52" w:rsidRDefault="0019031A" w:rsidP="00053A52">
            <w:pPr>
              <w:rPr>
                <w:b/>
                <w:color w:val="FFFFFF" w:themeColor="background1"/>
                <w:lang w:eastAsia="en-GB"/>
              </w:rPr>
            </w:pPr>
            <w:r w:rsidRPr="00053A52">
              <w:rPr>
                <w:b/>
                <w:color w:val="FFFFFF" w:themeColor="background1"/>
                <w:lang w:eastAsia="en-GB"/>
              </w:rPr>
              <w:t>Provider</w:t>
            </w:r>
          </w:p>
        </w:tc>
        <w:tc>
          <w:tcPr>
            <w:tcW w:w="578"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2EC6824D" w14:textId="038652B9" w:rsidR="0019031A" w:rsidRPr="00053A52" w:rsidRDefault="0019031A" w:rsidP="00053A52">
            <w:pPr>
              <w:jc w:val="center"/>
              <w:rPr>
                <w:b/>
                <w:color w:val="FFFFFF" w:themeColor="background1"/>
                <w:lang w:eastAsia="en-GB"/>
              </w:rPr>
            </w:pPr>
            <w:r w:rsidRPr="00053A52">
              <w:rPr>
                <w:b/>
                <w:color w:val="FFFFFF" w:themeColor="background1"/>
                <w:lang w:eastAsia="en-GB"/>
              </w:rPr>
              <w:t>2007-08 into HE 2008-09</w:t>
            </w:r>
          </w:p>
        </w:tc>
        <w:tc>
          <w:tcPr>
            <w:tcW w:w="579"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0819858" w14:textId="532036FB" w:rsidR="0019031A" w:rsidRPr="00053A52" w:rsidRDefault="0019031A" w:rsidP="00053A52">
            <w:pPr>
              <w:jc w:val="center"/>
              <w:rPr>
                <w:b/>
                <w:color w:val="FFFFFF" w:themeColor="background1"/>
                <w:lang w:eastAsia="en-GB"/>
              </w:rPr>
            </w:pPr>
            <w:r w:rsidRPr="00053A52">
              <w:rPr>
                <w:b/>
                <w:color w:val="FFFFFF" w:themeColor="background1"/>
                <w:lang w:eastAsia="en-GB"/>
              </w:rPr>
              <w:t>2008-09 into HE 2009-10</w:t>
            </w:r>
          </w:p>
        </w:tc>
        <w:tc>
          <w:tcPr>
            <w:tcW w:w="579"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6BE2FAD" w14:textId="15EA28BB" w:rsidR="0019031A" w:rsidRPr="00053A52" w:rsidRDefault="0019031A" w:rsidP="00053A52">
            <w:pPr>
              <w:jc w:val="center"/>
              <w:rPr>
                <w:b/>
                <w:color w:val="FFFFFF" w:themeColor="background1"/>
                <w:lang w:eastAsia="en-GB"/>
              </w:rPr>
            </w:pPr>
            <w:r w:rsidRPr="00053A52">
              <w:rPr>
                <w:b/>
                <w:color w:val="FFFFFF" w:themeColor="background1"/>
                <w:lang w:eastAsia="en-GB"/>
              </w:rPr>
              <w:t>2009-10 into HE 2010-11</w:t>
            </w:r>
          </w:p>
        </w:tc>
        <w:tc>
          <w:tcPr>
            <w:tcW w:w="651"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5937D32B" w14:textId="532956D7" w:rsidR="0019031A" w:rsidRPr="00053A52" w:rsidRDefault="0019031A" w:rsidP="00053A52">
            <w:pPr>
              <w:jc w:val="center"/>
              <w:rPr>
                <w:b/>
                <w:color w:val="FFFFFF" w:themeColor="background1"/>
                <w:lang w:eastAsia="en-GB"/>
              </w:rPr>
            </w:pPr>
            <w:r w:rsidRPr="00053A52">
              <w:rPr>
                <w:b/>
                <w:color w:val="FFFFFF" w:themeColor="background1"/>
                <w:lang w:eastAsia="en-GB"/>
              </w:rPr>
              <w:t>2010-11 into HE 2011-12</w:t>
            </w:r>
          </w:p>
        </w:tc>
        <w:tc>
          <w:tcPr>
            <w:tcW w:w="604"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4DACF1DC" w14:textId="73F545D4" w:rsidR="0019031A" w:rsidRPr="00053A52" w:rsidRDefault="0019031A" w:rsidP="00053A52">
            <w:pPr>
              <w:jc w:val="center"/>
              <w:rPr>
                <w:b/>
                <w:color w:val="FFFFFF" w:themeColor="background1"/>
                <w:lang w:eastAsia="en-GB"/>
              </w:rPr>
            </w:pPr>
            <w:r w:rsidRPr="00053A52">
              <w:rPr>
                <w:b/>
                <w:color w:val="FFFFFF" w:themeColor="background1"/>
                <w:lang w:eastAsia="en-GB"/>
              </w:rPr>
              <w:t>2011-12 into HE 2012-13</w:t>
            </w:r>
          </w:p>
        </w:tc>
      </w:tr>
      <w:tr w:rsidR="0019031A" w:rsidRPr="00A52AEE" w14:paraId="4EE7E53C"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4376BA66" w14:textId="77777777" w:rsidR="0019031A" w:rsidRPr="00A52AEE" w:rsidRDefault="0019031A" w:rsidP="00A52AEE">
            <w:pPr>
              <w:rPr>
                <w:lang w:eastAsia="en-GB"/>
              </w:rPr>
            </w:pPr>
            <w:r w:rsidRPr="00A52AEE">
              <w:rPr>
                <w:lang w:eastAsia="en-GB"/>
              </w:rPr>
              <w:t>Middlesex University</w:t>
            </w:r>
          </w:p>
        </w:tc>
        <w:tc>
          <w:tcPr>
            <w:tcW w:w="578" w:type="pct"/>
            <w:tcBorders>
              <w:top w:val="nil"/>
              <w:left w:val="nil"/>
              <w:bottom w:val="single" w:sz="4" w:space="0" w:color="auto"/>
              <w:right w:val="single" w:sz="4" w:space="0" w:color="auto"/>
            </w:tcBorders>
            <w:shd w:val="clear" w:color="auto" w:fill="auto"/>
            <w:noWrap/>
            <w:vAlign w:val="bottom"/>
            <w:hideMark/>
          </w:tcPr>
          <w:p w14:paraId="3CD9A65C" w14:textId="77777777" w:rsidR="0019031A" w:rsidRPr="00A52AEE" w:rsidRDefault="0019031A" w:rsidP="00053A52">
            <w:pPr>
              <w:jc w:val="right"/>
              <w:rPr>
                <w:lang w:eastAsia="en-GB"/>
              </w:rPr>
            </w:pPr>
            <w:r w:rsidRPr="00A52AEE">
              <w:rPr>
                <w:lang w:eastAsia="en-GB"/>
              </w:rPr>
              <w:t>1200</w:t>
            </w:r>
          </w:p>
        </w:tc>
        <w:tc>
          <w:tcPr>
            <w:tcW w:w="579" w:type="pct"/>
            <w:tcBorders>
              <w:top w:val="nil"/>
              <w:left w:val="nil"/>
              <w:bottom w:val="single" w:sz="4" w:space="0" w:color="auto"/>
              <w:right w:val="single" w:sz="4" w:space="0" w:color="auto"/>
            </w:tcBorders>
            <w:shd w:val="clear" w:color="auto" w:fill="auto"/>
            <w:noWrap/>
            <w:vAlign w:val="bottom"/>
            <w:hideMark/>
          </w:tcPr>
          <w:p w14:paraId="04CFDFF5" w14:textId="77777777" w:rsidR="0019031A" w:rsidRPr="00A52AEE" w:rsidRDefault="0019031A" w:rsidP="00053A52">
            <w:pPr>
              <w:jc w:val="right"/>
              <w:rPr>
                <w:lang w:eastAsia="en-GB"/>
              </w:rPr>
            </w:pPr>
            <w:r w:rsidRPr="00A52AEE">
              <w:rPr>
                <w:lang w:eastAsia="en-GB"/>
              </w:rPr>
              <w:t>1240</w:t>
            </w:r>
          </w:p>
        </w:tc>
        <w:tc>
          <w:tcPr>
            <w:tcW w:w="579" w:type="pct"/>
            <w:tcBorders>
              <w:top w:val="nil"/>
              <w:left w:val="nil"/>
              <w:bottom w:val="single" w:sz="4" w:space="0" w:color="auto"/>
              <w:right w:val="single" w:sz="4" w:space="0" w:color="auto"/>
            </w:tcBorders>
            <w:shd w:val="clear" w:color="auto" w:fill="auto"/>
            <w:noWrap/>
            <w:vAlign w:val="bottom"/>
            <w:hideMark/>
          </w:tcPr>
          <w:p w14:paraId="35CF66E3" w14:textId="77777777" w:rsidR="0019031A" w:rsidRPr="00A52AEE" w:rsidRDefault="0019031A" w:rsidP="00053A52">
            <w:pPr>
              <w:jc w:val="right"/>
              <w:rPr>
                <w:lang w:eastAsia="en-GB"/>
              </w:rPr>
            </w:pPr>
            <w:r w:rsidRPr="00A52AEE">
              <w:rPr>
                <w:lang w:eastAsia="en-GB"/>
              </w:rPr>
              <w:t>1485</w:t>
            </w:r>
          </w:p>
        </w:tc>
        <w:tc>
          <w:tcPr>
            <w:tcW w:w="651" w:type="pct"/>
            <w:tcBorders>
              <w:top w:val="nil"/>
              <w:left w:val="nil"/>
              <w:bottom w:val="single" w:sz="4" w:space="0" w:color="auto"/>
              <w:right w:val="single" w:sz="4" w:space="0" w:color="auto"/>
            </w:tcBorders>
            <w:shd w:val="clear" w:color="auto" w:fill="auto"/>
            <w:noWrap/>
            <w:vAlign w:val="bottom"/>
            <w:hideMark/>
          </w:tcPr>
          <w:p w14:paraId="70AAE4BC" w14:textId="77777777" w:rsidR="0019031A" w:rsidRPr="00A52AEE" w:rsidRDefault="0019031A" w:rsidP="00053A52">
            <w:pPr>
              <w:jc w:val="right"/>
              <w:rPr>
                <w:lang w:eastAsia="en-GB"/>
              </w:rPr>
            </w:pPr>
            <w:r w:rsidRPr="00A52AEE">
              <w:rPr>
                <w:lang w:eastAsia="en-GB"/>
              </w:rPr>
              <w:t>1490</w:t>
            </w:r>
          </w:p>
        </w:tc>
        <w:tc>
          <w:tcPr>
            <w:tcW w:w="604" w:type="pct"/>
            <w:tcBorders>
              <w:top w:val="nil"/>
              <w:left w:val="nil"/>
              <w:bottom w:val="single" w:sz="4" w:space="0" w:color="auto"/>
              <w:right w:val="single" w:sz="4" w:space="0" w:color="auto"/>
            </w:tcBorders>
            <w:shd w:val="clear" w:color="auto" w:fill="auto"/>
            <w:noWrap/>
            <w:vAlign w:val="bottom"/>
            <w:hideMark/>
          </w:tcPr>
          <w:p w14:paraId="6715EB11" w14:textId="77777777" w:rsidR="0019031A" w:rsidRPr="00A52AEE" w:rsidRDefault="0019031A" w:rsidP="00053A52">
            <w:pPr>
              <w:jc w:val="right"/>
              <w:rPr>
                <w:lang w:eastAsia="en-GB"/>
              </w:rPr>
            </w:pPr>
            <w:r w:rsidRPr="00A52AEE">
              <w:rPr>
                <w:lang w:eastAsia="en-GB"/>
              </w:rPr>
              <w:t>1230</w:t>
            </w:r>
          </w:p>
        </w:tc>
      </w:tr>
      <w:tr w:rsidR="0019031A" w:rsidRPr="00A52AEE" w14:paraId="131407AC"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31520484" w14:textId="77777777" w:rsidR="0019031A" w:rsidRPr="00A52AEE" w:rsidRDefault="0019031A" w:rsidP="00A52AEE">
            <w:pPr>
              <w:rPr>
                <w:lang w:eastAsia="en-GB"/>
              </w:rPr>
            </w:pPr>
            <w:r w:rsidRPr="00A52AEE">
              <w:rPr>
                <w:lang w:eastAsia="en-GB"/>
              </w:rPr>
              <w:t>Kingston University</w:t>
            </w:r>
          </w:p>
        </w:tc>
        <w:tc>
          <w:tcPr>
            <w:tcW w:w="578" w:type="pct"/>
            <w:tcBorders>
              <w:top w:val="nil"/>
              <w:left w:val="nil"/>
              <w:bottom w:val="single" w:sz="4" w:space="0" w:color="auto"/>
              <w:right w:val="single" w:sz="4" w:space="0" w:color="auto"/>
            </w:tcBorders>
            <w:shd w:val="clear" w:color="auto" w:fill="auto"/>
            <w:noWrap/>
            <w:vAlign w:val="bottom"/>
            <w:hideMark/>
          </w:tcPr>
          <w:p w14:paraId="32840E00" w14:textId="77777777" w:rsidR="0019031A" w:rsidRPr="00A52AEE" w:rsidRDefault="0019031A" w:rsidP="00053A52">
            <w:pPr>
              <w:jc w:val="right"/>
              <w:rPr>
                <w:lang w:eastAsia="en-GB"/>
              </w:rPr>
            </w:pPr>
            <w:r w:rsidRPr="00A52AEE">
              <w:rPr>
                <w:lang w:eastAsia="en-GB"/>
              </w:rPr>
              <w:t>1300</w:t>
            </w:r>
          </w:p>
        </w:tc>
        <w:tc>
          <w:tcPr>
            <w:tcW w:w="579" w:type="pct"/>
            <w:tcBorders>
              <w:top w:val="nil"/>
              <w:left w:val="nil"/>
              <w:bottom w:val="single" w:sz="4" w:space="0" w:color="auto"/>
              <w:right w:val="single" w:sz="4" w:space="0" w:color="auto"/>
            </w:tcBorders>
            <w:shd w:val="clear" w:color="auto" w:fill="auto"/>
            <w:noWrap/>
            <w:vAlign w:val="bottom"/>
            <w:hideMark/>
          </w:tcPr>
          <w:p w14:paraId="0F19EBDF" w14:textId="77777777" w:rsidR="0019031A" w:rsidRPr="00A52AEE" w:rsidRDefault="0019031A" w:rsidP="00053A52">
            <w:pPr>
              <w:jc w:val="right"/>
              <w:rPr>
                <w:lang w:eastAsia="en-GB"/>
              </w:rPr>
            </w:pPr>
            <w:r w:rsidRPr="00A52AEE">
              <w:rPr>
                <w:lang w:eastAsia="en-GB"/>
              </w:rPr>
              <w:t>1290</w:t>
            </w:r>
          </w:p>
        </w:tc>
        <w:tc>
          <w:tcPr>
            <w:tcW w:w="579" w:type="pct"/>
            <w:tcBorders>
              <w:top w:val="nil"/>
              <w:left w:val="nil"/>
              <w:bottom w:val="single" w:sz="4" w:space="0" w:color="auto"/>
              <w:right w:val="single" w:sz="4" w:space="0" w:color="auto"/>
            </w:tcBorders>
            <w:shd w:val="clear" w:color="auto" w:fill="auto"/>
            <w:noWrap/>
            <w:vAlign w:val="bottom"/>
            <w:hideMark/>
          </w:tcPr>
          <w:p w14:paraId="707A83A1" w14:textId="77777777" w:rsidR="0019031A" w:rsidRPr="00A52AEE" w:rsidRDefault="0019031A" w:rsidP="00053A52">
            <w:pPr>
              <w:jc w:val="right"/>
              <w:rPr>
                <w:lang w:eastAsia="en-GB"/>
              </w:rPr>
            </w:pPr>
            <w:r w:rsidRPr="00A52AEE">
              <w:rPr>
                <w:lang w:eastAsia="en-GB"/>
              </w:rPr>
              <w:t>1235</w:t>
            </w:r>
          </w:p>
        </w:tc>
        <w:tc>
          <w:tcPr>
            <w:tcW w:w="651" w:type="pct"/>
            <w:tcBorders>
              <w:top w:val="nil"/>
              <w:left w:val="nil"/>
              <w:bottom w:val="single" w:sz="4" w:space="0" w:color="auto"/>
              <w:right w:val="single" w:sz="4" w:space="0" w:color="auto"/>
            </w:tcBorders>
            <w:shd w:val="clear" w:color="auto" w:fill="auto"/>
            <w:noWrap/>
            <w:vAlign w:val="bottom"/>
            <w:hideMark/>
          </w:tcPr>
          <w:p w14:paraId="2718AB7B" w14:textId="77777777" w:rsidR="0019031A" w:rsidRPr="00A52AEE" w:rsidRDefault="0019031A" w:rsidP="00053A52">
            <w:pPr>
              <w:jc w:val="right"/>
              <w:rPr>
                <w:lang w:eastAsia="en-GB"/>
              </w:rPr>
            </w:pPr>
            <w:r w:rsidRPr="00A52AEE">
              <w:rPr>
                <w:lang w:eastAsia="en-GB"/>
              </w:rPr>
              <w:t>1120</w:t>
            </w:r>
          </w:p>
        </w:tc>
        <w:tc>
          <w:tcPr>
            <w:tcW w:w="604" w:type="pct"/>
            <w:tcBorders>
              <w:top w:val="nil"/>
              <w:left w:val="nil"/>
              <w:bottom w:val="single" w:sz="4" w:space="0" w:color="auto"/>
              <w:right w:val="single" w:sz="4" w:space="0" w:color="auto"/>
            </w:tcBorders>
            <w:shd w:val="clear" w:color="auto" w:fill="auto"/>
            <w:noWrap/>
            <w:vAlign w:val="bottom"/>
            <w:hideMark/>
          </w:tcPr>
          <w:p w14:paraId="7877480D" w14:textId="77777777" w:rsidR="0019031A" w:rsidRPr="00A52AEE" w:rsidRDefault="0019031A" w:rsidP="00053A52">
            <w:pPr>
              <w:jc w:val="right"/>
              <w:rPr>
                <w:lang w:eastAsia="en-GB"/>
              </w:rPr>
            </w:pPr>
            <w:r w:rsidRPr="00A52AEE">
              <w:rPr>
                <w:lang w:eastAsia="en-GB"/>
              </w:rPr>
              <w:t>935</w:t>
            </w:r>
          </w:p>
        </w:tc>
      </w:tr>
      <w:tr w:rsidR="0019031A" w:rsidRPr="00A52AEE" w14:paraId="1A569B2C"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02770929" w14:textId="6397D44B" w:rsidR="0019031A" w:rsidRPr="00A52AEE" w:rsidRDefault="0019031A" w:rsidP="00A52AEE">
            <w:pPr>
              <w:rPr>
                <w:lang w:eastAsia="en-GB"/>
              </w:rPr>
            </w:pPr>
            <w:r w:rsidRPr="00A52AEE">
              <w:rPr>
                <w:lang w:eastAsia="en-GB"/>
              </w:rPr>
              <w:t xml:space="preserve">University of Westminster  </w:t>
            </w:r>
          </w:p>
        </w:tc>
        <w:tc>
          <w:tcPr>
            <w:tcW w:w="578" w:type="pct"/>
            <w:tcBorders>
              <w:top w:val="nil"/>
              <w:left w:val="nil"/>
              <w:bottom w:val="single" w:sz="4" w:space="0" w:color="auto"/>
              <w:right w:val="single" w:sz="4" w:space="0" w:color="auto"/>
            </w:tcBorders>
            <w:shd w:val="clear" w:color="auto" w:fill="auto"/>
            <w:noWrap/>
            <w:vAlign w:val="bottom"/>
            <w:hideMark/>
          </w:tcPr>
          <w:p w14:paraId="2BA71BCC" w14:textId="77777777" w:rsidR="0019031A" w:rsidRPr="00A52AEE" w:rsidRDefault="0019031A" w:rsidP="00053A52">
            <w:pPr>
              <w:jc w:val="right"/>
              <w:rPr>
                <w:lang w:eastAsia="en-GB"/>
              </w:rPr>
            </w:pPr>
            <w:r w:rsidRPr="00A52AEE">
              <w:rPr>
                <w:lang w:eastAsia="en-GB"/>
              </w:rPr>
              <w:t>1095</w:t>
            </w:r>
          </w:p>
        </w:tc>
        <w:tc>
          <w:tcPr>
            <w:tcW w:w="579" w:type="pct"/>
            <w:tcBorders>
              <w:top w:val="nil"/>
              <w:left w:val="nil"/>
              <w:bottom w:val="single" w:sz="4" w:space="0" w:color="auto"/>
              <w:right w:val="single" w:sz="4" w:space="0" w:color="auto"/>
            </w:tcBorders>
            <w:shd w:val="clear" w:color="auto" w:fill="auto"/>
            <w:noWrap/>
            <w:vAlign w:val="bottom"/>
            <w:hideMark/>
          </w:tcPr>
          <w:p w14:paraId="44E239E7" w14:textId="77777777" w:rsidR="0019031A" w:rsidRPr="00A52AEE" w:rsidRDefault="0019031A" w:rsidP="00053A52">
            <w:pPr>
              <w:jc w:val="right"/>
              <w:rPr>
                <w:lang w:eastAsia="en-GB"/>
              </w:rPr>
            </w:pPr>
            <w:r w:rsidRPr="00A52AEE">
              <w:rPr>
                <w:lang w:eastAsia="en-GB"/>
              </w:rPr>
              <w:t>980</w:t>
            </w:r>
          </w:p>
        </w:tc>
        <w:tc>
          <w:tcPr>
            <w:tcW w:w="579" w:type="pct"/>
            <w:tcBorders>
              <w:top w:val="nil"/>
              <w:left w:val="nil"/>
              <w:bottom w:val="single" w:sz="4" w:space="0" w:color="auto"/>
              <w:right w:val="single" w:sz="4" w:space="0" w:color="auto"/>
            </w:tcBorders>
            <w:shd w:val="clear" w:color="auto" w:fill="auto"/>
            <w:noWrap/>
            <w:vAlign w:val="bottom"/>
            <w:hideMark/>
          </w:tcPr>
          <w:p w14:paraId="35D426C4" w14:textId="77777777" w:rsidR="0019031A" w:rsidRPr="00A52AEE" w:rsidRDefault="0019031A" w:rsidP="00053A52">
            <w:pPr>
              <w:jc w:val="right"/>
              <w:rPr>
                <w:lang w:eastAsia="en-GB"/>
              </w:rPr>
            </w:pPr>
            <w:r w:rsidRPr="00A52AEE">
              <w:rPr>
                <w:lang w:eastAsia="en-GB"/>
              </w:rPr>
              <w:t>945</w:t>
            </w:r>
          </w:p>
        </w:tc>
        <w:tc>
          <w:tcPr>
            <w:tcW w:w="651" w:type="pct"/>
            <w:tcBorders>
              <w:top w:val="nil"/>
              <w:left w:val="nil"/>
              <w:bottom w:val="single" w:sz="4" w:space="0" w:color="auto"/>
              <w:right w:val="single" w:sz="4" w:space="0" w:color="auto"/>
            </w:tcBorders>
            <w:shd w:val="clear" w:color="auto" w:fill="auto"/>
            <w:noWrap/>
            <w:vAlign w:val="bottom"/>
            <w:hideMark/>
          </w:tcPr>
          <w:p w14:paraId="26DFEA7F" w14:textId="77777777" w:rsidR="0019031A" w:rsidRPr="00A52AEE" w:rsidRDefault="0019031A" w:rsidP="00053A52">
            <w:pPr>
              <w:jc w:val="right"/>
              <w:rPr>
                <w:lang w:eastAsia="en-GB"/>
              </w:rPr>
            </w:pPr>
            <w:r w:rsidRPr="00A52AEE">
              <w:rPr>
                <w:lang w:eastAsia="en-GB"/>
              </w:rPr>
              <w:t>930</w:t>
            </w:r>
          </w:p>
        </w:tc>
        <w:tc>
          <w:tcPr>
            <w:tcW w:w="604" w:type="pct"/>
            <w:tcBorders>
              <w:top w:val="nil"/>
              <w:left w:val="nil"/>
              <w:bottom w:val="single" w:sz="4" w:space="0" w:color="auto"/>
              <w:right w:val="single" w:sz="4" w:space="0" w:color="auto"/>
            </w:tcBorders>
            <w:shd w:val="clear" w:color="auto" w:fill="auto"/>
            <w:noWrap/>
            <w:vAlign w:val="bottom"/>
            <w:hideMark/>
          </w:tcPr>
          <w:p w14:paraId="7733D3F0" w14:textId="77777777" w:rsidR="0019031A" w:rsidRPr="00A52AEE" w:rsidRDefault="0019031A" w:rsidP="00053A52">
            <w:pPr>
              <w:jc w:val="right"/>
              <w:rPr>
                <w:lang w:eastAsia="en-GB"/>
              </w:rPr>
            </w:pPr>
            <w:r w:rsidRPr="00A52AEE">
              <w:rPr>
                <w:lang w:eastAsia="en-GB"/>
              </w:rPr>
              <w:t>880</w:t>
            </w:r>
          </w:p>
        </w:tc>
      </w:tr>
      <w:tr w:rsidR="0019031A" w:rsidRPr="00A52AEE" w14:paraId="5849FBEA"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078B9991" w14:textId="6B76A68A" w:rsidR="0019031A" w:rsidRPr="00A52AEE" w:rsidRDefault="0019031A" w:rsidP="00A52AEE">
            <w:pPr>
              <w:rPr>
                <w:lang w:eastAsia="en-GB"/>
              </w:rPr>
            </w:pPr>
            <w:r w:rsidRPr="00A52AEE">
              <w:rPr>
                <w:lang w:eastAsia="en-GB"/>
              </w:rPr>
              <w:t xml:space="preserve">University of Greenwich  </w:t>
            </w:r>
          </w:p>
        </w:tc>
        <w:tc>
          <w:tcPr>
            <w:tcW w:w="578" w:type="pct"/>
            <w:tcBorders>
              <w:top w:val="nil"/>
              <w:left w:val="nil"/>
              <w:bottom w:val="single" w:sz="4" w:space="0" w:color="auto"/>
              <w:right w:val="single" w:sz="4" w:space="0" w:color="auto"/>
            </w:tcBorders>
            <w:shd w:val="clear" w:color="auto" w:fill="auto"/>
            <w:noWrap/>
            <w:vAlign w:val="bottom"/>
            <w:hideMark/>
          </w:tcPr>
          <w:p w14:paraId="118EF418" w14:textId="77777777" w:rsidR="0019031A" w:rsidRPr="00A52AEE" w:rsidRDefault="0019031A" w:rsidP="00053A52">
            <w:pPr>
              <w:jc w:val="right"/>
              <w:rPr>
                <w:lang w:eastAsia="en-GB"/>
              </w:rPr>
            </w:pPr>
            <w:r w:rsidRPr="00A52AEE">
              <w:rPr>
                <w:lang w:eastAsia="en-GB"/>
              </w:rPr>
              <w:t>830</w:t>
            </w:r>
          </w:p>
        </w:tc>
        <w:tc>
          <w:tcPr>
            <w:tcW w:w="579" w:type="pct"/>
            <w:tcBorders>
              <w:top w:val="nil"/>
              <w:left w:val="nil"/>
              <w:bottom w:val="single" w:sz="4" w:space="0" w:color="auto"/>
              <w:right w:val="single" w:sz="4" w:space="0" w:color="auto"/>
            </w:tcBorders>
            <w:shd w:val="clear" w:color="auto" w:fill="auto"/>
            <w:noWrap/>
            <w:vAlign w:val="bottom"/>
            <w:hideMark/>
          </w:tcPr>
          <w:p w14:paraId="3436FAD6" w14:textId="77777777" w:rsidR="0019031A" w:rsidRPr="00A52AEE" w:rsidRDefault="0019031A" w:rsidP="00053A52">
            <w:pPr>
              <w:jc w:val="right"/>
              <w:rPr>
                <w:lang w:eastAsia="en-GB"/>
              </w:rPr>
            </w:pPr>
            <w:r w:rsidRPr="00A52AEE">
              <w:rPr>
                <w:lang w:eastAsia="en-GB"/>
              </w:rPr>
              <w:t>1015</w:t>
            </w:r>
          </w:p>
        </w:tc>
        <w:tc>
          <w:tcPr>
            <w:tcW w:w="579" w:type="pct"/>
            <w:tcBorders>
              <w:top w:val="nil"/>
              <w:left w:val="nil"/>
              <w:bottom w:val="single" w:sz="4" w:space="0" w:color="auto"/>
              <w:right w:val="single" w:sz="4" w:space="0" w:color="auto"/>
            </w:tcBorders>
            <w:shd w:val="clear" w:color="auto" w:fill="auto"/>
            <w:noWrap/>
            <w:vAlign w:val="bottom"/>
            <w:hideMark/>
          </w:tcPr>
          <w:p w14:paraId="3C41AD79" w14:textId="77777777" w:rsidR="0019031A" w:rsidRPr="00A52AEE" w:rsidRDefault="0019031A" w:rsidP="00053A52">
            <w:pPr>
              <w:jc w:val="right"/>
              <w:rPr>
                <w:lang w:eastAsia="en-GB"/>
              </w:rPr>
            </w:pPr>
            <w:r w:rsidRPr="00A52AEE">
              <w:rPr>
                <w:lang w:eastAsia="en-GB"/>
              </w:rPr>
              <w:t>1105</w:t>
            </w:r>
          </w:p>
        </w:tc>
        <w:tc>
          <w:tcPr>
            <w:tcW w:w="651" w:type="pct"/>
            <w:tcBorders>
              <w:top w:val="nil"/>
              <w:left w:val="nil"/>
              <w:bottom w:val="single" w:sz="4" w:space="0" w:color="auto"/>
              <w:right w:val="single" w:sz="4" w:space="0" w:color="auto"/>
            </w:tcBorders>
            <w:shd w:val="clear" w:color="auto" w:fill="auto"/>
            <w:noWrap/>
            <w:vAlign w:val="bottom"/>
            <w:hideMark/>
          </w:tcPr>
          <w:p w14:paraId="3EA8CA9B" w14:textId="77777777" w:rsidR="0019031A" w:rsidRPr="00A52AEE" w:rsidRDefault="0019031A" w:rsidP="00053A52">
            <w:pPr>
              <w:jc w:val="right"/>
              <w:rPr>
                <w:lang w:eastAsia="en-GB"/>
              </w:rPr>
            </w:pPr>
            <w:r w:rsidRPr="00A52AEE">
              <w:rPr>
                <w:lang w:eastAsia="en-GB"/>
              </w:rPr>
              <w:t>940</w:t>
            </w:r>
          </w:p>
        </w:tc>
        <w:tc>
          <w:tcPr>
            <w:tcW w:w="604" w:type="pct"/>
            <w:tcBorders>
              <w:top w:val="nil"/>
              <w:left w:val="nil"/>
              <w:bottom w:val="single" w:sz="4" w:space="0" w:color="auto"/>
              <w:right w:val="single" w:sz="4" w:space="0" w:color="auto"/>
            </w:tcBorders>
            <w:shd w:val="clear" w:color="auto" w:fill="auto"/>
            <w:noWrap/>
            <w:vAlign w:val="bottom"/>
            <w:hideMark/>
          </w:tcPr>
          <w:p w14:paraId="6C71795E" w14:textId="77777777" w:rsidR="0019031A" w:rsidRPr="00A52AEE" w:rsidRDefault="0019031A" w:rsidP="00053A52">
            <w:pPr>
              <w:jc w:val="right"/>
              <w:rPr>
                <w:lang w:eastAsia="en-GB"/>
              </w:rPr>
            </w:pPr>
            <w:r w:rsidRPr="00A52AEE">
              <w:rPr>
                <w:lang w:eastAsia="en-GB"/>
              </w:rPr>
              <w:t>710</w:t>
            </w:r>
          </w:p>
        </w:tc>
      </w:tr>
      <w:tr w:rsidR="0019031A" w:rsidRPr="00A52AEE" w14:paraId="1CFB7BC9"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29522816" w14:textId="664AB4EB" w:rsidR="0019031A" w:rsidRPr="00A52AEE" w:rsidRDefault="0019031A" w:rsidP="00A52AEE">
            <w:pPr>
              <w:rPr>
                <w:lang w:eastAsia="en-GB"/>
              </w:rPr>
            </w:pPr>
            <w:r w:rsidRPr="00A52AEE">
              <w:rPr>
                <w:lang w:eastAsia="en-GB"/>
              </w:rPr>
              <w:t xml:space="preserve">University of East London </w:t>
            </w:r>
          </w:p>
        </w:tc>
        <w:tc>
          <w:tcPr>
            <w:tcW w:w="578" w:type="pct"/>
            <w:tcBorders>
              <w:top w:val="nil"/>
              <w:left w:val="nil"/>
              <w:bottom w:val="single" w:sz="4" w:space="0" w:color="auto"/>
              <w:right w:val="single" w:sz="4" w:space="0" w:color="auto"/>
            </w:tcBorders>
            <w:shd w:val="clear" w:color="auto" w:fill="auto"/>
            <w:noWrap/>
            <w:vAlign w:val="bottom"/>
            <w:hideMark/>
          </w:tcPr>
          <w:p w14:paraId="4FD892EE" w14:textId="77777777" w:rsidR="0019031A" w:rsidRPr="00A52AEE" w:rsidRDefault="0019031A" w:rsidP="00053A52">
            <w:pPr>
              <w:jc w:val="right"/>
              <w:rPr>
                <w:lang w:eastAsia="en-GB"/>
              </w:rPr>
            </w:pPr>
            <w:r w:rsidRPr="00A52AEE">
              <w:rPr>
                <w:lang w:eastAsia="en-GB"/>
              </w:rPr>
              <w:t>885</w:t>
            </w:r>
          </w:p>
        </w:tc>
        <w:tc>
          <w:tcPr>
            <w:tcW w:w="579" w:type="pct"/>
            <w:tcBorders>
              <w:top w:val="nil"/>
              <w:left w:val="nil"/>
              <w:bottom w:val="single" w:sz="4" w:space="0" w:color="auto"/>
              <w:right w:val="single" w:sz="4" w:space="0" w:color="auto"/>
            </w:tcBorders>
            <w:shd w:val="clear" w:color="auto" w:fill="auto"/>
            <w:noWrap/>
            <w:vAlign w:val="bottom"/>
            <w:hideMark/>
          </w:tcPr>
          <w:p w14:paraId="4289A47B" w14:textId="77777777" w:rsidR="0019031A" w:rsidRPr="00A52AEE" w:rsidRDefault="0019031A" w:rsidP="00053A52">
            <w:pPr>
              <w:jc w:val="right"/>
              <w:rPr>
                <w:lang w:eastAsia="en-GB"/>
              </w:rPr>
            </w:pPr>
            <w:r w:rsidRPr="00A52AEE">
              <w:rPr>
                <w:lang w:eastAsia="en-GB"/>
              </w:rPr>
              <w:t>790</w:t>
            </w:r>
          </w:p>
        </w:tc>
        <w:tc>
          <w:tcPr>
            <w:tcW w:w="579" w:type="pct"/>
            <w:tcBorders>
              <w:top w:val="nil"/>
              <w:left w:val="nil"/>
              <w:bottom w:val="single" w:sz="4" w:space="0" w:color="auto"/>
              <w:right w:val="single" w:sz="4" w:space="0" w:color="auto"/>
            </w:tcBorders>
            <w:shd w:val="clear" w:color="auto" w:fill="auto"/>
            <w:noWrap/>
            <w:vAlign w:val="bottom"/>
            <w:hideMark/>
          </w:tcPr>
          <w:p w14:paraId="3577CB5D" w14:textId="77777777" w:rsidR="0019031A" w:rsidRPr="00A52AEE" w:rsidRDefault="0019031A" w:rsidP="00053A52">
            <w:pPr>
              <w:jc w:val="right"/>
              <w:rPr>
                <w:lang w:eastAsia="en-GB"/>
              </w:rPr>
            </w:pPr>
            <w:r w:rsidRPr="00A52AEE">
              <w:rPr>
                <w:lang w:eastAsia="en-GB"/>
              </w:rPr>
              <w:t>955</w:t>
            </w:r>
          </w:p>
        </w:tc>
        <w:tc>
          <w:tcPr>
            <w:tcW w:w="651" w:type="pct"/>
            <w:tcBorders>
              <w:top w:val="nil"/>
              <w:left w:val="nil"/>
              <w:bottom w:val="single" w:sz="4" w:space="0" w:color="auto"/>
              <w:right w:val="single" w:sz="4" w:space="0" w:color="auto"/>
            </w:tcBorders>
            <w:shd w:val="clear" w:color="auto" w:fill="auto"/>
            <w:noWrap/>
            <w:vAlign w:val="bottom"/>
            <w:hideMark/>
          </w:tcPr>
          <w:p w14:paraId="4FC18FF7" w14:textId="77777777" w:rsidR="0019031A" w:rsidRPr="00A52AEE" w:rsidRDefault="0019031A" w:rsidP="00053A52">
            <w:pPr>
              <w:jc w:val="right"/>
              <w:rPr>
                <w:lang w:eastAsia="en-GB"/>
              </w:rPr>
            </w:pPr>
            <w:r w:rsidRPr="00A52AEE">
              <w:rPr>
                <w:lang w:eastAsia="en-GB"/>
              </w:rPr>
              <w:t>1065</w:t>
            </w:r>
          </w:p>
        </w:tc>
        <w:tc>
          <w:tcPr>
            <w:tcW w:w="604" w:type="pct"/>
            <w:tcBorders>
              <w:top w:val="nil"/>
              <w:left w:val="nil"/>
              <w:bottom w:val="single" w:sz="4" w:space="0" w:color="auto"/>
              <w:right w:val="single" w:sz="4" w:space="0" w:color="auto"/>
            </w:tcBorders>
            <w:shd w:val="clear" w:color="auto" w:fill="auto"/>
            <w:noWrap/>
            <w:vAlign w:val="bottom"/>
            <w:hideMark/>
          </w:tcPr>
          <w:p w14:paraId="4FBCE71F" w14:textId="77777777" w:rsidR="0019031A" w:rsidRPr="00A52AEE" w:rsidRDefault="0019031A" w:rsidP="00053A52">
            <w:pPr>
              <w:jc w:val="right"/>
              <w:rPr>
                <w:lang w:eastAsia="en-GB"/>
              </w:rPr>
            </w:pPr>
            <w:r w:rsidRPr="00A52AEE">
              <w:rPr>
                <w:lang w:eastAsia="en-GB"/>
              </w:rPr>
              <w:t>790</w:t>
            </w:r>
          </w:p>
        </w:tc>
      </w:tr>
      <w:tr w:rsidR="0019031A" w:rsidRPr="00A52AEE" w14:paraId="406228C3"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6C89A98" w14:textId="77777777" w:rsidR="0019031A" w:rsidRPr="00A52AEE" w:rsidRDefault="0019031A" w:rsidP="00A52AEE">
            <w:pPr>
              <w:rPr>
                <w:lang w:eastAsia="en-GB"/>
              </w:rPr>
            </w:pPr>
            <w:r w:rsidRPr="00A52AEE">
              <w:rPr>
                <w:lang w:eastAsia="en-GB"/>
              </w:rPr>
              <w:t xml:space="preserve">University of Hertfordshire   </w:t>
            </w:r>
          </w:p>
        </w:tc>
        <w:tc>
          <w:tcPr>
            <w:tcW w:w="578" w:type="pct"/>
            <w:tcBorders>
              <w:top w:val="nil"/>
              <w:left w:val="nil"/>
              <w:bottom w:val="single" w:sz="4" w:space="0" w:color="auto"/>
              <w:right w:val="single" w:sz="4" w:space="0" w:color="auto"/>
            </w:tcBorders>
            <w:shd w:val="clear" w:color="auto" w:fill="auto"/>
            <w:noWrap/>
            <w:vAlign w:val="bottom"/>
            <w:hideMark/>
          </w:tcPr>
          <w:p w14:paraId="08DFAB7D" w14:textId="77777777" w:rsidR="0019031A" w:rsidRPr="00A52AEE" w:rsidRDefault="0019031A" w:rsidP="00053A52">
            <w:pPr>
              <w:jc w:val="right"/>
              <w:rPr>
                <w:lang w:eastAsia="en-GB"/>
              </w:rPr>
            </w:pPr>
            <w:r w:rsidRPr="00A52AEE">
              <w:rPr>
                <w:lang w:eastAsia="en-GB"/>
              </w:rPr>
              <w:t>910</w:t>
            </w:r>
          </w:p>
        </w:tc>
        <w:tc>
          <w:tcPr>
            <w:tcW w:w="579" w:type="pct"/>
            <w:tcBorders>
              <w:top w:val="nil"/>
              <w:left w:val="nil"/>
              <w:bottom w:val="single" w:sz="4" w:space="0" w:color="auto"/>
              <w:right w:val="single" w:sz="4" w:space="0" w:color="auto"/>
            </w:tcBorders>
            <w:shd w:val="clear" w:color="auto" w:fill="auto"/>
            <w:noWrap/>
            <w:vAlign w:val="bottom"/>
            <w:hideMark/>
          </w:tcPr>
          <w:p w14:paraId="07C28E0A" w14:textId="77777777" w:rsidR="0019031A" w:rsidRPr="00A52AEE" w:rsidRDefault="0019031A" w:rsidP="00053A52">
            <w:pPr>
              <w:jc w:val="right"/>
              <w:rPr>
                <w:lang w:eastAsia="en-GB"/>
              </w:rPr>
            </w:pPr>
            <w:r w:rsidRPr="00A52AEE">
              <w:rPr>
                <w:lang w:eastAsia="en-GB"/>
              </w:rPr>
              <w:t>1100</w:t>
            </w:r>
          </w:p>
        </w:tc>
        <w:tc>
          <w:tcPr>
            <w:tcW w:w="579" w:type="pct"/>
            <w:tcBorders>
              <w:top w:val="nil"/>
              <w:left w:val="nil"/>
              <w:bottom w:val="single" w:sz="4" w:space="0" w:color="auto"/>
              <w:right w:val="single" w:sz="4" w:space="0" w:color="auto"/>
            </w:tcBorders>
            <w:shd w:val="clear" w:color="auto" w:fill="auto"/>
            <w:noWrap/>
            <w:vAlign w:val="bottom"/>
            <w:hideMark/>
          </w:tcPr>
          <w:p w14:paraId="4DCFCEE1" w14:textId="77777777" w:rsidR="0019031A" w:rsidRPr="00A52AEE" w:rsidRDefault="0019031A" w:rsidP="00053A52">
            <w:pPr>
              <w:jc w:val="right"/>
              <w:rPr>
                <w:lang w:eastAsia="en-GB"/>
              </w:rPr>
            </w:pPr>
            <w:r w:rsidRPr="00A52AEE">
              <w:rPr>
                <w:lang w:eastAsia="en-GB"/>
              </w:rPr>
              <w:t>755</w:t>
            </w:r>
          </w:p>
        </w:tc>
        <w:tc>
          <w:tcPr>
            <w:tcW w:w="651" w:type="pct"/>
            <w:tcBorders>
              <w:top w:val="nil"/>
              <w:left w:val="nil"/>
              <w:bottom w:val="single" w:sz="4" w:space="0" w:color="auto"/>
              <w:right w:val="single" w:sz="4" w:space="0" w:color="auto"/>
            </w:tcBorders>
            <w:shd w:val="clear" w:color="auto" w:fill="auto"/>
            <w:noWrap/>
            <w:vAlign w:val="bottom"/>
            <w:hideMark/>
          </w:tcPr>
          <w:p w14:paraId="38405EE3" w14:textId="77777777" w:rsidR="0019031A" w:rsidRPr="00A52AEE" w:rsidRDefault="0019031A" w:rsidP="00053A52">
            <w:pPr>
              <w:jc w:val="right"/>
              <w:rPr>
                <w:lang w:eastAsia="en-GB"/>
              </w:rPr>
            </w:pPr>
            <w:r w:rsidRPr="00A52AEE">
              <w:rPr>
                <w:lang w:eastAsia="en-GB"/>
              </w:rPr>
              <w:t>740</w:t>
            </w:r>
          </w:p>
        </w:tc>
        <w:tc>
          <w:tcPr>
            <w:tcW w:w="604" w:type="pct"/>
            <w:tcBorders>
              <w:top w:val="nil"/>
              <w:left w:val="nil"/>
              <w:bottom w:val="single" w:sz="4" w:space="0" w:color="auto"/>
              <w:right w:val="single" w:sz="4" w:space="0" w:color="auto"/>
            </w:tcBorders>
            <w:shd w:val="clear" w:color="auto" w:fill="auto"/>
            <w:noWrap/>
            <w:vAlign w:val="bottom"/>
            <w:hideMark/>
          </w:tcPr>
          <w:p w14:paraId="1884F971" w14:textId="77777777" w:rsidR="0019031A" w:rsidRPr="00A52AEE" w:rsidRDefault="0019031A" w:rsidP="00053A52">
            <w:pPr>
              <w:jc w:val="right"/>
              <w:rPr>
                <w:lang w:eastAsia="en-GB"/>
              </w:rPr>
            </w:pPr>
            <w:r w:rsidRPr="00A52AEE">
              <w:rPr>
                <w:lang w:eastAsia="en-GB"/>
              </w:rPr>
              <w:t>645</w:t>
            </w:r>
          </w:p>
        </w:tc>
      </w:tr>
      <w:tr w:rsidR="0019031A" w:rsidRPr="00A52AEE" w14:paraId="39D420CB"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10C289F9" w14:textId="77777777" w:rsidR="0019031A" w:rsidRPr="00A52AEE" w:rsidRDefault="0019031A" w:rsidP="00A52AEE">
            <w:pPr>
              <w:rPr>
                <w:lang w:eastAsia="en-GB"/>
              </w:rPr>
            </w:pPr>
            <w:r w:rsidRPr="00A52AEE">
              <w:rPr>
                <w:lang w:eastAsia="en-GB"/>
              </w:rPr>
              <w:t xml:space="preserve">London Metropolitan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1233D3BA" w14:textId="77777777" w:rsidR="0019031A" w:rsidRPr="00A52AEE" w:rsidRDefault="0019031A" w:rsidP="00053A52">
            <w:pPr>
              <w:jc w:val="right"/>
              <w:rPr>
                <w:lang w:eastAsia="en-GB"/>
              </w:rPr>
            </w:pPr>
            <w:r w:rsidRPr="00A52AEE">
              <w:rPr>
                <w:lang w:eastAsia="en-GB"/>
              </w:rPr>
              <w:t>795</w:t>
            </w:r>
          </w:p>
        </w:tc>
        <w:tc>
          <w:tcPr>
            <w:tcW w:w="579" w:type="pct"/>
            <w:tcBorders>
              <w:top w:val="nil"/>
              <w:left w:val="nil"/>
              <w:bottom w:val="single" w:sz="4" w:space="0" w:color="auto"/>
              <w:right w:val="single" w:sz="4" w:space="0" w:color="auto"/>
            </w:tcBorders>
            <w:shd w:val="clear" w:color="auto" w:fill="auto"/>
            <w:noWrap/>
            <w:vAlign w:val="bottom"/>
            <w:hideMark/>
          </w:tcPr>
          <w:p w14:paraId="694E37DF" w14:textId="77777777" w:rsidR="0019031A" w:rsidRPr="00A52AEE" w:rsidRDefault="0019031A" w:rsidP="00053A52">
            <w:pPr>
              <w:jc w:val="right"/>
              <w:rPr>
                <w:lang w:eastAsia="en-GB"/>
              </w:rPr>
            </w:pPr>
            <w:r w:rsidRPr="00A52AEE">
              <w:rPr>
                <w:lang w:eastAsia="en-GB"/>
              </w:rPr>
              <w:t>590</w:t>
            </w:r>
          </w:p>
        </w:tc>
        <w:tc>
          <w:tcPr>
            <w:tcW w:w="579" w:type="pct"/>
            <w:tcBorders>
              <w:top w:val="nil"/>
              <w:left w:val="nil"/>
              <w:bottom w:val="single" w:sz="4" w:space="0" w:color="auto"/>
              <w:right w:val="single" w:sz="4" w:space="0" w:color="auto"/>
            </w:tcBorders>
            <w:shd w:val="clear" w:color="auto" w:fill="auto"/>
            <w:noWrap/>
            <w:vAlign w:val="bottom"/>
            <w:hideMark/>
          </w:tcPr>
          <w:p w14:paraId="78C253C7" w14:textId="77777777" w:rsidR="0019031A" w:rsidRPr="00A52AEE" w:rsidRDefault="0019031A" w:rsidP="00053A52">
            <w:pPr>
              <w:jc w:val="right"/>
              <w:rPr>
                <w:lang w:eastAsia="en-GB"/>
              </w:rPr>
            </w:pPr>
            <w:r w:rsidRPr="00A52AEE">
              <w:rPr>
                <w:lang w:eastAsia="en-GB"/>
              </w:rPr>
              <w:t>745</w:t>
            </w:r>
          </w:p>
        </w:tc>
        <w:tc>
          <w:tcPr>
            <w:tcW w:w="651" w:type="pct"/>
            <w:tcBorders>
              <w:top w:val="nil"/>
              <w:left w:val="nil"/>
              <w:bottom w:val="single" w:sz="4" w:space="0" w:color="auto"/>
              <w:right w:val="single" w:sz="4" w:space="0" w:color="auto"/>
            </w:tcBorders>
            <w:shd w:val="clear" w:color="auto" w:fill="auto"/>
            <w:noWrap/>
            <w:vAlign w:val="bottom"/>
            <w:hideMark/>
          </w:tcPr>
          <w:p w14:paraId="5214FD77" w14:textId="77777777" w:rsidR="0019031A" w:rsidRPr="00A52AEE" w:rsidRDefault="0019031A" w:rsidP="00053A52">
            <w:pPr>
              <w:jc w:val="right"/>
              <w:rPr>
                <w:lang w:eastAsia="en-GB"/>
              </w:rPr>
            </w:pPr>
            <w:r w:rsidRPr="00A52AEE">
              <w:rPr>
                <w:lang w:eastAsia="en-GB"/>
              </w:rPr>
              <w:t>1245</w:t>
            </w:r>
          </w:p>
        </w:tc>
        <w:tc>
          <w:tcPr>
            <w:tcW w:w="604" w:type="pct"/>
            <w:tcBorders>
              <w:top w:val="nil"/>
              <w:left w:val="nil"/>
              <w:bottom w:val="single" w:sz="4" w:space="0" w:color="auto"/>
              <w:right w:val="single" w:sz="4" w:space="0" w:color="auto"/>
            </w:tcBorders>
            <w:shd w:val="clear" w:color="auto" w:fill="auto"/>
            <w:noWrap/>
            <w:vAlign w:val="bottom"/>
            <w:hideMark/>
          </w:tcPr>
          <w:p w14:paraId="0A4CA7F5" w14:textId="77777777" w:rsidR="0019031A" w:rsidRPr="00A52AEE" w:rsidRDefault="0019031A" w:rsidP="00053A52">
            <w:pPr>
              <w:jc w:val="right"/>
              <w:rPr>
                <w:lang w:eastAsia="en-GB"/>
              </w:rPr>
            </w:pPr>
            <w:r w:rsidRPr="00A52AEE">
              <w:rPr>
                <w:lang w:eastAsia="en-GB"/>
              </w:rPr>
              <w:t>725</w:t>
            </w:r>
          </w:p>
        </w:tc>
      </w:tr>
      <w:tr w:rsidR="0019031A" w:rsidRPr="00A52AEE" w14:paraId="41B5E4E2"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19FAEDD4" w14:textId="77777777" w:rsidR="0019031A" w:rsidRPr="00A52AEE" w:rsidRDefault="0019031A" w:rsidP="00A52AEE">
            <w:pPr>
              <w:rPr>
                <w:lang w:eastAsia="en-GB"/>
              </w:rPr>
            </w:pPr>
            <w:r w:rsidRPr="00A52AEE">
              <w:rPr>
                <w:lang w:eastAsia="en-GB"/>
              </w:rPr>
              <w:t xml:space="preserve">London South Bank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4A82AEF0" w14:textId="77777777" w:rsidR="0019031A" w:rsidRPr="00A52AEE" w:rsidRDefault="0019031A" w:rsidP="00053A52">
            <w:pPr>
              <w:jc w:val="right"/>
              <w:rPr>
                <w:lang w:eastAsia="en-GB"/>
              </w:rPr>
            </w:pPr>
            <w:r w:rsidRPr="00A52AEE">
              <w:rPr>
                <w:lang w:eastAsia="en-GB"/>
              </w:rPr>
              <w:t>795</w:t>
            </w:r>
          </w:p>
        </w:tc>
        <w:tc>
          <w:tcPr>
            <w:tcW w:w="579" w:type="pct"/>
            <w:tcBorders>
              <w:top w:val="nil"/>
              <w:left w:val="nil"/>
              <w:bottom w:val="single" w:sz="4" w:space="0" w:color="auto"/>
              <w:right w:val="single" w:sz="4" w:space="0" w:color="auto"/>
            </w:tcBorders>
            <w:shd w:val="clear" w:color="auto" w:fill="auto"/>
            <w:noWrap/>
            <w:vAlign w:val="bottom"/>
            <w:hideMark/>
          </w:tcPr>
          <w:p w14:paraId="127E0DA0" w14:textId="77777777" w:rsidR="0019031A" w:rsidRPr="00A52AEE" w:rsidRDefault="0019031A" w:rsidP="00053A52">
            <w:pPr>
              <w:jc w:val="right"/>
              <w:rPr>
                <w:lang w:eastAsia="en-GB"/>
              </w:rPr>
            </w:pPr>
            <w:r w:rsidRPr="00A52AEE">
              <w:rPr>
                <w:lang w:eastAsia="en-GB"/>
              </w:rPr>
              <w:t>735</w:t>
            </w:r>
          </w:p>
        </w:tc>
        <w:tc>
          <w:tcPr>
            <w:tcW w:w="579" w:type="pct"/>
            <w:tcBorders>
              <w:top w:val="nil"/>
              <w:left w:val="nil"/>
              <w:bottom w:val="single" w:sz="4" w:space="0" w:color="auto"/>
              <w:right w:val="single" w:sz="4" w:space="0" w:color="auto"/>
            </w:tcBorders>
            <w:shd w:val="clear" w:color="auto" w:fill="auto"/>
            <w:noWrap/>
            <w:vAlign w:val="bottom"/>
            <w:hideMark/>
          </w:tcPr>
          <w:p w14:paraId="08DD5DD6" w14:textId="77777777" w:rsidR="0019031A" w:rsidRPr="00A52AEE" w:rsidRDefault="0019031A" w:rsidP="00053A52">
            <w:pPr>
              <w:jc w:val="right"/>
              <w:rPr>
                <w:lang w:eastAsia="en-GB"/>
              </w:rPr>
            </w:pPr>
            <w:r w:rsidRPr="00A52AEE">
              <w:rPr>
                <w:lang w:eastAsia="en-GB"/>
              </w:rPr>
              <w:t>855</w:t>
            </w:r>
          </w:p>
        </w:tc>
        <w:tc>
          <w:tcPr>
            <w:tcW w:w="651" w:type="pct"/>
            <w:tcBorders>
              <w:top w:val="nil"/>
              <w:left w:val="nil"/>
              <w:bottom w:val="single" w:sz="4" w:space="0" w:color="auto"/>
              <w:right w:val="single" w:sz="4" w:space="0" w:color="auto"/>
            </w:tcBorders>
            <w:shd w:val="clear" w:color="auto" w:fill="auto"/>
            <w:noWrap/>
            <w:vAlign w:val="bottom"/>
            <w:hideMark/>
          </w:tcPr>
          <w:p w14:paraId="2F65A2C0" w14:textId="77777777" w:rsidR="0019031A" w:rsidRPr="00A52AEE" w:rsidRDefault="0019031A" w:rsidP="00053A52">
            <w:pPr>
              <w:jc w:val="right"/>
              <w:rPr>
                <w:lang w:eastAsia="en-GB"/>
              </w:rPr>
            </w:pPr>
            <w:r w:rsidRPr="00A52AEE">
              <w:rPr>
                <w:lang w:eastAsia="en-GB"/>
              </w:rPr>
              <w:t>755</w:t>
            </w:r>
          </w:p>
        </w:tc>
        <w:tc>
          <w:tcPr>
            <w:tcW w:w="604" w:type="pct"/>
            <w:tcBorders>
              <w:top w:val="nil"/>
              <w:left w:val="nil"/>
              <w:bottom w:val="single" w:sz="4" w:space="0" w:color="auto"/>
              <w:right w:val="single" w:sz="4" w:space="0" w:color="auto"/>
            </w:tcBorders>
            <w:shd w:val="clear" w:color="auto" w:fill="auto"/>
            <w:noWrap/>
            <w:vAlign w:val="bottom"/>
            <w:hideMark/>
          </w:tcPr>
          <w:p w14:paraId="69216894" w14:textId="77777777" w:rsidR="0019031A" w:rsidRPr="00A52AEE" w:rsidRDefault="0019031A" w:rsidP="00053A52">
            <w:pPr>
              <w:jc w:val="right"/>
              <w:rPr>
                <w:lang w:eastAsia="en-GB"/>
              </w:rPr>
            </w:pPr>
            <w:r w:rsidRPr="00A52AEE">
              <w:rPr>
                <w:lang w:eastAsia="en-GB"/>
              </w:rPr>
              <w:t>780</w:t>
            </w:r>
          </w:p>
        </w:tc>
      </w:tr>
      <w:tr w:rsidR="0019031A" w:rsidRPr="00A52AEE" w14:paraId="456FB7CD"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A1A9A40" w14:textId="77777777" w:rsidR="0019031A" w:rsidRPr="00A52AEE" w:rsidRDefault="0019031A" w:rsidP="00A52AEE">
            <w:pPr>
              <w:rPr>
                <w:lang w:eastAsia="en-GB"/>
              </w:rPr>
            </w:pPr>
            <w:r w:rsidRPr="00A52AEE">
              <w:rPr>
                <w:lang w:eastAsia="en-GB"/>
              </w:rPr>
              <w:t xml:space="preserve">Brunel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699C7585" w14:textId="77777777" w:rsidR="0019031A" w:rsidRPr="00A52AEE" w:rsidRDefault="0019031A" w:rsidP="00053A52">
            <w:pPr>
              <w:jc w:val="right"/>
              <w:rPr>
                <w:lang w:eastAsia="en-GB"/>
              </w:rPr>
            </w:pPr>
            <w:r w:rsidRPr="00A52AEE">
              <w:rPr>
                <w:lang w:eastAsia="en-GB"/>
              </w:rPr>
              <w:t>780</w:t>
            </w:r>
          </w:p>
        </w:tc>
        <w:tc>
          <w:tcPr>
            <w:tcW w:w="579" w:type="pct"/>
            <w:tcBorders>
              <w:top w:val="nil"/>
              <w:left w:val="nil"/>
              <w:bottom w:val="single" w:sz="4" w:space="0" w:color="auto"/>
              <w:right w:val="single" w:sz="4" w:space="0" w:color="auto"/>
            </w:tcBorders>
            <w:shd w:val="clear" w:color="auto" w:fill="auto"/>
            <w:noWrap/>
            <w:vAlign w:val="bottom"/>
            <w:hideMark/>
          </w:tcPr>
          <w:p w14:paraId="32555B4A" w14:textId="77777777" w:rsidR="0019031A" w:rsidRPr="00A52AEE" w:rsidRDefault="0019031A" w:rsidP="00053A52">
            <w:pPr>
              <w:jc w:val="right"/>
              <w:rPr>
                <w:lang w:eastAsia="en-GB"/>
              </w:rPr>
            </w:pPr>
            <w:r w:rsidRPr="00A52AEE">
              <w:rPr>
                <w:lang w:eastAsia="en-GB"/>
              </w:rPr>
              <w:t>570</w:t>
            </w:r>
          </w:p>
        </w:tc>
        <w:tc>
          <w:tcPr>
            <w:tcW w:w="579" w:type="pct"/>
            <w:tcBorders>
              <w:top w:val="nil"/>
              <w:left w:val="nil"/>
              <w:bottom w:val="single" w:sz="4" w:space="0" w:color="auto"/>
              <w:right w:val="single" w:sz="4" w:space="0" w:color="auto"/>
            </w:tcBorders>
            <w:shd w:val="clear" w:color="auto" w:fill="auto"/>
            <w:noWrap/>
            <w:vAlign w:val="bottom"/>
            <w:hideMark/>
          </w:tcPr>
          <w:p w14:paraId="0F9BF5E9" w14:textId="77777777" w:rsidR="0019031A" w:rsidRPr="00A52AEE" w:rsidRDefault="0019031A" w:rsidP="00053A52">
            <w:pPr>
              <w:jc w:val="right"/>
              <w:rPr>
                <w:lang w:eastAsia="en-GB"/>
              </w:rPr>
            </w:pPr>
            <w:r w:rsidRPr="00A52AEE">
              <w:rPr>
                <w:lang w:eastAsia="en-GB"/>
              </w:rPr>
              <w:t>560</w:t>
            </w:r>
          </w:p>
        </w:tc>
        <w:tc>
          <w:tcPr>
            <w:tcW w:w="651" w:type="pct"/>
            <w:tcBorders>
              <w:top w:val="nil"/>
              <w:left w:val="nil"/>
              <w:bottom w:val="single" w:sz="4" w:space="0" w:color="auto"/>
              <w:right w:val="single" w:sz="4" w:space="0" w:color="auto"/>
            </w:tcBorders>
            <w:shd w:val="clear" w:color="auto" w:fill="auto"/>
            <w:noWrap/>
            <w:vAlign w:val="bottom"/>
            <w:hideMark/>
          </w:tcPr>
          <w:p w14:paraId="6D359ED1" w14:textId="77777777" w:rsidR="0019031A" w:rsidRPr="00A52AEE" w:rsidRDefault="0019031A" w:rsidP="00053A52">
            <w:pPr>
              <w:jc w:val="right"/>
              <w:rPr>
                <w:lang w:eastAsia="en-GB"/>
              </w:rPr>
            </w:pPr>
            <w:r w:rsidRPr="00A52AEE">
              <w:rPr>
                <w:lang w:eastAsia="en-GB"/>
              </w:rPr>
              <w:t>450</w:t>
            </w:r>
          </w:p>
        </w:tc>
        <w:tc>
          <w:tcPr>
            <w:tcW w:w="604" w:type="pct"/>
            <w:tcBorders>
              <w:top w:val="nil"/>
              <w:left w:val="nil"/>
              <w:bottom w:val="single" w:sz="4" w:space="0" w:color="auto"/>
              <w:right w:val="single" w:sz="4" w:space="0" w:color="auto"/>
            </w:tcBorders>
            <w:shd w:val="clear" w:color="auto" w:fill="auto"/>
            <w:noWrap/>
            <w:vAlign w:val="bottom"/>
            <w:hideMark/>
          </w:tcPr>
          <w:p w14:paraId="3D1ABA74" w14:textId="77777777" w:rsidR="0019031A" w:rsidRPr="00A52AEE" w:rsidRDefault="0019031A" w:rsidP="00053A52">
            <w:pPr>
              <w:jc w:val="right"/>
              <w:rPr>
                <w:lang w:eastAsia="en-GB"/>
              </w:rPr>
            </w:pPr>
            <w:r w:rsidRPr="00A52AEE">
              <w:rPr>
                <w:lang w:eastAsia="en-GB"/>
              </w:rPr>
              <w:t>385</w:t>
            </w:r>
          </w:p>
        </w:tc>
      </w:tr>
      <w:tr w:rsidR="0019031A" w:rsidRPr="00A52AEE" w14:paraId="730C96C1"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69EB0E22" w14:textId="77777777" w:rsidR="0019031A" w:rsidRPr="00A52AEE" w:rsidRDefault="0019031A" w:rsidP="00A52AEE">
            <w:pPr>
              <w:rPr>
                <w:lang w:eastAsia="en-GB"/>
              </w:rPr>
            </w:pPr>
            <w:r w:rsidRPr="00A52AEE">
              <w:rPr>
                <w:lang w:eastAsia="en-GB"/>
              </w:rPr>
              <w:t xml:space="preserve">Roehampton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798A264F" w14:textId="77777777" w:rsidR="0019031A" w:rsidRPr="00A52AEE" w:rsidRDefault="0019031A" w:rsidP="00053A52">
            <w:pPr>
              <w:jc w:val="right"/>
              <w:rPr>
                <w:lang w:eastAsia="en-GB"/>
              </w:rPr>
            </w:pPr>
            <w:r w:rsidRPr="00A52AEE">
              <w:rPr>
                <w:lang w:eastAsia="en-GB"/>
              </w:rPr>
              <w:t>595</w:t>
            </w:r>
          </w:p>
        </w:tc>
        <w:tc>
          <w:tcPr>
            <w:tcW w:w="579" w:type="pct"/>
            <w:tcBorders>
              <w:top w:val="nil"/>
              <w:left w:val="nil"/>
              <w:bottom w:val="single" w:sz="4" w:space="0" w:color="auto"/>
              <w:right w:val="single" w:sz="4" w:space="0" w:color="auto"/>
            </w:tcBorders>
            <w:shd w:val="clear" w:color="auto" w:fill="auto"/>
            <w:noWrap/>
            <w:vAlign w:val="bottom"/>
            <w:hideMark/>
          </w:tcPr>
          <w:p w14:paraId="43EC9D7C" w14:textId="77777777" w:rsidR="0019031A" w:rsidRPr="00A52AEE" w:rsidRDefault="0019031A" w:rsidP="00053A52">
            <w:pPr>
              <w:jc w:val="right"/>
              <w:rPr>
                <w:lang w:eastAsia="en-GB"/>
              </w:rPr>
            </w:pPr>
            <w:r w:rsidRPr="00A52AEE">
              <w:rPr>
                <w:lang w:eastAsia="en-GB"/>
              </w:rPr>
              <w:t>445</w:t>
            </w:r>
          </w:p>
        </w:tc>
        <w:tc>
          <w:tcPr>
            <w:tcW w:w="579" w:type="pct"/>
            <w:tcBorders>
              <w:top w:val="nil"/>
              <w:left w:val="nil"/>
              <w:bottom w:val="single" w:sz="4" w:space="0" w:color="auto"/>
              <w:right w:val="single" w:sz="4" w:space="0" w:color="auto"/>
            </w:tcBorders>
            <w:shd w:val="clear" w:color="auto" w:fill="auto"/>
            <w:noWrap/>
            <w:vAlign w:val="bottom"/>
            <w:hideMark/>
          </w:tcPr>
          <w:p w14:paraId="67627064" w14:textId="77777777" w:rsidR="0019031A" w:rsidRPr="00A52AEE" w:rsidRDefault="0019031A" w:rsidP="00053A52">
            <w:pPr>
              <w:jc w:val="right"/>
              <w:rPr>
                <w:lang w:eastAsia="en-GB"/>
              </w:rPr>
            </w:pPr>
            <w:r w:rsidRPr="00A52AEE">
              <w:rPr>
                <w:lang w:eastAsia="en-GB"/>
              </w:rPr>
              <w:t>545</w:t>
            </w:r>
          </w:p>
        </w:tc>
        <w:tc>
          <w:tcPr>
            <w:tcW w:w="651" w:type="pct"/>
            <w:tcBorders>
              <w:top w:val="nil"/>
              <w:left w:val="nil"/>
              <w:bottom w:val="single" w:sz="4" w:space="0" w:color="auto"/>
              <w:right w:val="single" w:sz="4" w:space="0" w:color="auto"/>
            </w:tcBorders>
            <w:shd w:val="clear" w:color="auto" w:fill="auto"/>
            <w:noWrap/>
            <w:vAlign w:val="bottom"/>
            <w:hideMark/>
          </w:tcPr>
          <w:p w14:paraId="467E9E12" w14:textId="77777777" w:rsidR="0019031A" w:rsidRPr="00A52AEE" w:rsidRDefault="0019031A" w:rsidP="00053A52">
            <w:pPr>
              <w:jc w:val="right"/>
              <w:rPr>
                <w:lang w:eastAsia="en-GB"/>
              </w:rPr>
            </w:pPr>
            <w:r w:rsidRPr="00A52AEE">
              <w:rPr>
                <w:lang w:eastAsia="en-GB"/>
              </w:rPr>
              <w:t>420</w:t>
            </w:r>
          </w:p>
        </w:tc>
        <w:tc>
          <w:tcPr>
            <w:tcW w:w="604" w:type="pct"/>
            <w:tcBorders>
              <w:top w:val="nil"/>
              <w:left w:val="nil"/>
              <w:bottom w:val="single" w:sz="4" w:space="0" w:color="auto"/>
              <w:right w:val="single" w:sz="4" w:space="0" w:color="auto"/>
            </w:tcBorders>
            <w:shd w:val="clear" w:color="auto" w:fill="auto"/>
            <w:noWrap/>
            <w:vAlign w:val="bottom"/>
            <w:hideMark/>
          </w:tcPr>
          <w:p w14:paraId="0282E80B" w14:textId="77777777" w:rsidR="0019031A" w:rsidRPr="00A52AEE" w:rsidRDefault="0019031A" w:rsidP="00053A52">
            <w:pPr>
              <w:jc w:val="right"/>
              <w:rPr>
                <w:lang w:eastAsia="en-GB"/>
              </w:rPr>
            </w:pPr>
            <w:r w:rsidRPr="00A52AEE">
              <w:rPr>
                <w:lang w:eastAsia="en-GB"/>
              </w:rPr>
              <w:t>405</w:t>
            </w:r>
          </w:p>
        </w:tc>
      </w:tr>
      <w:tr w:rsidR="0019031A" w:rsidRPr="00A52AEE" w14:paraId="32342759"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45006320" w14:textId="77777777" w:rsidR="0019031A" w:rsidRPr="00A52AEE" w:rsidRDefault="0019031A" w:rsidP="00A52AEE">
            <w:pPr>
              <w:rPr>
                <w:lang w:eastAsia="en-GB"/>
              </w:rPr>
            </w:pPr>
            <w:r w:rsidRPr="00A52AEE">
              <w:rPr>
                <w:lang w:eastAsia="en-GB"/>
              </w:rPr>
              <w:t xml:space="preserve">Queen Mary University of London </w:t>
            </w:r>
          </w:p>
        </w:tc>
        <w:tc>
          <w:tcPr>
            <w:tcW w:w="578" w:type="pct"/>
            <w:tcBorders>
              <w:top w:val="nil"/>
              <w:left w:val="nil"/>
              <w:bottom w:val="single" w:sz="4" w:space="0" w:color="auto"/>
              <w:right w:val="single" w:sz="4" w:space="0" w:color="auto"/>
            </w:tcBorders>
            <w:shd w:val="clear" w:color="auto" w:fill="auto"/>
            <w:noWrap/>
            <w:vAlign w:val="bottom"/>
            <w:hideMark/>
          </w:tcPr>
          <w:p w14:paraId="3AE79A84" w14:textId="77777777" w:rsidR="0019031A" w:rsidRPr="00A52AEE" w:rsidRDefault="0019031A" w:rsidP="00053A52">
            <w:pPr>
              <w:jc w:val="right"/>
              <w:rPr>
                <w:lang w:eastAsia="en-GB"/>
              </w:rPr>
            </w:pPr>
            <w:r w:rsidRPr="00A52AEE">
              <w:rPr>
                <w:lang w:eastAsia="en-GB"/>
              </w:rPr>
              <w:t>705</w:t>
            </w:r>
          </w:p>
        </w:tc>
        <w:tc>
          <w:tcPr>
            <w:tcW w:w="579" w:type="pct"/>
            <w:tcBorders>
              <w:top w:val="nil"/>
              <w:left w:val="nil"/>
              <w:bottom w:val="single" w:sz="4" w:space="0" w:color="auto"/>
              <w:right w:val="single" w:sz="4" w:space="0" w:color="auto"/>
            </w:tcBorders>
            <w:shd w:val="clear" w:color="auto" w:fill="auto"/>
            <w:noWrap/>
            <w:vAlign w:val="bottom"/>
            <w:hideMark/>
          </w:tcPr>
          <w:p w14:paraId="621F9643" w14:textId="77777777" w:rsidR="0019031A" w:rsidRPr="00A52AEE" w:rsidRDefault="0019031A" w:rsidP="00053A52">
            <w:pPr>
              <w:jc w:val="right"/>
              <w:rPr>
                <w:lang w:eastAsia="en-GB"/>
              </w:rPr>
            </w:pPr>
            <w:r w:rsidRPr="00A52AEE">
              <w:rPr>
                <w:lang w:eastAsia="en-GB"/>
              </w:rPr>
              <w:t>490</w:t>
            </w:r>
          </w:p>
        </w:tc>
        <w:tc>
          <w:tcPr>
            <w:tcW w:w="579" w:type="pct"/>
            <w:tcBorders>
              <w:top w:val="nil"/>
              <w:left w:val="nil"/>
              <w:bottom w:val="single" w:sz="4" w:space="0" w:color="auto"/>
              <w:right w:val="single" w:sz="4" w:space="0" w:color="auto"/>
            </w:tcBorders>
            <w:shd w:val="clear" w:color="auto" w:fill="auto"/>
            <w:noWrap/>
            <w:vAlign w:val="bottom"/>
            <w:hideMark/>
          </w:tcPr>
          <w:p w14:paraId="70D48026" w14:textId="77777777" w:rsidR="0019031A" w:rsidRPr="00A52AEE" w:rsidRDefault="0019031A" w:rsidP="00053A52">
            <w:pPr>
              <w:jc w:val="right"/>
              <w:rPr>
                <w:lang w:eastAsia="en-GB"/>
              </w:rPr>
            </w:pPr>
            <w:r w:rsidRPr="00A52AEE">
              <w:rPr>
                <w:lang w:eastAsia="en-GB"/>
              </w:rPr>
              <w:t>395</w:t>
            </w:r>
          </w:p>
        </w:tc>
        <w:tc>
          <w:tcPr>
            <w:tcW w:w="651" w:type="pct"/>
            <w:tcBorders>
              <w:top w:val="nil"/>
              <w:left w:val="nil"/>
              <w:bottom w:val="single" w:sz="4" w:space="0" w:color="auto"/>
              <w:right w:val="single" w:sz="4" w:space="0" w:color="auto"/>
            </w:tcBorders>
            <w:shd w:val="clear" w:color="auto" w:fill="auto"/>
            <w:noWrap/>
            <w:vAlign w:val="bottom"/>
            <w:hideMark/>
          </w:tcPr>
          <w:p w14:paraId="23451CA8" w14:textId="77777777" w:rsidR="0019031A" w:rsidRPr="00A52AEE" w:rsidRDefault="0019031A" w:rsidP="00053A52">
            <w:pPr>
              <w:jc w:val="right"/>
              <w:rPr>
                <w:lang w:eastAsia="en-GB"/>
              </w:rPr>
            </w:pPr>
            <w:r w:rsidRPr="00A52AEE">
              <w:rPr>
                <w:lang w:eastAsia="en-GB"/>
              </w:rPr>
              <w:t>320</w:t>
            </w:r>
          </w:p>
        </w:tc>
        <w:tc>
          <w:tcPr>
            <w:tcW w:w="604" w:type="pct"/>
            <w:tcBorders>
              <w:top w:val="nil"/>
              <w:left w:val="nil"/>
              <w:bottom w:val="single" w:sz="4" w:space="0" w:color="auto"/>
              <w:right w:val="single" w:sz="4" w:space="0" w:color="auto"/>
            </w:tcBorders>
            <w:shd w:val="clear" w:color="auto" w:fill="auto"/>
            <w:noWrap/>
            <w:vAlign w:val="bottom"/>
            <w:hideMark/>
          </w:tcPr>
          <w:p w14:paraId="2D690D68" w14:textId="77777777" w:rsidR="0019031A" w:rsidRPr="00A52AEE" w:rsidRDefault="0019031A" w:rsidP="00053A52">
            <w:pPr>
              <w:jc w:val="right"/>
              <w:rPr>
                <w:lang w:eastAsia="en-GB"/>
              </w:rPr>
            </w:pPr>
            <w:r w:rsidRPr="00A52AEE">
              <w:rPr>
                <w:lang w:eastAsia="en-GB"/>
              </w:rPr>
              <w:t>310</w:t>
            </w:r>
          </w:p>
        </w:tc>
      </w:tr>
      <w:tr w:rsidR="0019031A" w:rsidRPr="00A52AEE" w14:paraId="5B38F7A0"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15D64FA3" w14:textId="5FEA9E8F" w:rsidR="0019031A" w:rsidRPr="00A52AEE" w:rsidRDefault="0019031A" w:rsidP="00A52AEE">
            <w:pPr>
              <w:rPr>
                <w:lang w:eastAsia="en-GB"/>
              </w:rPr>
            </w:pPr>
            <w:r w:rsidRPr="00A52AEE">
              <w:rPr>
                <w:lang w:eastAsia="en-GB"/>
              </w:rPr>
              <w:t xml:space="preserve">City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59B9CC92" w14:textId="77777777" w:rsidR="0019031A" w:rsidRPr="00A52AEE" w:rsidRDefault="0019031A" w:rsidP="00053A52">
            <w:pPr>
              <w:jc w:val="right"/>
              <w:rPr>
                <w:lang w:eastAsia="en-GB"/>
              </w:rPr>
            </w:pPr>
            <w:r w:rsidRPr="00A52AEE">
              <w:rPr>
                <w:lang w:eastAsia="en-GB"/>
              </w:rPr>
              <w:t>525</w:t>
            </w:r>
          </w:p>
        </w:tc>
        <w:tc>
          <w:tcPr>
            <w:tcW w:w="579" w:type="pct"/>
            <w:tcBorders>
              <w:top w:val="nil"/>
              <w:left w:val="nil"/>
              <w:bottom w:val="single" w:sz="4" w:space="0" w:color="auto"/>
              <w:right w:val="single" w:sz="4" w:space="0" w:color="auto"/>
            </w:tcBorders>
            <w:shd w:val="clear" w:color="auto" w:fill="auto"/>
            <w:noWrap/>
            <w:vAlign w:val="bottom"/>
            <w:hideMark/>
          </w:tcPr>
          <w:p w14:paraId="47E9EB42" w14:textId="77777777" w:rsidR="0019031A" w:rsidRPr="00A52AEE" w:rsidRDefault="0019031A" w:rsidP="00053A52">
            <w:pPr>
              <w:jc w:val="right"/>
              <w:rPr>
                <w:lang w:eastAsia="en-GB"/>
              </w:rPr>
            </w:pPr>
            <w:r w:rsidRPr="00A52AEE">
              <w:rPr>
                <w:lang w:eastAsia="en-GB"/>
              </w:rPr>
              <w:t>475</w:t>
            </w:r>
          </w:p>
        </w:tc>
        <w:tc>
          <w:tcPr>
            <w:tcW w:w="579" w:type="pct"/>
            <w:tcBorders>
              <w:top w:val="nil"/>
              <w:left w:val="nil"/>
              <w:bottom w:val="single" w:sz="4" w:space="0" w:color="auto"/>
              <w:right w:val="single" w:sz="4" w:space="0" w:color="auto"/>
            </w:tcBorders>
            <w:shd w:val="clear" w:color="auto" w:fill="auto"/>
            <w:noWrap/>
            <w:vAlign w:val="bottom"/>
            <w:hideMark/>
          </w:tcPr>
          <w:p w14:paraId="73F3243B" w14:textId="77777777" w:rsidR="0019031A" w:rsidRPr="00A52AEE" w:rsidRDefault="0019031A" w:rsidP="00053A52">
            <w:pPr>
              <w:jc w:val="right"/>
              <w:rPr>
                <w:lang w:eastAsia="en-GB"/>
              </w:rPr>
            </w:pPr>
            <w:r w:rsidRPr="00A52AEE">
              <w:rPr>
                <w:lang w:eastAsia="en-GB"/>
              </w:rPr>
              <w:t>400</w:t>
            </w:r>
          </w:p>
        </w:tc>
        <w:tc>
          <w:tcPr>
            <w:tcW w:w="651" w:type="pct"/>
            <w:tcBorders>
              <w:top w:val="nil"/>
              <w:left w:val="nil"/>
              <w:bottom w:val="single" w:sz="4" w:space="0" w:color="auto"/>
              <w:right w:val="single" w:sz="4" w:space="0" w:color="auto"/>
            </w:tcBorders>
            <w:shd w:val="clear" w:color="auto" w:fill="auto"/>
            <w:noWrap/>
            <w:vAlign w:val="bottom"/>
            <w:hideMark/>
          </w:tcPr>
          <w:p w14:paraId="51C1E2CB" w14:textId="77777777" w:rsidR="0019031A" w:rsidRPr="00A52AEE" w:rsidRDefault="0019031A" w:rsidP="00053A52">
            <w:pPr>
              <w:jc w:val="right"/>
              <w:rPr>
                <w:lang w:eastAsia="en-GB"/>
              </w:rPr>
            </w:pPr>
            <w:r w:rsidRPr="00A52AEE">
              <w:rPr>
                <w:lang w:eastAsia="en-GB"/>
              </w:rPr>
              <w:t>405</w:t>
            </w:r>
          </w:p>
        </w:tc>
        <w:tc>
          <w:tcPr>
            <w:tcW w:w="604" w:type="pct"/>
            <w:tcBorders>
              <w:top w:val="nil"/>
              <w:left w:val="nil"/>
              <w:bottom w:val="single" w:sz="4" w:space="0" w:color="auto"/>
              <w:right w:val="single" w:sz="4" w:space="0" w:color="auto"/>
            </w:tcBorders>
            <w:shd w:val="clear" w:color="auto" w:fill="auto"/>
            <w:noWrap/>
            <w:vAlign w:val="bottom"/>
            <w:hideMark/>
          </w:tcPr>
          <w:p w14:paraId="16266D3A" w14:textId="77777777" w:rsidR="0019031A" w:rsidRPr="00A52AEE" w:rsidRDefault="0019031A" w:rsidP="00053A52">
            <w:pPr>
              <w:jc w:val="right"/>
              <w:rPr>
                <w:lang w:eastAsia="en-GB"/>
              </w:rPr>
            </w:pPr>
            <w:r w:rsidRPr="00A52AEE">
              <w:rPr>
                <w:lang w:eastAsia="en-GB"/>
              </w:rPr>
              <w:t>270</w:t>
            </w:r>
          </w:p>
        </w:tc>
      </w:tr>
      <w:tr w:rsidR="0019031A" w:rsidRPr="00A52AEE" w14:paraId="7404D0F6"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33809FC0" w14:textId="77777777" w:rsidR="0019031A" w:rsidRPr="00A52AEE" w:rsidRDefault="0019031A" w:rsidP="00A52AEE">
            <w:pPr>
              <w:rPr>
                <w:lang w:eastAsia="en-GB"/>
              </w:rPr>
            </w:pPr>
            <w:r w:rsidRPr="00A52AEE">
              <w:rPr>
                <w:lang w:eastAsia="en-GB"/>
              </w:rPr>
              <w:t xml:space="preserve">University of Bedfordshire   </w:t>
            </w:r>
          </w:p>
        </w:tc>
        <w:tc>
          <w:tcPr>
            <w:tcW w:w="578" w:type="pct"/>
            <w:tcBorders>
              <w:top w:val="nil"/>
              <w:left w:val="nil"/>
              <w:bottom w:val="single" w:sz="4" w:space="0" w:color="auto"/>
              <w:right w:val="single" w:sz="4" w:space="0" w:color="auto"/>
            </w:tcBorders>
            <w:shd w:val="clear" w:color="auto" w:fill="auto"/>
            <w:noWrap/>
            <w:vAlign w:val="bottom"/>
            <w:hideMark/>
          </w:tcPr>
          <w:p w14:paraId="687D4E6E" w14:textId="77777777" w:rsidR="0019031A" w:rsidRPr="00A52AEE" w:rsidRDefault="0019031A" w:rsidP="00053A52">
            <w:pPr>
              <w:jc w:val="right"/>
              <w:rPr>
                <w:lang w:eastAsia="en-GB"/>
              </w:rPr>
            </w:pPr>
            <w:r w:rsidRPr="00A52AEE">
              <w:rPr>
                <w:lang w:eastAsia="en-GB"/>
              </w:rPr>
              <w:t>175</w:t>
            </w:r>
          </w:p>
        </w:tc>
        <w:tc>
          <w:tcPr>
            <w:tcW w:w="579" w:type="pct"/>
            <w:tcBorders>
              <w:top w:val="nil"/>
              <w:left w:val="nil"/>
              <w:bottom w:val="single" w:sz="4" w:space="0" w:color="auto"/>
              <w:right w:val="single" w:sz="4" w:space="0" w:color="auto"/>
            </w:tcBorders>
            <w:shd w:val="clear" w:color="auto" w:fill="auto"/>
            <w:noWrap/>
            <w:vAlign w:val="bottom"/>
            <w:hideMark/>
          </w:tcPr>
          <w:p w14:paraId="2A36CF51" w14:textId="77777777" w:rsidR="0019031A" w:rsidRPr="00A52AEE" w:rsidRDefault="0019031A" w:rsidP="00053A52">
            <w:pPr>
              <w:jc w:val="right"/>
              <w:rPr>
                <w:lang w:eastAsia="en-GB"/>
              </w:rPr>
            </w:pPr>
            <w:r w:rsidRPr="00A52AEE">
              <w:rPr>
                <w:lang w:eastAsia="en-GB"/>
              </w:rPr>
              <w:t>285</w:t>
            </w:r>
          </w:p>
        </w:tc>
        <w:tc>
          <w:tcPr>
            <w:tcW w:w="579" w:type="pct"/>
            <w:tcBorders>
              <w:top w:val="nil"/>
              <w:left w:val="nil"/>
              <w:bottom w:val="single" w:sz="4" w:space="0" w:color="auto"/>
              <w:right w:val="single" w:sz="4" w:space="0" w:color="auto"/>
            </w:tcBorders>
            <w:shd w:val="clear" w:color="auto" w:fill="auto"/>
            <w:noWrap/>
            <w:vAlign w:val="bottom"/>
            <w:hideMark/>
          </w:tcPr>
          <w:p w14:paraId="13BC2BD9" w14:textId="77777777" w:rsidR="0019031A" w:rsidRPr="00A52AEE" w:rsidRDefault="0019031A" w:rsidP="00053A52">
            <w:pPr>
              <w:jc w:val="right"/>
              <w:rPr>
                <w:lang w:eastAsia="en-GB"/>
              </w:rPr>
            </w:pPr>
            <w:r w:rsidRPr="00A52AEE">
              <w:rPr>
                <w:lang w:eastAsia="en-GB"/>
              </w:rPr>
              <w:t>435</w:t>
            </w:r>
          </w:p>
        </w:tc>
        <w:tc>
          <w:tcPr>
            <w:tcW w:w="651" w:type="pct"/>
            <w:tcBorders>
              <w:top w:val="nil"/>
              <w:left w:val="nil"/>
              <w:bottom w:val="single" w:sz="4" w:space="0" w:color="auto"/>
              <w:right w:val="single" w:sz="4" w:space="0" w:color="auto"/>
            </w:tcBorders>
            <w:shd w:val="clear" w:color="auto" w:fill="auto"/>
            <w:noWrap/>
            <w:vAlign w:val="bottom"/>
            <w:hideMark/>
          </w:tcPr>
          <w:p w14:paraId="34EADA02" w14:textId="77777777" w:rsidR="0019031A" w:rsidRPr="00A52AEE" w:rsidRDefault="0019031A" w:rsidP="00053A52">
            <w:pPr>
              <w:jc w:val="right"/>
              <w:rPr>
                <w:lang w:eastAsia="en-GB"/>
              </w:rPr>
            </w:pPr>
            <w:r w:rsidRPr="00A52AEE">
              <w:rPr>
                <w:lang w:eastAsia="en-GB"/>
              </w:rPr>
              <w:t>525</w:t>
            </w:r>
          </w:p>
        </w:tc>
        <w:tc>
          <w:tcPr>
            <w:tcW w:w="604" w:type="pct"/>
            <w:tcBorders>
              <w:top w:val="nil"/>
              <w:left w:val="nil"/>
              <w:bottom w:val="single" w:sz="4" w:space="0" w:color="auto"/>
              <w:right w:val="single" w:sz="4" w:space="0" w:color="auto"/>
            </w:tcBorders>
            <w:shd w:val="clear" w:color="auto" w:fill="auto"/>
            <w:noWrap/>
            <w:vAlign w:val="bottom"/>
            <w:hideMark/>
          </w:tcPr>
          <w:p w14:paraId="30BA3EB7" w14:textId="77777777" w:rsidR="0019031A" w:rsidRPr="00A52AEE" w:rsidRDefault="0019031A" w:rsidP="00053A52">
            <w:pPr>
              <w:jc w:val="right"/>
              <w:rPr>
                <w:lang w:eastAsia="en-GB"/>
              </w:rPr>
            </w:pPr>
            <w:r w:rsidRPr="00A52AEE">
              <w:rPr>
                <w:lang w:eastAsia="en-GB"/>
              </w:rPr>
              <w:t>455</w:t>
            </w:r>
          </w:p>
        </w:tc>
      </w:tr>
      <w:tr w:rsidR="0019031A" w:rsidRPr="00A52AEE" w14:paraId="58CEF6BC"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7D16F71" w14:textId="2A6FB5AE" w:rsidR="0019031A" w:rsidRPr="00A52AEE" w:rsidRDefault="0019031A" w:rsidP="00A52AEE">
            <w:pPr>
              <w:rPr>
                <w:lang w:eastAsia="en-GB"/>
              </w:rPr>
            </w:pPr>
            <w:r w:rsidRPr="00A52AEE">
              <w:rPr>
                <w:lang w:eastAsia="en-GB"/>
              </w:rPr>
              <w:t xml:space="preserve">University of West London </w:t>
            </w:r>
          </w:p>
        </w:tc>
        <w:tc>
          <w:tcPr>
            <w:tcW w:w="578" w:type="pct"/>
            <w:tcBorders>
              <w:top w:val="nil"/>
              <w:left w:val="nil"/>
              <w:bottom w:val="single" w:sz="4" w:space="0" w:color="auto"/>
              <w:right w:val="single" w:sz="4" w:space="0" w:color="auto"/>
            </w:tcBorders>
            <w:shd w:val="clear" w:color="auto" w:fill="auto"/>
            <w:noWrap/>
            <w:vAlign w:val="bottom"/>
            <w:hideMark/>
          </w:tcPr>
          <w:p w14:paraId="38AD287B" w14:textId="77777777" w:rsidR="0019031A" w:rsidRPr="00A52AEE" w:rsidRDefault="0019031A" w:rsidP="00053A52">
            <w:pPr>
              <w:jc w:val="right"/>
              <w:rPr>
                <w:lang w:eastAsia="en-GB"/>
              </w:rPr>
            </w:pPr>
            <w:r w:rsidRPr="00A52AEE">
              <w:rPr>
                <w:lang w:eastAsia="en-GB"/>
              </w:rPr>
              <w:t>320</w:t>
            </w:r>
          </w:p>
        </w:tc>
        <w:tc>
          <w:tcPr>
            <w:tcW w:w="579" w:type="pct"/>
            <w:tcBorders>
              <w:top w:val="nil"/>
              <w:left w:val="nil"/>
              <w:bottom w:val="single" w:sz="4" w:space="0" w:color="auto"/>
              <w:right w:val="single" w:sz="4" w:space="0" w:color="auto"/>
            </w:tcBorders>
            <w:shd w:val="clear" w:color="auto" w:fill="auto"/>
            <w:noWrap/>
            <w:vAlign w:val="bottom"/>
            <w:hideMark/>
          </w:tcPr>
          <w:p w14:paraId="65F6B5D9" w14:textId="77777777" w:rsidR="0019031A" w:rsidRPr="00A52AEE" w:rsidRDefault="0019031A" w:rsidP="00053A52">
            <w:pPr>
              <w:jc w:val="right"/>
              <w:rPr>
                <w:lang w:eastAsia="en-GB"/>
              </w:rPr>
            </w:pPr>
            <w:r w:rsidRPr="00A52AEE">
              <w:rPr>
                <w:lang w:eastAsia="en-GB"/>
              </w:rPr>
              <w:t>330</w:t>
            </w:r>
          </w:p>
        </w:tc>
        <w:tc>
          <w:tcPr>
            <w:tcW w:w="579" w:type="pct"/>
            <w:tcBorders>
              <w:top w:val="nil"/>
              <w:left w:val="nil"/>
              <w:bottom w:val="single" w:sz="4" w:space="0" w:color="auto"/>
              <w:right w:val="single" w:sz="4" w:space="0" w:color="auto"/>
            </w:tcBorders>
            <w:shd w:val="clear" w:color="auto" w:fill="auto"/>
            <w:noWrap/>
            <w:vAlign w:val="bottom"/>
            <w:hideMark/>
          </w:tcPr>
          <w:p w14:paraId="44AB2464" w14:textId="77777777" w:rsidR="0019031A" w:rsidRPr="00A52AEE" w:rsidRDefault="0019031A" w:rsidP="00053A52">
            <w:pPr>
              <w:jc w:val="right"/>
              <w:rPr>
                <w:lang w:eastAsia="en-GB"/>
              </w:rPr>
            </w:pPr>
            <w:r w:rsidRPr="00A52AEE">
              <w:rPr>
                <w:lang w:eastAsia="en-GB"/>
              </w:rPr>
              <w:t>345</w:t>
            </w:r>
          </w:p>
        </w:tc>
        <w:tc>
          <w:tcPr>
            <w:tcW w:w="651" w:type="pct"/>
            <w:tcBorders>
              <w:top w:val="nil"/>
              <w:left w:val="nil"/>
              <w:bottom w:val="single" w:sz="4" w:space="0" w:color="auto"/>
              <w:right w:val="single" w:sz="4" w:space="0" w:color="auto"/>
            </w:tcBorders>
            <w:shd w:val="clear" w:color="auto" w:fill="auto"/>
            <w:noWrap/>
            <w:vAlign w:val="bottom"/>
            <w:hideMark/>
          </w:tcPr>
          <w:p w14:paraId="749FF301" w14:textId="77777777" w:rsidR="0019031A" w:rsidRPr="00A52AEE" w:rsidRDefault="0019031A" w:rsidP="00053A52">
            <w:pPr>
              <w:jc w:val="right"/>
              <w:rPr>
                <w:lang w:eastAsia="en-GB"/>
              </w:rPr>
            </w:pPr>
            <w:r w:rsidRPr="00A52AEE">
              <w:rPr>
                <w:lang w:eastAsia="en-GB"/>
              </w:rPr>
              <w:t>340</w:t>
            </w:r>
          </w:p>
        </w:tc>
        <w:tc>
          <w:tcPr>
            <w:tcW w:w="604" w:type="pct"/>
            <w:tcBorders>
              <w:top w:val="nil"/>
              <w:left w:val="nil"/>
              <w:bottom w:val="single" w:sz="4" w:space="0" w:color="auto"/>
              <w:right w:val="single" w:sz="4" w:space="0" w:color="auto"/>
            </w:tcBorders>
            <w:shd w:val="clear" w:color="auto" w:fill="auto"/>
            <w:noWrap/>
            <w:vAlign w:val="bottom"/>
            <w:hideMark/>
          </w:tcPr>
          <w:p w14:paraId="373A7609" w14:textId="77777777" w:rsidR="0019031A" w:rsidRPr="00A52AEE" w:rsidRDefault="0019031A" w:rsidP="00053A52">
            <w:pPr>
              <w:jc w:val="right"/>
              <w:rPr>
                <w:lang w:eastAsia="en-GB"/>
              </w:rPr>
            </w:pPr>
            <w:r w:rsidRPr="00A52AEE">
              <w:rPr>
                <w:lang w:eastAsia="en-GB"/>
              </w:rPr>
              <w:t>325</w:t>
            </w:r>
          </w:p>
        </w:tc>
      </w:tr>
      <w:tr w:rsidR="0019031A" w:rsidRPr="00A52AEE" w14:paraId="5DA673C5"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16DC5E5F" w14:textId="19756DA4" w:rsidR="0019031A" w:rsidRPr="00A52AEE" w:rsidRDefault="0019031A" w:rsidP="00A52AEE">
            <w:pPr>
              <w:rPr>
                <w:lang w:eastAsia="en-GB"/>
              </w:rPr>
            </w:pPr>
            <w:r w:rsidRPr="00A52AEE">
              <w:rPr>
                <w:lang w:eastAsia="en-GB"/>
              </w:rPr>
              <w:t xml:space="preserve">University of Kent  </w:t>
            </w:r>
          </w:p>
        </w:tc>
        <w:tc>
          <w:tcPr>
            <w:tcW w:w="578" w:type="pct"/>
            <w:tcBorders>
              <w:top w:val="nil"/>
              <w:left w:val="nil"/>
              <w:bottom w:val="single" w:sz="4" w:space="0" w:color="auto"/>
              <w:right w:val="single" w:sz="4" w:space="0" w:color="auto"/>
            </w:tcBorders>
            <w:shd w:val="clear" w:color="auto" w:fill="auto"/>
            <w:noWrap/>
            <w:vAlign w:val="bottom"/>
            <w:hideMark/>
          </w:tcPr>
          <w:p w14:paraId="1F1D0E59" w14:textId="77777777" w:rsidR="0019031A" w:rsidRPr="00A52AEE" w:rsidRDefault="0019031A" w:rsidP="00053A52">
            <w:pPr>
              <w:jc w:val="right"/>
              <w:rPr>
                <w:lang w:eastAsia="en-GB"/>
              </w:rPr>
            </w:pPr>
            <w:r w:rsidRPr="00A52AEE">
              <w:rPr>
                <w:lang w:eastAsia="en-GB"/>
              </w:rPr>
              <w:t>285</w:t>
            </w:r>
          </w:p>
        </w:tc>
        <w:tc>
          <w:tcPr>
            <w:tcW w:w="579" w:type="pct"/>
            <w:tcBorders>
              <w:top w:val="nil"/>
              <w:left w:val="nil"/>
              <w:bottom w:val="single" w:sz="4" w:space="0" w:color="auto"/>
              <w:right w:val="single" w:sz="4" w:space="0" w:color="auto"/>
            </w:tcBorders>
            <w:shd w:val="clear" w:color="auto" w:fill="auto"/>
            <w:noWrap/>
            <w:vAlign w:val="bottom"/>
            <w:hideMark/>
          </w:tcPr>
          <w:p w14:paraId="38BC29C6" w14:textId="77777777" w:rsidR="0019031A" w:rsidRPr="00A52AEE" w:rsidRDefault="0019031A" w:rsidP="00053A52">
            <w:pPr>
              <w:jc w:val="right"/>
              <w:rPr>
                <w:lang w:eastAsia="en-GB"/>
              </w:rPr>
            </w:pPr>
            <w:r w:rsidRPr="00A52AEE">
              <w:rPr>
                <w:lang w:eastAsia="en-GB"/>
              </w:rPr>
              <w:t>325</w:t>
            </w:r>
          </w:p>
        </w:tc>
        <w:tc>
          <w:tcPr>
            <w:tcW w:w="579" w:type="pct"/>
            <w:tcBorders>
              <w:top w:val="nil"/>
              <w:left w:val="nil"/>
              <w:bottom w:val="single" w:sz="4" w:space="0" w:color="auto"/>
              <w:right w:val="single" w:sz="4" w:space="0" w:color="auto"/>
            </w:tcBorders>
            <w:shd w:val="clear" w:color="auto" w:fill="auto"/>
            <w:noWrap/>
            <w:vAlign w:val="bottom"/>
            <w:hideMark/>
          </w:tcPr>
          <w:p w14:paraId="259B68AC" w14:textId="77777777" w:rsidR="0019031A" w:rsidRPr="00A52AEE" w:rsidRDefault="0019031A" w:rsidP="00053A52">
            <w:pPr>
              <w:jc w:val="right"/>
              <w:rPr>
                <w:lang w:eastAsia="en-GB"/>
              </w:rPr>
            </w:pPr>
            <w:r w:rsidRPr="00A52AEE">
              <w:rPr>
                <w:lang w:eastAsia="en-GB"/>
              </w:rPr>
              <w:t>295</w:t>
            </w:r>
          </w:p>
        </w:tc>
        <w:tc>
          <w:tcPr>
            <w:tcW w:w="651" w:type="pct"/>
            <w:tcBorders>
              <w:top w:val="nil"/>
              <w:left w:val="nil"/>
              <w:bottom w:val="single" w:sz="4" w:space="0" w:color="auto"/>
              <w:right w:val="single" w:sz="4" w:space="0" w:color="auto"/>
            </w:tcBorders>
            <w:shd w:val="clear" w:color="auto" w:fill="auto"/>
            <w:noWrap/>
            <w:vAlign w:val="bottom"/>
            <w:hideMark/>
          </w:tcPr>
          <w:p w14:paraId="560B5CDC" w14:textId="77777777" w:rsidR="0019031A" w:rsidRPr="00A52AEE" w:rsidRDefault="0019031A" w:rsidP="00053A52">
            <w:pPr>
              <w:jc w:val="right"/>
              <w:rPr>
                <w:lang w:eastAsia="en-GB"/>
              </w:rPr>
            </w:pPr>
            <w:r w:rsidRPr="00A52AEE">
              <w:rPr>
                <w:lang w:eastAsia="en-GB"/>
              </w:rPr>
              <w:t>320</w:t>
            </w:r>
          </w:p>
        </w:tc>
        <w:tc>
          <w:tcPr>
            <w:tcW w:w="604" w:type="pct"/>
            <w:tcBorders>
              <w:top w:val="nil"/>
              <w:left w:val="nil"/>
              <w:bottom w:val="single" w:sz="4" w:space="0" w:color="auto"/>
              <w:right w:val="single" w:sz="4" w:space="0" w:color="auto"/>
            </w:tcBorders>
            <w:shd w:val="clear" w:color="auto" w:fill="auto"/>
            <w:noWrap/>
            <w:vAlign w:val="bottom"/>
            <w:hideMark/>
          </w:tcPr>
          <w:p w14:paraId="0CF63D9D" w14:textId="77777777" w:rsidR="0019031A" w:rsidRPr="00A52AEE" w:rsidRDefault="0019031A" w:rsidP="00053A52">
            <w:pPr>
              <w:jc w:val="right"/>
              <w:rPr>
                <w:lang w:eastAsia="en-GB"/>
              </w:rPr>
            </w:pPr>
            <w:r w:rsidRPr="00A52AEE">
              <w:rPr>
                <w:lang w:eastAsia="en-GB"/>
              </w:rPr>
              <w:t>285</w:t>
            </w:r>
          </w:p>
        </w:tc>
      </w:tr>
      <w:tr w:rsidR="0019031A" w:rsidRPr="00A52AEE" w14:paraId="4161A8AB"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55B42E32" w14:textId="77777777" w:rsidR="0019031A" w:rsidRPr="00A52AEE" w:rsidRDefault="0019031A" w:rsidP="00A52AEE">
            <w:pPr>
              <w:rPr>
                <w:lang w:eastAsia="en-GB"/>
              </w:rPr>
            </w:pPr>
            <w:r w:rsidRPr="00A52AEE">
              <w:rPr>
                <w:lang w:eastAsia="en-GB"/>
              </w:rPr>
              <w:t xml:space="preserve">University of the Arts, London </w:t>
            </w:r>
          </w:p>
        </w:tc>
        <w:tc>
          <w:tcPr>
            <w:tcW w:w="578" w:type="pct"/>
            <w:tcBorders>
              <w:top w:val="nil"/>
              <w:left w:val="nil"/>
              <w:bottom w:val="single" w:sz="4" w:space="0" w:color="auto"/>
              <w:right w:val="single" w:sz="4" w:space="0" w:color="auto"/>
            </w:tcBorders>
            <w:shd w:val="clear" w:color="auto" w:fill="auto"/>
            <w:noWrap/>
            <w:vAlign w:val="bottom"/>
            <w:hideMark/>
          </w:tcPr>
          <w:p w14:paraId="7C5D2800" w14:textId="77777777" w:rsidR="0019031A" w:rsidRPr="00A52AEE" w:rsidRDefault="0019031A" w:rsidP="00053A52">
            <w:pPr>
              <w:jc w:val="right"/>
              <w:rPr>
                <w:lang w:eastAsia="en-GB"/>
              </w:rPr>
            </w:pPr>
            <w:r w:rsidRPr="00A52AEE">
              <w:rPr>
                <w:lang w:eastAsia="en-GB"/>
              </w:rPr>
              <w:t>260</w:t>
            </w:r>
          </w:p>
        </w:tc>
        <w:tc>
          <w:tcPr>
            <w:tcW w:w="579" w:type="pct"/>
            <w:tcBorders>
              <w:top w:val="nil"/>
              <w:left w:val="nil"/>
              <w:bottom w:val="single" w:sz="4" w:space="0" w:color="auto"/>
              <w:right w:val="single" w:sz="4" w:space="0" w:color="auto"/>
            </w:tcBorders>
            <w:shd w:val="clear" w:color="auto" w:fill="auto"/>
            <w:noWrap/>
            <w:vAlign w:val="bottom"/>
            <w:hideMark/>
          </w:tcPr>
          <w:p w14:paraId="1CD48129" w14:textId="77777777" w:rsidR="0019031A" w:rsidRPr="00A52AEE" w:rsidRDefault="0019031A" w:rsidP="00053A52">
            <w:pPr>
              <w:jc w:val="right"/>
              <w:rPr>
                <w:lang w:eastAsia="en-GB"/>
              </w:rPr>
            </w:pPr>
            <w:r w:rsidRPr="00A52AEE">
              <w:rPr>
                <w:lang w:eastAsia="en-GB"/>
              </w:rPr>
              <w:t>285</w:t>
            </w:r>
          </w:p>
        </w:tc>
        <w:tc>
          <w:tcPr>
            <w:tcW w:w="579" w:type="pct"/>
            <w:tcBorders>
              <w:top w:val="nil"/>
              <w:left w:val="nil"/>
              <w:bottom w:val="single" w:sz="4" w:space="0" w:color="auto"/>
              <w:right w:val="single" w:sz="4" w:space="0" w:color="auto"/>
            </w:tcBorders>
            <w:shd w:val="clear" w:color="auto" w:fill="auto"/>
            <w:noWrap/>
            <w:vAlign w:val="bottom"/>
            <w:hideMark/>
          </w:tcPr>
          <w:p w14:paraId="1F6BD0CC" w14:textId="77777777" w:rsidR="0019031A" w:rsidRPr="00A52AEE" w:rsidRDefault="0019031A" w:rsidP="00053A52">
            <w:pPr>
              <w:jc w:val="right"/>
              <w:rPr>
                <w:lang w:eastAsia="en-GB"/>
              </w:rPr>
            </w:pPr>
            <w:r w:rsidRPr="00A52AEE">
              <w:rPr>
                <w:lang w:eastAsia="en-GB"/>
              </w:rPr>
              <w:t>225</w:t>
            </w:r>
          </w:p>
        </w:tc>
        <w:tc>
          <w:tcPr>
            <w:tcW w:w="651" w:type="pct"/>
            <w:tcBorders>
              <w:top w:val="nil"/>
              <w:left w:val="nil"/>
              <w:bottom w:val="single" w:sz="4" w:space="0" w:color="auto"/>
              <w:right w:val="single" w:sz="4" w:space="0" w:color="auto"/>
            </w:tcBorders>
            <w:shd w:val="clear" w:color="auto" w:fill="auto"/>
            <w:noWrap/>
            <w:vAlign w:val="bottom"/>
            <w:hideMark/>
          </w:tcPr>
          <w:p w14:paraId="0635DFDB" w14:textId="77777777" w:rsidR="0019031A" w:rsidRPr="00A52AEE" w:rsidRDefault="0019031A" w:rsidP="00053A52">
            <w:pPr>
              <w:jc w:val="right"/>
              <w:rPr>
                <w:lang w:eastAsia="en-GB"/>
              </w:rPr>
            </w:pPr>
            <w:r w:rsidRPr="00A52AEE">
              <w:rPr>
                <w:lang w:eastAsia="en-GB"/>
              </w:rPr>
              <w:t>235</w:t>
            </w:r>
          </w:p>
        </w:tc>
        <w:tc>
          <w:tcPr>
            <w:tcW w:w="604" w:type="pct"/>
            <w:tcBorders>
              <w:top w:val="nil"/>
              <w:left w:val="nil"/>
              <w:bottom w:val="single" w:sz="4" w:space="0" w:color="auto"/>
              <w:right w:val="single" w:sz="4" w:space="0" w:color="auto"/>
            </w:tcBorders>
            <w:shd w:val="clear" w:color="auto" w:fill="auto"/>
            <w:noWrap/>
            <w:vAlign w:val="bottom"/>
            <w:hideMark/>
          </w:tcPr>
          <w:p w14:paraId="5BD97B72" w14:textId="77777777" w:rsidR="0019031A" w:rsidRPr="00A52AEE" w:rsidRDefault="0019031A" w:rsidP="00053A52">
            <w:pPr>
              <w:jc w:val="right"/>
              <w:rPr>
                <w:lang w:eastAsia="en-GB"/>
              </w:rPr>
            </w:pPr>
            <w:r w:rsidRPr="00A52AEE">
              <w:rPr>
                <w:lang w:eastAsia="en-GB"/>
              </w:rPr>
              <w:t>265</w:t>
            </w:r>
          </w:p>
        </w:tc>
      </w:tr>
      <w:tr w:rsidR="0019031A" w:rsidRPr="00A52AEE" w14:paraId="25176C54"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5A90834F" w14:textId="77777777" w:rsidR="0019031A" w:rsidRPr="00A52AEE" w:rsidRDefault="0019031A" w:rsidP="00A52AEE">
            <w:pPr>
              <w:rPr>
                <w:lang w:eastAsia="en-GB"/>
              </w:rPr>
            </w:pPr>
            <w:r w:rsidRPr="00A52AEE">
              <w:rPr>
                <w:lang w:eastAsia="en-GB"/>
              </w:rPr>
              <w:t xml:space="preserve">King's College London   </w:t>
            </w:r>
          </w:p>
        </w:tc>
        <w:tc>
          <w:tcPr>
            <w:tcW w:w="578" w:type="pct"/>
            <w:tcBorders>
              <w:top w:val="nil"/>
              <w:left w:val="nil"/>
              <w:bottom w:val="single" w:sz="4" w:space="0" w:color="auto"/>
              <w:right w:val="single" w:sz="4" w:space="0" w:color="auto"/>
            </w:tcBorders>
            <w:shd w:val="clear" w:color="auto" w:fill="auto"/>
            <w:noWrap/>
            <w:vAlign w:val="bottom"/>
            <w:hideMark/>
          </w:tcPr>
          <w:p w14:paraId="750A49B5" w14:textId="77777777" w:rsidR="0019031A" w:rsidRPr="00A52AEE" w:rsidRDefault="0019031A" w:rsidP="00053A52">
            <w:pPr>
              <w:jc w:val="right"/>
              <w:rPr>
                <w:lang w:eastAsia="en-GB"/>
              </w:rPr>
            </w:pPr>
            <w:r w:rsidRPr="00A52AEE">
              <w:rPr>
                <w:lang w:eastAsia="en-GB"/>
              </w:rPr>
              <w:t>285</w:t>
            </w:r>
          </w:p>
        </w:tc>
        <w:tc>
          <w:tcPr>
            <w:tcW w:w="579" w:type="pct"/>
            <w:tcBorders>
              <w:top w:val="nil"/>
              <w:left w:val="nil"/>
              <w:bottom w:val="single" w:sz="4" w:space="0" w:color="auto"/>
              <w:right w:val="single" w:sz="4" w:space="0" w:color="auto"/>
            </w:tcBorders>
            <w:shd w:val="clear" w:color="auto" w:fill="auto"/>
            <w:noWrap/>
            <w:vAlign w:val="bottom"/>
            <w:hideMark/>
          </w:tcPr>
          <w:p w14:paraId="26BAA70E" w14:textId="77777777" w:rsidR="0019031A" w:rsidRPr="00A52AEE" w:rsidRDefault="0019031A" w:rsidP="00053A52">
            <w:pPr>
              <w:jc w:val="right"/>
              <w:rPr>
                <w:lang w:eastAsia="en-GB"/>
              </w:rPr>
            </w:pPr>
            <w:r w:rsidRPr="00A52AEE">
              <w:rPr>
                <w:lang w:eastAsia="en-GB"/>
              </w:rPr>
              <w:t>285</w:t>
            </w:r>
          </w:p>
        </w:tc>
        <w:tc>
          <w:tcPr>
            <w:tcW w:w="579" w:type="pct"/>
            <w:tcBorders>
              <w:top w:val="nil"/>
              <w:left w:val="nil"/>
              <w:bottom w:val="single" w:sz="4" w:space="0" w:color="auto"/>
              <w:right w:val="single" w:sz="4" w:space="0" w:color="auto"/>
            </w:tcBorders>
            <w:shd w:val="clear" w:color="auto" w:fill="auto"/>
            <w:noWrap/>
            <w:vAlign w:val="bottom"/>
            <w:hideMark/>
          </w:tcPr>
          <w:p w14:paraId="61A79921" w14:textId="77777777" w:rsidR="0019031A" w:rsidRPr="00A52AEE" w:rsidRDefault="0019031A" w:rsidP="00053A52">
            <w:pPr>
              <w:jc w:val="right"/>
              <w:rPr>
                <w:lang w:eastAsia="en-GB"/>
              </w:rPr>
            </w:pPr>
            <w:r w:rsidRPr="00A52AEE">
              <w:rPr>
                <w:lang w:eastAsia="en-GB"/>
              </w:rPr>
              <w:t>230</w:t>
            </w:r>
          </w:p>
        </w:tc>
        <w:tc>
          <w:tcPr>
            <w:tcW w:w="651" w:type="pct"/>
            <w:tcBorders>
              <w:top w:val="nil"/>
              <w:left w:val="nil"/>
              <w:bottom w:val="single" w:sz="4" w:space="0" w:color="auto"/>
              <w:right w:val="single" w:sz="4" w:space="0" w:color="auto"/>
            </w:tcBorders>
            <w:shd w:val="clear" w:color="auto" w:fill="auto"/>
            <w:noWrap/>
            <w:vAlign w:val="bottom"/>
            <w:hideMark/>
          </w:tcPr>
          <w:p w14:paraId="75AA670B" w14:textId="77777777" w:rsidR="0019031A" w:rsidRPr="00A52AEE" w:rsidRDefault="0019031A" w:rsidP="00053A52">
            <w:pPr>
              <w:jc w:val="right"/>
              <w:rPr>
                <w:lang w:eastAsia="en-GB"/>
              </w:rPr>
            </w:pPr>
            <w:r w:rsidRPr="00A52AEE">
              <w:rPr>
                <w:lang w:eastAsia="en-GB"/>
              </w:rPr>
              <w:t>180</w:t>
            </w:r>
          </w:p>
        </w:tc>
        <w:tc>
          <w:tcPr>
            <w:tcW w:w="604" w:type="pct"/>
            <w:tcBorders>
              <w:top w:val="nil"/>
              <w:left w:val="nil"/>
              <w:bottom w:val="single" w:sz="4" w:space="0" w:color="auto"/>
              <w:right w:val="single" w:sz="4" w:space="0" w:color="auto"/>
            </w:tcBorders>
            <w:shd w:val="clear" w:color="auto" w:fill="auto"/>
            <w:noWrap/>
            <w:vAlign w:val="bottom"/>
            <w:hideMark/>
          </w:tcPr>
          <w:p w14:paraId="25400BF5" w14:textId="77777777" w:rsidR="0019031A" w:rsidRPr="00A52AEE" w:rsidRDefault="0019031A" w:rsidP="00053A52">
            <w:pPr>
              <w:jc w:val="right"/>
              <w:rPr>
                <w:lang w:eastAsia="en-GB"/>
              </w:rPr>
            </w:pPr>
            <w:r w:rsidRPr="00A52AEE">
              <w:rPr>
                <w:lang w:eastAsia="en-GB"/>
              </w:rPr>
              <w:t>210</w:t>
            </w:r>
          </w:p>
        </w:tc>
      </w:tr>
      <w:tr w:rsidR="0019031A" w:rsidRPr="00A52AEE" w14:paraId="333C7493"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0EA3A072" w14:textId="77777777" w:rsidR="0019031A" w:rsidRPr="00A52AEE" w:rsidRDefault="0019031A" w:rsidP="00A52AEE">
            <w:pPr>
              <w:rPr>
                <w:lang w:eastAsia="en-GB"/>
              </w:rPr>
            </w:pPr>
            <w:r w:rsidRPr="00A52AEE">
              <w:rPr>
                <w:lang w:eastAsia="en-GB"/>
              </w:rPr>
              <w:t xml:space="preserve">De Montfort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364EE54B" w14:textId="77777777" w:rsidR="0019031A" w:rsidRPr="00A52AEE" w:rsidRDefault="0019031A" w:rsidP="00053A52">
            <w:pPr>
              <w:jc w:val="right"/>
              <w:rPr>
                <w:lang w:eastAsia="en-GB"/>
              </w:rPr>
            </w:pPr>
            <w:r w:rsidRPr="00A52AEE">
              <w:rPr>
                <w:lang w:eastAsia="en-GB"/>
              </w:rPr>
              <w:t>190</w:t>
            </w:r>
          </w:p>
        </w:tc>
        <w:tc>
          <w:tcPr>
            <w:tcW w:w="579" w:type="pct"/>
            <w:tcBorders>
              <w:top w:val="nil"/>
              <w:left w:val="nil"/>
              <w:bottom w:val="single" w:sz="4" w:space="0" w:color="auto"/>
              <w:right w:val="single" w:sz="4" w:space="0" w:color="auto"/>
            </w:tcBorders>
            <w:shd w:val="clear" w:color="auto" w:fill="auto"/>
            <w:noWrap/>
            <w:vAlign w:val="bottom"/>
            <w:hideMark/>
          </w:tcPr>
          <w:p w14:paraId="0BBF4AB6" w14:textId="77777777" w:rsidR="0019031A" w:rsidRPr="00A52AEE" w:rsidRDefault="0019031A" w:rsidP="00053A52">
            <w:pPr>
              <w:jc w:val="right"/>
              <w:rPr>
                <w:lang w:eastAsia="en-GB"/>
              </w:rPr>
            </w:pPr>
            <w:r w:rsidRPr="00A52AEE">
              <w:rPr>
                <w:lang w:eastAsia="en-GB"/>
              </w:rPr>
              <w:t>305</w:t>
            </w:r>
          </w:p>
        </w:tc>
        <w:tc>
          <w:tcPr>
            <w:tcW w:w="579" w:type="pct"/>
            <w:tcBorders>
              <w:top w:val="nil"/>
              <w:left w:val="nil"/>
              <w:bottom w:val="single" w:sz="4" w:space="0" w:color="auto"/>
              <w:right w:val="single" w:sz="4" w:space="0" w:color="auto"/>
            </w:tcBorders>
            <w:shd w:val="clear" w:color="auto" w:fill="auto"/>
            <w:noWrap/>
            <w:vAlign w:val="bottom"/>
            <w:hideMark/>
          </w:tcPr>
          <w:p w14:paraId="44A1E123" w14:textId="77777777" w:rsidR="0019031A" w:rsidRPr="00A52AEE" w:rsidRDefault="0019031A" w:rsidP="00053A52">
            <w:pPr>
              <w:jc w:val="right"/>
              <w:rPr>
                <w:lang w:eastAsia="en-GB"/>
              </w:rPr>
            </w:pPr>
            <w:r w:rsidRPr="00A52AEE">
              <w:rPr>
                <w:lang w:eastAsia="en-GB"/>
              </w:rPr>
              <w:t>230</w:t>
            </w:r>
          </w:p>
        </w:tc>
        <w:tc>
          <w:tcPr>
            <w:tcW w:w="651" w:type="pct"/>
            <w:tcBorders>
              <w:top w:val="nil"/>
              <w:left w:val="nil"/>
              <w:bottom w:val="single" w:sz="4" w:space="0" w:color="auto"/>
              <w:right w:val="single" w:sz="4" w:space="0" w:color="auto"/>
            </w:tcBorders>
            <w:shd w:val="clear" w:color="auto" w:fill="auto"/>
            <w:noWrap/>
            <w:vAlign w:val="bottom"/>
            <w:hideMark/>
          </w:tcPr>
          <w:p w14:paraId="1146DE53" w14:textId="77777777" w:rsidR="0019031A" w:rsidRPr="00A52AEE" w:rsidRDefault="0019031A" w:rsidP="00053A52">
            <w:pPr>
              <w:jc w:val="right"/>
              <w:rPr>
                <w:lang w:eastAsia="en-GB"/>
              </w:rPr>
            </w:pPr>
            <w:r w:rsidRPr="00A52AEE">
              <w:rPr>
                <w:lang w:eastAsia="en-GB"/>
              </w:rPr>
              <w:t>190</w:t>
            </w:r>
          </w:p>
        </w:tc>
        <w:tc>
          <w:tcPr>
            <w:tcW w:w="604" w:type="pct"/>
            <w:tcBorders>
              <w:top w:val="nil"/>
              <w:left w:val="nil"/>
              <w:bottom w:val="single" w:sz="4" w:space="0" w:color="auto"/>
              <w:right w:val="single" w:sz="4" w:space="0" w:color="auto"/>
            </w:tcBorders>
            <w:shd w:val="clear" w:color="auto" w:fill="auto"/>
            <w:noWrap/>
            <w:vAlign w:val="bottom"/>
            <w:hideMark/>
          </w:tcPr>
          <w:p w14:paraId="66CBCB20" w14:textId="77777777" w:rsidR="0019031A" w:rsidRPr="00A52AEE" w:rsidRDefault="0019031A" w:rsidP="00053A52">
            <w:pPr>
              <w:jc w:val="right"/>
              <w:rPr>
                <w:lang w:eastAsia="en-GB"/>
              </w:rPr>
            </w:pPr>
            <w:r w:rsidRPr="00A52AEE">
              <w:rPr>
                <w:lang w:eastAsia="en-GB"/>
              </w:rPr>
              <w:t>220</w:t>
            </w:r>
          </w:p>
        </w:tc>
      </w:tr>
      <w:tr w:rsidR="0019031A" w:rsidRPr="00A52AEE" w14:paraId="058F5EA3"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3150FF19" w14:textId="77777777" w:rsidR="0019031A" w:rsidRPr="00A52AEE" w:rsidRDefault="0019031A" w:rsidP="00A52AEE">
            <w:pPr>
              <w:rPr>
                <w:lang w:eastAsia="en-GB"/>
              </w:rPr>
            </w:pPr>
            <w:r w:rsidRPr="00A52AEE">
              <w:rPr>
                <w:lang w:eastAsia="en-GB"/>
              </w:rPr>
              <w:t xml:space="preserve">Goldsmiths College    </w:t>
            </w:r>
          </w:p>
        </w:tc>
        <w:tc>
          <w:tcPr>
            <w:tcW w:w="578" w:type="pct"/>
            <w:tcBorders>
              <w:top w:val="nil"/>
              <w:left w:val="nil"/>
              <w:bottom w:val="single" w:sz="4" w:space="0" w:color="auto"/>
              <w:right w:val="single" w:sz="4" w:space="0" w:color="auto"/>
            </w:tcBorders>
            <w:shd w:val="clear" w:color="auto" w:fill="auto"/>
            <w:noWrap/>
            <w:vAlign w:val="bottom"/>
            <w:hideMark/>
          </w:tcPr>
          <w:p w14:paraId="0B5737CE" w14:textId="77777777" w:rsidR="0019031A" w:rsidRPr="00A52AEE" w:rsidRDefault="0019031A" w:rsidP="00053A52">
            <w:pPr>
              <w:jc w:val="right"/>
              <w:rPr>
                <w:lang w:eastAsia="en-GB"/>
              </w:rPr>
            </w:pPr>
            <w:r w:rsidRPr="00A52AEE">
              <w:rPr>
                <w:lang w:eastAsia="en-GB"/>
              </w:rPr>
              <w:t>260</w:t>
            </w:r>
          </w:p>
        </w:tc>
        <w:tc>
          <w:tcPr>
            <w:tcW w:w="579" w:type="pct"/>
            <w:tcBorders>
              <w:top w:val="nil"/>
              <w:left w:val="nil"/>
              <w:bottom w:val="single" w:sz="4" w:space="0" w:color="auto"/>
              <w:right w:val="single" w:sz="4" w:space="0" w:color="auto"/>
            </w:tcBorders>
            <w:shd w:val="clear" w:color="auto" w:fill="auto"/>
            <w:noWrap/>
            <w:vAlign w:val="bottom"/>
            <w:hideMark/>
          </w:tcPr>
          <w:p w14:paraId="2C048585" w14:textId="77777777" w:rsidR="0019031A" w:rsidRPr="00A52AEE" w:rsidRDefault="0019031A" w:rsidP="00053A52">
            <w:pPr>
              <w:jc w:val="right"/>
              <w:rPr>
                <w:lang w:eastAsia="en-GB"/>
              </w:rPr>
            </w:pPr>
            <w:r w:rsidRPr="00A52AEE">
              <w:rPr>
                <w:lang w:eastAsia="en-GB"/>
              </w:rPr>
              <w:t>230</w:t>
            </w:r>
          </w:p>
        </w:tc>
        <w:tc>
          <w:tcPr>
            <w:tcW w:w="579" w:type="pct"/>
            <w:tcBorders>
              <w:top w:val="nil"/>
              <w:left w:val="nil"/>
              <w:bottom w:val="single" w:sz="4" w:space="0" w:color="auto"/>
              <w:right w:val="single" w:sz="4" w:space="0" w:color="auto"/>
            </w:tcBorders>
            <w:shd w:val="clear" w:color="auto" w:fill="auto"/>
            <w:noWrap/>
            <w:vAlign w:val="bottom"/>
            <w:hideMark/>
          </w:tcPr>
          <w:p w14:paraId="4483152F" w14:textId="77777777" w:rsidR="0019031A" w:rsidRPr="00A52AEE" w:rsidRDefault="0019031A" w:rsidP="00053A52">
            <w:pPr>
              <w:jc w:val="right"/>
              <w:rPr>
                <w:lang w:eastAsia="en-GB"/>
              </w:rPr>
            </w:pPr>
            <w:r w:rsidRPr="00A52AEE">
              <w:rPr>
                <w:lang w:eastAsia="en-GB"/>
              </w:rPr>
              <w:t>200</w:t>
            </w:r>
          </w:p>
        </w:tc>
        <w:tc>
          <w:tcPr>
            <w:tcW w:w="651" w:type="pct"/>
            <w:tcBorders>
              <w:top w:val="nil"/>
              <w:left w:val="nil"/>
              <w:bottom w:val="single" w:sz="4" w:space="0" w:color="auto"/>
              <w:right w:val="single" w:sz="4" w:space="0" w:color="auto"/>
            </w:tcBorders>
            <w:shd w:val="clear" w:color="auto" w:fill="auto"/>
            <w:noWrap/>
            <w:vAlign w:val="bottom"/>
            <w:hideMark/>
          </w:tcPr>
          <w:p w14:paraId="73D08C0E" w14:textId="77777777" w:rsidR="0019031A" w:rsidRPr="00A52AEE" w:rsidRDefault="0019031A" w:rsidP="00053A52">
            <w:pPr>
              <w:jc w:val="right"/>
              <w:rPr>
                <w:lang w:eastAsia="en-GB"/>
              </w:rPr>
            </w:pPr>
            <w:r w:rsidRPr="00A52AEE">
              <w:rPr>
                <w:lang w:eastAsia="en-GB"/>
              </w:rPr>
              <w:t>185</w:t>
            </w:r>
          </w:p>
        </w:tc>
        <w:tc>
          <w:tcPr>
            <w:tcW w:w="604" w:type="pct"/>
            <w:tcBorders>
              <w:top w:val="nil"/>
              <w:left w:val="nil"/>
              <w:bottom w:val="single" w:sz="4" w:space="0" w:color="auto"/>
              <w:right w:val="single" w:sz="4" w:space="0" w:color="auto"/>
            </w:tcBorders>
            <w:shd w:val="clear" w:color="auto" w:fill="auto"/>
            <w:noWrap/>
            <w:vAlign w:val="bottom"/>
            <w:hideMark/>
          </w:tcPr>
          <w:p w14:paraId="2299E914" w14:textId="77777777" w:rsidR="0019031A" w:rsidRPr="00A52AEE" w:rsidRDefault="0019031A" w:rsidP="00053A52">
            <w:pPr>
              <w:jc w:val="right"/>
              <w:rPr>
                <w:lang w:eastAsia="en-GB"/>
              </w:rPr>
            </w:pPr>
            <w:r w:rsidRPr="00A52AEE">
              <w:rPr>
                <w:lang w:eastAsia="en-GB"/>
              </w:rPr>
              <w:t>220</w:t>
            </w:r>
          </w:p>
        </w:tc>
      </w:tr>
      <w:tr w:rsidR="0019031A" w:rsidRPr="00A52AEE" w14:paraId="516826EB"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682E59CC" w14:textId="77777777" w:rsidR="0019031A" w:rsidRPr="00A52AEE" w:rsidRDefault="0019031A" w:rsidP="00A52AEE">
            <w:pPr>
              <w:rPr>
                <w:lang w:eastAsia="en-GB"/>
              </w:rPr>
            </w:pPr>
            <w:r w:rsidRPr="00A52AEE">
              <w:rPr>
                <w:lang w:eastAsia="en-GB"/>
              </w:rPr>
              <w:t xml:space="preserve">Coventry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5537C4FE" w14:textId="77777777" w:rsidR="0019031A" w:rsidRPr="00A52AEE" w:rsidRDefault="0019031A" w:rsidP="00053A52">
            <w:pPr>
              <w:jc w:val="right"/>
              <w:rPr>
                <w:lang w:eastAsia="en-GB"/>
              </w:rPr>
            </w:pPr>
            <w:r w:rsidRPr="00A52AEE">
              <w:rPr>
                <w:lang w:eastAsia="en-GB"/>
              </w:rPr>
              <w:t>100</w:t>
            </w:r>
          </w:p>
        </w:tc>
        <w:tc>
          <w:tcPr>
            <w:tcW w:w="579" w:type="pct"/>
            <w:tcBorders>
              <w:top w:val="nil"/>
              <w:left w:val="nil"/>
              <w:bottom w:val="single" w:sz="4" w:space="0" w:color="auto"/>
              <w:right w:val="single" w:sz="4" w:space="0" w:color="auto"/>
            </w:tcBorders>
            <w:shd w:val="clear" w:color="auto" w:fill="auto"/>
            <w:noWrap/>
            <w:vAlign w:val="bottom"/>
            <w:hideMark/>
          </w:tcPr>
          <w:p w14:paraId="578D34F7" w14:textId="77777777" w:rsidR="0019031A" w:rsidRPr="00A52AEE" w:rsidRDefault="0019031A" w:rsidP="00053A52">
            <w:pPr>
              <w:jc w:val="right"/>
              <w:rPr>
                <w:lang w:eastAsia="en-GB"/>
              </w:rPr>
            </w:pPr>
            <w:r w:rsidRPr="00A52AEE">
              <w:rPr>
                <w:lang w:eastAsia="en-GB"/>
              </w:rPr>
              <w:t>155</w:t>
            </w:r>
          </w:p>
        </w:tc>
        <w:tc>
          <w:tcPr>
            <w:tcW w:w="579" w:type="pct"/>
            <w:tcBorders>
              <w:top w:val="nil"/>
              <w:left w:val="nil"/>
              <w:bottom w:val="single" w:sz="4" w:space="0" w:color="auto"/>
              <w:right w:val="single" w:sz="4" w:space="0" w:color="auto"/>
            </w:tcBorders>
            <w:shd w:val="clear" w:color="auto" w:fill="auto"/>
            <w:noWrap/>
            <w:vAlign w:val="bottom"/>
            <w:hideMark/>
          </w:tcPr>
          <w:p w14:paraId="5F35C8C3" w14:textId="77777777" w:rsidR="0019031A" w:rsidRPr="00A52AEE" w:rsidRDefault="0019031A" w:rsidP="00053A52">
            <w:pPr>
              <w:jc w:val="right"/>
              <w:rPr>
                <w:lang w:eastAsia="en-GB"/>
              </w:rPr>
            </w:pPr>
            <w:r w:rsidRPr="00A52AEE">
              <w:rPr>
                <w:lang w:eastAsia="en-GB"/>
              </w:rPr>
              <w:t>205</w:t>
            </w:r>
          </w:p>
        </w:tc>
        <w:tc>
          <w:tcPr>
            <w:tcW w:w="651" w:type="pct"/>
            <w:tcBorders>
              <w:top w:val="nil"/>
              <w:left w:val="nil"/>
              <w:bottom w:val="single" w:sz="4" w:space="0" w:color="auto"/>
              <w:right w:val="single" w:sz="4" w:space="0" w:color="auto"/>
            </w:tcBorders>
            <w:shd w:val="clear" w:color="auto" w:fill="auto"/>
            <w:noWrap/>
            <w:vAlign w:val="bottom"/>
            <w:hideMark/>
          </w:tcPr>
          <w:p w14:paraId="2D63C34C" w14:textId="77777777" w:rsidR="0019031A" w:rsidRPr="00A52AEE" w:rsidRDefault="0019031A" w:rsidP="00053A52">
            <w:pPr>
              <w:jc w:val="right"/>
              <w:rPr>
                <w:lang w:eastAsia="en-GB"/>
              </w:rPr>
            </w:pPr>
            <w:r w:rsidRPr="00A52AEE">
              <w:rPr>
                <w:lang w:eastAsia="en-GB"/>
              </w:rPr>
              <w:t>265</w:t>
            </w:r>
          </w:p>
        </w:tc>
        <w:tc>
          <w:tcPr>
            <w:tcW w:w="604" w:type="pct"/>
            <w:tcBorders>
              <w:top w:val="nil"/>
              <w:left w:val="nil"/>
              <w:bottom w:val="single" w:sz="4" w:space="0" w:color="auto"/>
              <w:right w:val="single" w:sz="4" w:space="0" w:color="auto"/>
            </w:tcBorders>
            <w:shd w:val="clear" w:color="auto" w:fill="auto"/>
            <w:noWrap/>
            <w:vAlign w:val="bottom"/>
            <w:hideMark/>
          </w:tcPr>
          <w:p w14:paraId="67480802" w14:textId="77777777" w:rsidR="0019031A" w:rsidRPr="00A52AEE" w:rsidRDefault="0019031A" w:rsidP="00053A52">
            <w:pPr>
              <w:jc w:val="right"/>
              <w:rPr>
                <w:lang w:eastAsia="en-GB"/>
              </w:rPr>
            </w:pPr>
            <w:r w:rsidRPr="00A52AEE">
              <w:rPr>
                <w:lang w:eastAsia="en-GB"/>
              </w:rPr>
              <w:t>370</w:t>
            </w:r>
          </w:p>
        </w:tc>
      </w:tr>
      <w:tr w:rsidR="0019031A" w:rsidRPr="00A52AEE" w14:paraId="705EA64E"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23A9D852" w14:textId="64A3476B" w:rsidR="0019031A" w:rsidRPr="00A52AEE" w:rsidRDefault="0093491E" w:rsidP="00A52AEE">
            <w:pPr>
              <w:rPr>
                <w:lang w:eastAsia="en-GB"/>
              </w:rPr>
            </w:pPr>
            <w:r w:rsidRPr="00A52AEE">
              <w:rPr>
                <w:lang w:eastAsia="en-GB"/>
              </w:rPr>
              <w:t>St Mary's University</w:t>
            </w:r>
            <w:r w:rsidR="0019031A" w:rsidRPr="00A52AEE">
              <w:rPr>
                <w:lang w:eastAsia="en-GB"/>
              </w:rPr>
              <w:t xml:space="preserve">, Twickenham </w:t>
            </w:r>
          </w:p>
        </w:tc>
        <w:tc>
          <w:tcPr>
            <w:tcW w:w="578" w:type="pct"/>
            <w:tcBorders>
              <w:top w:val="nil"/>
              <w:left w:val="nil"/>
              <w:bottom w:val="single" w:sz="4" w:space="0" w:color="auto"/>
              <w:right w:val="single" w:sz="4" w:space="0" w:color="auto"/>
            </w:tcBorders>
            <w:shd w:val="clear" w:color="auto" w:fill="auto"/>
            <w:noWrap/>
            <w:vAlign w:val="bottom"/>
            <w:hideMark/>
          </w:tcPr>
          <w:p w14:paraId="45DC7830" w14:textId="77777777" w:rsidR="0019031A" w:rsidRPr="00A52AEE" w:rsidRDefault="0019031A" w:rsidP="00053A52">
            <w:pPr>
              <w:jc w:val="right"/>
              <w:rPr>
                <w:lang w:eastAsia="en-GB"/>
              </w:rPr>
            </w:pPr>
            <w:r w:rsidRPr="00A52AEE">
              <w:rPr>
                <w:lang w:eastAsia="en-GB"/>
              </w:rPr>
              <w:t>185</w:t>
            </w:r>
          </w:p>
        </w:tc>
        <w:tc>
          <w:tcPr>
            <w:tcW w:w="579" w:type="pct"/>
            <w:tcBorders>
              <w:top w:val="nil"/>
              <w:left w:val="nil"/>
              <w:bottom w:val="single" w:sz="4" w:space="0" w:color="auto"/>
              <w:right w:val="single" w:sz="4" w:space="0" w:color="auto"/>
            </w:tcBorders>
            <w:shd w:val="clear" w:color="auto" w:fill="auto"/>
            <w:noWrap/>
            <w:vAlign w:val="bottom"/>
            <w:hideMark/>
          </w:tcPr>
          <w:p w14:paraId="35FB9E55" w14:textId="77777777" w:rsidR="0019031A" w:rsidRPr="00A52AEE" w:rsidRDefault="0019031A" w:rsidP="00053A52">
            <w:pPr>
              <w:jc w:val="right"/>
              <w:rPr>
                <w:lang w:eastAsia="en-GB"/>
              </w:rPr>
            </w:pPr>
            <w:r w:rsidRPr="00A52AEE">
              <w:rPr>
                <w:lang w:eastAsia="en-GB"/>
              </w:rPr>
              <w:t>200</w:t>
            </w:r>
          </w:p>
        </w:tc>
        <w:tc>
          <w:tcPr>
            <w:tcW w:w="579" w:type="pct"/>
            <w:tcBorders>
              <w:top w:val="nil"/>
              <w:left w:val="nil"/>
              <w:bottom w:val="single" w:sz="4" w:space="0" w:color="auto"/>
              <w:right w:val="single" w:sz="4" w:space="0" w:color="auto"/>
            </w:tcBorders>
            <w:shd w:val="clear" w:color="auto" w:fill="auto"/>
            <w:noWrap/>
            <w:vAlign w:val="bottom"/>
            <w:hideMark/>
          </w:tcPr>
          <w:p w14:paraId="10F5F501" w14:textId="77777777" w:rsidR="0019031A" w:rsidRPr="00A52AEE" w:rsidRDefault="0019031A" w:rsidP="00053A52">
            <w:pPr>
              <w:jc w:val="right"/>
              <w:rPr>
                <w:lang w:eastAsia="en-GB"/>
              </w:rPr>
            </w:pPr>
            <w:r w:rsidRPr="00A52AEE">
              <w:rPr>
                <w:lang w:eastAsia="en-GB"/>
              </w:rPr>
              <w:t>265</w:t>
            </w:r>
          </w:p>
        </w:tc>
        <w:tc>
          <w:tcPr>
            <w:tcW w:w="651" w:type="pct"/>
            <w:tcBorders>
              <w:top w:val="nil"/>
              <w:left w:val="nil"/>
              <w:bottom w:val="single" w:sz="4" w:space="0" w:color="auto"/>
              <w:right w:val="single" w:sz="4" w:space="0" w:color="auto"/>
            </w:tcBorders>
            <w:shd w:val="clear" w:color="auto" w:fill="auto"/>
            <w:noWrap/>
            <w:vAlign w:val="bottom"/>
            <w:hideMark/>
          </w:tcPr>
          <w:p w14:paraId="46C4DDD6" w14:textId="77777777" w:rsidR="0019031A" w:rsidRPr="00A52AEE" w:rsidRDefault="0019031A" w:rsidP="00053A52">
            <w:pPr>
              <w:jc w:val="right"/>
              <w:rPr>
                <w:lang w:eastAsia="en-GB"/>
              </w:rPr>
            </w:pPr>
            <w:r w:rsidRPr="00A52AEE">
              <w:rPr>
                <w:lang w:eastAsia="en-GB"/>
              </w:rPr>
              <w:t>240</w:t>
            </w:r>
          </w:p>
        </w:tc>
        <w:tc>
          <w:tcPr>
            <w:tcW w:w="604" w:type="pct"/>
            <w:tcBorders>
              <w:top w:val="nil"/>
              <w:left w:val="nil"/>
              <w:bottom w:val="single" w:sz="4" w:space="0" w:color="auto"/>
              <w:right w:val="single" w:sz="4" w:space="0" w:color="auto"/>
            </w:tcBorders>
            <w:shd w:val="clear" w:color="auto" w:fill="auto"/>
            <w:noWrap/>
            <w:vAlign w:val="bottom"/>
            <w:hideMark/>
          </w:tcPr>
          <w:p w14:paraId="097F369C" w14:textId="77777777" w:rsidR="0019031A" w:rsidRPr="00A52AEE" w:rsidRDefault="0019031A" w:rsidP="00053A52">
            <w:pPr>
              <w:jc w:val="right"/>
              <w:rPr>
                <w:lang w:eastAsia="en-GB"/>
              </w:rPr>
            </w:pPr>
            <w:r w:rsidRPr="00A52AEE">
              <w:rPr>
                <w:lang w:eastAsia="en-GB"/>
              </w:rPr>
              <w:t>200</w:t>
            </w:r>
          </w:p>
        </w:tc>
      </w:tr>
      <w:tr w:rsidR="0019031A" w:rsidRPr="00A52AEE" w14:paraId="26A2A20B"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A1F01E8" w14:textId="1264676F" w:rsidR="0019031A" w:rsidRPr="00A52AEE" w:rsidRDefault="0019031A" w:rsidP="00A52AEE">
            <w:pPr>
              <w:rPr>
                <w:lang w:eastAsia="en-GB"/>
              </w:rPr>
            </w:pPr>
            <w:r w:rsidRPr="00A52AEE">
              <w:rPr>
                <w:lang w:eastAsia="en-GB"/>
              </w:rPr>
              <w:t xml:space="preserve">University of Portsmouth  </w:t>
            </w:r>
          </w:p>
        </w:tc>
        <w:tc>
          <w:tcPr>
            <w:tcW w:w="578" w:type="pct"/>
            <w:tcBorders>
              <w:top w:val="nil"/>
              <w:left w:val="nil"/>
              <w:bottom w:val="single" w:sz="4" w:space="0" w:color="auto"/>
              <w:right w:val="single" w:sz="4" w:space="0" w:color="auto"/>
            </w:tcBorders>
            <w:shd w:val="clear" w:color="auto" w:fill="auto"/>
            <w:noWrap/>
            <w:vAlign w:val="bottom"/>
            <w:hideMark/>
          </w:tcPr>
          <w:p w14:paraId="12991FFD" w14:textId="77777777" w:rsidR="0019031A" w:rsidRPr="00A52AEE" w:rsidRDefault="0019031A" w:rsidP="00053A52">
            <w:pPr>
              <w:jc w:val="right"/>
              <w:rPr>
                <w:lang w:eastAsia="en-GB"/>
              </w:rPr>
            </w:pPr>
            <w:r w:rsidRPr="00A52AEE">
              <w:rPr>
                <w:lang w:eastAsia="en-GB"/>
              </w:rPr>
              <w:t>220</w:t>
            </w:r>
          </w:p>
        </w:tc>
        <w:tc>
          <w:tcPr>
            <w:tcW w:w="579" w:type="pct"/>
            <w:tcBorders>
              <w:top w:val="nil"/>
              <w:left w:val="nil"/>
              <w:bottom w:val="single" w:sz="4" w:space="0" w:color="auto"/>
              <w:right w:val="single" w:sz="4" w:space="0" w:color="auto"/>
            </w:tcBorders>
            <w:shd w:val="clear" w:color="auto" w:fill="auto"/>
            <w:noWrap/>
            <w:vAlign w:val="bottom"/>
            <w:hideMark/>
          </w:tcPr>
          <w:p w14:paraId="176CE662" w14:textId="77777777" w:rsidR="0019031A" w:rsidRPr="00A52AEE" w:rsidRDefault="0019031A" w:rsidP="00053A52">
            <w:pPr>
              <w:jc w:val="right"/>
              <w:rPr>
                <w:lang w:eastAsia="en-GB"/>
              </w:rPr>
            </w:pPr>
            <w:r w:rsidRPr="00A52AEE">
              <w:rPr>
                <w:lang w:eastAsia="en-GB"/>
              </w:rPr>
              <w:t>185</w:t>
            </w:r>
          </w:p>
        </w:tc>
        <w:tc>
          <w:tcPr>
            <w:tcW w:w="579" w:type="pct"/>
            <w:tcBorders>
              <w:top w:val="nil"/>
              <w:left w:val="nil"/>
              <w:bottom w:val="single" w:sz="4" w:space="0" w:color="auto"/>
              <w:right w:val="single" w:sz="4" w:space="0" w:color="auto"/>
            </w:tcBorders>
            <w:shd w:val="clear" w:color="auto" w:fill="auto"/>
            <w:noWrap/>
            <w:vAlign w:val="bottom"/>
            <w:hideMark/>
          </w:tcPr>
          <w:p w14:paraId="47CEFD4A" w14:textId="77777777" w:rsidR="0019031A" w:rsidRPr="00A52AEE" w:rsidRDefault="0019031A" w:rsidP="00053A52">
            <w:pPr>
              <w:jc w:val="right"/>
              <w:rPr>
                <w:lang w:eastAsia="en-GB"/>
              </w:rPr>
            </w:pPr>
            <w:r w:rsidRPr="00A52AEE">
              <w:rPr>
                <w:lang w:eastAsia="en-GB"/>
              </w:rPr>
              <w:t>200</w:t>
            </w:r>
          </w:p>
        </w:tc>
        <w:tc>
          <w:tcPr>
            <w:tcW w:w="651" w:type="pct"/>
            <w:tcBorders>
              <w:top w:val="nil"/>
              <w:left w:val="nil"/>
              <w:bottom w:val="single" w:sz="4" w:space="0" w:color="auto"/>
              <w:right w:val="single" w:sz="4" w:space="0" w:color="auto"/>
            </w:tcBorders>
            <w:shd w:val="clear" w:color="auto" w:fill="auto"/>
            <w:noWrap/>
            <w:vAlign w:val="bottom"/>
            <w:hideMark/>
          </w:tcPr>
          <w:p w14:paraId="6AD7E8DB" w14:textId="77777777" w:rsidR="0019031A" w:rsidRPr="00A52AEE" w:rsidRDefault="0019031A" w:rsidP="00053A52">
            <w:pPr>
              <w:jc w:val="right"/>
              <w:rPr>
                <w:lang w:eastAsia="en-GB"/>
              </w:rPr>
            </w:pPr>
            <w:r w:rsidRPr="00A52AEE">
              <w:rPr>
                <w:lang w:eastAsia="en-GB"/>
              </w:rPr>
              <w:t>210</w:t>
            </w:r>
          </w:p>
        </w:tc>
        <w:tc>
          <w:tcPr>
            <w:tcW w:w="604" w:type="pct"/>
            <w:tcBorders>
              <w:top w:val="nil"/>
              <w:left w:val="nil"/>
              <w:bottom w:val="single" w:sz="4" w:space="0" w:color="auto"/>
              <w:right w:val="single" w:sz="4" w:space="0" w:color="auto"/>
            </w:tcBorders>
            <w:shd w:val="clear" w:color="auto" w:fill="auto"/>
            <w:noWrap/>
            <w:vAlign w:val="bottom"/>
            <w:hideMark/>
          </w:tcPr>
          <w:p w14:paraId="780D05C0" w14:textId="77777777" w:rsidR="0019031A" w:rsidRPr="00A52AEE" w:rsidRDefault="0019031A" w:rsidP="00053A52">
            <w:pPr>
              <w:jc w:val="right"/>
              <w:rPr>
                <w:lang w:eastAsia="en-GB"/>
              </w:rPr>
            </w:pPr>
            <w:r w:rsidRPr="00A52AEE">
              <w:rPr>
                <w:lang w:eastAsia="en-GB"/>
              </w:rPr>
              <w:t>195</w:t>
            </w:r>
          </w:p>
        </w:tc>
      </w:tr>
      <w:tr w:rsidR="0019031A" w:rsidRPr="00A52AEE" w14:paraId="20009459"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482F4D3F" w14:textId="4BEE766F" w:rsidR="0019031A" w:rsidRPr="00A52AEE" w:rsidRDefault="0019031A" w:rsidP="00A52AEE">
            <w:pPr>
              <w:rPr>
                <w:lang w:eastAsia="en-GB"/>
              </w:rPr>
            </w:pPr>
            <w:r w:rsidRPr="00A52AEE">
              <w:rPr>
                <w:lang w:eastAsia="en-GB"/>
              </w:rPr>
              <w:t xml:space="preserve">University of Essex  </w:t>
            </w:r>
          </w:p>
        </w:tc>
        <w:tc>
          <w:tcPr>
            <w:tcW w:w="578" w:type="pct"/>
            <w:tcBorders>
              <w:top w:val="nil"/>
              <w:left w:val="nil"/>
              <w:bottom w:val="single" w:sz="4" w:space="0" w:color="auto"/>
              <w:right w:val="single" w:sz="4" w:space="0" w:color="auto"/>
            </w:tcBorders>
            <w:shd w:val="clear" w:color="auto" w:fill="auto"/>
            <w:noWrap/>
            <w:vAlign w:val="bottom"/>
            <w:hideMark/>
          </w:tcPr>
          <w:p w14:paraId="59B34E24" w14:textId="77777777" w:rsidR="0019031A" w:rsidRPr="00A52AEE" w:rsidRDefault="0019031A" w:rsidP="00053A52">
            <w:pPr>
              <w:jc w:val="right"/>
              <w:rPr>
                <w:lang w:eastAsia="en-GB"/>
              </w:rPr>
            </w:pPr>
            <w:r w:rsidRPr="00A52AEE">
              <w:rPr>
                <w:lang w:eastAsia="en-GB"/>
              </w:rPr>
              <w:t>175</w:t>
            </w:r>
          </w:p>
        </w:tc>
        <w:tc>
          <w:tcPr>
            <w:tcW w:w="579" w:type="pct"/>
            <w:tcBorders>
              <w:top w:val="nil"/>
              <w:left w:val="nil"/>
              <w:bottom w:val="single" w:sz="4" w:space="0" w:color="auto"/>
              <w:right w:val="single" w:sz="4" w:space="0" w:color="auto"/>
            </w:tcBorders>
            <w:shd w:val="clear" w:color="auto" w:fill="auto"/>
            <w:noWrap/>
            <w:vAlign w:val="bottom"/>
            <w:hideMark/>
          </w:tcPr>
          <w:p w14:paraId="4EC99644" w14:textId="77777777" w:rsidR="0019031A" w:rsidRPr="00A52AEE" w:rsidRDefault="0019031A" w:rsidP="00053A52">
            <w:pPr>
              <w:jc w:val="right"/>
              <w:rPr>
                <w:lang w:eastAsia="en-GB"/>
              </w:rPr>
            </w:pPr>
            <w:r w:rsidRPr="00A52AEE">
              <w:rPr>
                <w:lang w:eastAsia="en-GB"/>
              </w:rPr>
              <w:t>260</w:t>
            </w:r>
          </w:p>
        </w:tc>
        <w:tc>
          <w:tcPr>
            <w:tcW w:w="579" w:type="pct"/>
            <w:tcBorders>
              <w:top w:val="nil"/>
              <w:left w:val="nil"/>
              <w:bottom w:val="single" w:sz="4" w:space="0" w:color="auto"/>
              <w:right w:val="single" w:sz="4" w:space="0" w:color="auto"/>
            </w:tcBorders>
            <w:shd w:val="clear" w:color="auto" w:fill="auto"/>
            <w:noWrap/>
            <w:vAlign w:val="bottom"/>
            <w:hideMark/>
          </w:tcPr>
          <w:p w14:paraId="26968AB8" w14:textId="77777777" w:rsidR="0019031A" w:rsidRPr="00A52AEE" w:rsidRDefault="0019031A" w:rsidP="00053A52">
            <w:pPr>
              <w:jc w:val="right"/>
              <w:rPr>
                <w:lang w:eastAsia="en-GB"/>
              </w:rPr>
            </w:pPr>
            <w:r w:rsidRPr="00A52AEE">
              <w:rPr>
                <w:lang w:eastAsia="en-GB"/>
              </w:rPr>
              <w:t>185</w:t>
            </w:r>
          </w:p>
        </w:tc>
        <w:tc>
          <w:tcPr>
            <w:tcW w:w="651" w:type="pct"/>
            <w:tcBorders>
              <w:top w:val="nil"/>
              <w:left w:val="nil"/>
              <w:bottom w:val="single" w:sz="4" w:space="0" w:color="auto"/>
              <w:right w:val="single" w:sz="4" w:space="0" w:color="auto"/>
            </w:tcBorders>
            <w:shd w:val="clear" w:color="auto" w:fill="auto"/>
            <w:noWrap/>
            <w:vAlign w:val="bottom"/>
            <w:hideMark/>
          </w:tcPr>
          <w:p w14:paraId="78546A6A" w14:textId="77777777" w:rsidR="0019031A" w:rsidRPr="00A52AEE" w:rsidRDefault="0019031A" w:rsidP="00053A52">
            <w:pPr>
              <w:jc w:val="right"/>
              <w:rPr>
                <w:lang w:eastAsia="en-GB"/>
              </w:rPr>
            </w:pPr>
            <w:r w:rsidRPr="00A52AEE">
              <w:rPr>
                <w:lang w:eastAsia="en-GB"/>
              </w:rPr>
              <w:t>165</w:t>
            </w:r>
          </w:p>
        </w:tc>
        <w:tc>
          <w:tcPr>
            <w:tcW w:w="604" w:type="pct"/>
            <w:tcBorders>
              <w:top w:val="nil"/>
              <w:left w:val="nil"/>
              <w:bottom w:val="single" w:sz="4" w:space="0" w:color="auto"/>
              <w:right w:val="single" w:sz="4" w:space="0" w:color="auto"/>
            </w:tcBorders>
            <w:shd w:val="clear" w:color="auto" w:fill="auto"/>
            <w:noWrap/>
            <w:vAlign w:val="bottom"/>
            <w:hideMark/>
          </w:tcPr>
          <w:p w14:paraId="59835FD7" w14:textId="77777777" w:rsidR="0019031A" w:rsidRPr="00A52AEE" w:rsidRDefault="0019031A" w:rsidP="00053A52">
            <w:pPr>
              <w:jc w:val="right"/>
              <w:rPr>
                <w:lang w:eastAsia="en-GB"/>
              </w:rPr>
            </w:pPr>
            <w:r w:rsidRPr="00A52AEE">
              <w:rPr>
                <w:lang w:eastAsia="en-GB"/>
              </w:rPr>
              <w:t>160</w:t>
            </w:r>
          </w:p>
        </w:tc>
      </w:tr>
      <w:tr w:rsidR="0019031A" w:rsidRPr="00A52AEE" w14:paraId="78BC15C3"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5147DA9F" w14:textId="0B1273AA" w:rsidR="0019031A" w:rsidRPr="00A52AEE" w:rsidRDefault="0019031A" w:rsidP="00A52AEE">
            <w:pPr>
              <w:rPr>
                <w:lang w:eastAsia="en-GB"/>
              </w:rPr>
            </w:pPr>
            <w:r w:rsidRPr="00A52AEE">
              <w:rPr>
                <w:lang w:eastAsia="en-GB"/>
              </w:rPr>
              <w:t xml:space="preserve">University of Brighton  </w:t>
            </w:r>
          </w:p>
        </w:tc>
        <w:tc>
          <w:tcPr>
            <w:tcW w:w="578" w:type="pct"/>
            <w:tcBorders>
              <w:top w:val="nil"/>
              <w:left w:val="nil"/>
              <w:bottom w:val="single" w:sz="4" w:space="0" w:color="auto"/>
              <w:right w:val="single" w:sz="4" w:space="0" w:color="auto"/>
            </w:tcBorders>
            <w:shd w:val="clear" w:color="auto" w:fill="auto"/>
            <w:noWrap/>
            <w:vAlign w:val="bottom"/>
            <w:hideMark/>
          </w:tcPr>
          <w:p w14:paraId="4C9AD9C2" w14:textId="77777777" w:rsidR="0019031A" w:rsidRPr="00A52AEE" w:rsidRDefault="0019031A" w:rsidP="00053A52">
            <w:pPr>
              <w:jc w:val="right"/>
              <w:rPr>
                <w:lang w:eastAsia="en-GB"/>
              </w:rPr>
            </w:pPr>
            <w:r w:rsidRPr="00A52AEE">
              <w:rPr>
                <w:lang w:eastAsia="en-GB"/>
              </w:rPr>
              <w:t>180</w:t>
            </w:r>
          </w:p>
        </w:tc>
        <w:tc>
          <w:tcPr>
            <w:tcW w:w="579" w:type="pct"/>
            <w:tcBorders>
              <w:top w:val="nil"/>
              <w:left w:val="nil"/>
              <w:bottom w:val="single" w:sz="4" w:space="0" w:color="auto"/>
              <w:right w:val="single" w:sz="4" w:space="0" w:color="auto"/>
            </w:tcBorders>
            <w:shd w:val="clear" w:color="auto" w:fill="auto"/>
            <w:noWrap/>
            <w:vAlign w:val="bottom"/>
            <w:hideMark/>
          </w:tcPr>
          <w:p w14:paraId="6BA0B2B4" w14:textId="77777777" w:rsidR="0019031A" w:rsidRPr="00A52AEE" w:rsidRDefault="0019031A" w:rsidP="00053A52">
            <w:pPr>
              <w:jc w:val="right"/>
              <w:rPr>
                <w:lang w:eastAsia="en-GB"/>
              </w:rPr>
            </w:pPr>
            <w:r w:rsidRPr="00A52AEE">
              <w:rPr>
                <w:lang w:eastAsia="en-GB"/>
              </w:rPr>
              <w:t>145</w:t>
            </w:r>
          </w:p>
        </w:tc>
        <w:tc>
          <w:tcPr>
            <w:tcW w:w="579" w:type="pct"/>
            <w:tcBorders>
              <w:top w:val="nil"/>
              <w:left w:val="nil"/>
              <w:bottom w:val="single" w:sz="4" w:space="0" w:color="auto"/>
              <w:right w:val="single" w:sz="4" w:space="0" w:color="auto"/>
            </w:tcBorders>
            <w:shd w:val="clear" w:color="auto" w:fill="auto"/>
            <w:noWrap/>
            <w:vAlign w:val="bottom"/>
            <w:hideMark/>
          </w:tcPr>
          <w:p w14:paraId="0EF48B52" w14:textId="77777777" w:rsidR="0019031A" w:rsidRPr="00A52AEE" w:rsidRDefault="0019031A" w:rsidP="00053A52">
            <w:pPr>
              <w:jc w:val="right"/>
              <w:rPr>
                <w:lang w:eastAsia="en-GB"/>
              </w:rPr>
            </w:pPr>
            <w:r w:rsidRPr="00A52AEE">
              <w:rPr>
                <w:lang w:eastAsia="en-GB"/>
              </w:rPr>
              <w:t>185</w:t>
            </w:r>
          </w:p>
        </w:tc>
        <w:tc>
          <w:tcPr>
            <w:tcW w:w="651" w:type="pct"/>
            <w:tcBorders>
              <w:top w:val="nil"/>
              <w:left w:val="nil"/>
              <w:bottom w:val="single" w:sz="4" w:space="0" w:color="auto"/>
              <w:right w:val="single" w:sz="4" w:space="0" w:color="auto"/>
            </w:tcBorders>
            <w:shd w:val="clear" w:color="auto" w:fill="auto"/>
            <w:noWrap/>
            <w:vAlign w:val="bottom"/>
            <w:hideMark/>
          </w:tcPr>
          <w:p w14:paraId="569179DE" w14:textId="77777777" w:rsidR="0019031A" w:rsidRPr="00A52AEE" w:rsidRDefault="0019031A" w:rsidP="00053A52">
            <w:pPr>
              <w:jc w:val="right"/>
              <w:rPr>
                <w:lang w:eastAsia="en-GB"/>
              </w:rPr>
            </w:pPr>
            <w:r w:rsidRPr="00A52AEE">
              <w:rPr>
                <w:lang w:eastAsia="en-GB"/>
              </w:rPr>
              <w:t>195</w:t>
            </w:r>
          </w:p>
        </w:tc>
        <w:tc>
          <w:tcPr>
            <w:tcW w:w="604" w:type="pct"/>
            <w:tcBorders>
              <w:top w:val="nil"/>
              <w:left w:val="nil"/>
              <w:bottom w:val="single" w:sz="4" w:space="0" w:color="auto"/>
              <w:right w:val="single" w:sz="4" w:space="0" w:color="auto"/>
            </w:tcBorders>
            <w:shd w:val="clear" w:color="auto" w:fill="auto"/>
            <w:noWrap/>
            <w:vAlign w:val="bottom"/>
            <w:hideMark/>
          </w:tcPr>
          <w:p w14:paraId="25FD1284" w14:textId="77777777" w:rsidR="0019031A" w:rsidRPr="00A52AEE" w:rsidRDefault="0019031A" w:rsidP="00053A52">
            <w:pPr>
              <w:jc w:val="right"/>
              <w:rPr>
                <w:lang w:eastAsia="en-GB"/>
              </w:rPr>
            </w:pPr>
            <w:r w:rsidRPr="00A52AEE">
              <w:rPr>
                <w:lang w:eastAsia="en-GB"/>
              </w:rPr>
              <w:t>210</w:t>
            </w:r>
          </w:p>
        </w:tc>
      </w:tr>
      <w:tr w:rsidR="0019031A" w:rsidRPr="00A52AEE" w14:paraId="0762D2BF"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629BC270" w14:textId="77777777" w:rsidR="0019031A" w:rsidRPr="00A52AEE" w:rsidRDefault="0019031A" w:rsidP="00A52AEE">
            <w:pPr>
              <w:rPr>
                <w:lang w:eastAsia="en-GB"/>
              </w:rPr>
            </w:pPr>
            <w:r w:rsidRPr="00A52AEE">
              <w:rPr>
                <w:lang w:eastAsia="en-GB"/>
              </w:rPr>
              <w:t xml:space="preserve">Anglia Ruskin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0C7F3269"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06BD92F5" w14:textId="77777777" w:rsidR="0019031A" w:rsidRPr="00A52AEE" w:rsidRDefault="0019031A" w:rsidP="00053A52">
            <w:pPr>
              <w:jc w:val="right"/>
              <w:rPr>
                <w:lang w:eastAsia="en-GB"/>
              </w:rPr>
            </w:pPr>
            <w:r w:rsidRPr="00A52AEE">
              <w:rPr>
                <w:lang w:eastAsia="en-GB"/>
              </w:rPr>
              <w:t>135</w:t>
            </w:r>
          </w:p>
        </w:tc>
        <w:tc>
          <w:tcPr>
            <w:tcW w:w="579" w:type="pct"/>
            <w:tcBorders>
              <w:top w:val="nil"/>
              <w:left w:val="nil"/>
              <w:bottom w:val="single" w:sz="4" w:space="0" w:color="auto"/>
              <w:right w:val="single" w:sz="4" w:space="0" w:color="auto"/>
            </w:tcBorders>
            <w:shd w:val="clear" w:color="auto" w:fill="auto"/>
            <w:noWrap/>
            <w:vAlign w:val="bottom"/>
            <w:hideMark/>
          </w:tcPr>
          <w:p w14:paraId="31BB65F2" w14:textId="77777777" w:rsidR="0019031A" w:rsidRPr="00A52AEE" w:rsidRDefault="0019031A" w:rsidP="00053A52">
            <w:pPr>
              <w:jc w:val="right"/>
              <w:rPr>
                <w:lang w:eastAsia="en-GB"/>
              </w:rPr>
            </w:pPr>
            <w:r w:rsidRPr="00A52AEE">
              <w:rPr>
                <w:lang w:eastAsia="en-GB"/>
              </w:rPr>
              <w:t>160</w:t>
            </w:r>
          </w:p>
        </w:tc>
        <w:tc>
          <w:tcPr>
            <w:tcW w:w="651" w:type="pct"/>
            <w:tcBorders>
              <w:top w:val="nil"/>
              <w:left w:val="nil"/>
              <w:bottom w:val="single" w:sz="4" w:space="0" w:color="auto"/>
              <w:right w:val="single" w:sz="4" w:space="0" w:color="auto"/>
            </w:tcBorders>
            <w:shd w:val="clear" w:color="auto" w:fill="auto"/>
            <w:noWrap/>
            <w:vAlign w:val="bottom"/>
            <w:hideMark/>
          </w:tcPr>
          <w:p w14:paraId="7D42BD71" w14:textId="77777777" w:rsidR="0019031A" w:rsidRPr="00A52AEE" w:rsidRDefault="0019031A" w:rsidP="00053A52">
            <w:pPr>
              <w:jc w:val="right"/>
              <w:rPr>
                <w:lang w:eastAsia="en-GB"/>
              </w:rPr>
            </w:pPr>
            <w:r w:rsidRPr="00A52AEE">
              <w:rPr>
                <w:lang w:eastAsia="en-GB"/>
              </w:rPr>
              <w:t>240</w:t>
            </w:r>
          </w:p>
        </w:tc>
        <w:tc>
          <w:tcPr>
            <w:tcW w:w="604" w:type="pct"/>
            <w:tcBorders>
              <w:top w:val="nil"/>
              <w:left w:val="nil"/>
              <w:bottom w:val="single" w:sz="4" w:space="0" w:color="auto"/>
              <w:right w:val="single" w:sz="4" w:space="0" w:color="auto"/>
            </w:tcBorders>
            <w:shd w:val="clear" w:color="auto" w:fill="auto"/>
            <w:noWrap/>
            <w:vAlign w:val="bottom"/>
            <w:hideMark/>
          </w:tcPr>
          <w:p w14:paraId="046A91AA" w14:textId="77777777" w:rsidR="0019031A" w:rsidRPr="00A52AEE" w:rsidRDefault="0019031A" w:rsidP="00053A52">
            <w:pPr>
              <w:jc w:val="right"/>
              <w:rPr>
                <w:lang w:eastAsia="en-GB"/>
              </w:rPr>
            </w:pPr>
            <w:r w:rsidRPr="00A52AEE">
              <w:rPr>
                <w:lang w:eastAsia="en-GB"/>
              </w:rPr>
              <w:t>230</w:t>
            </w:r>
          </w:p>
        </w:tc>
      </w:tr>
      <w:tr w:rsidR="0019031A" w:rsidRPr="00A52AEE" w14:paraId="64E5E363"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53B8E66" w14:textId="77777777" w:rsidR="0019031A" w:rsidRPr="00A52AEE" w:rsidRDefault="0019031A" w:rsidP="00A52AEE">
            <w:pPr>
              <w:rPr>
                <w:lang w:eastAsia="en-GB"/>
              </w:rPr>
            </w:pPr>
            <w:r w:rsidRPr="00A52AEE">
              <w:rPr>
                <w:lang w:eastAsia="en-GB"/>
              </w:rPr>
              <w:t xml:space="preserve">Buckinghamshire New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08D2D4EC" w14:textId="77777777" w:rsidR="0019031A" w:rsidRPr="00A52AEE" w:rsidRDefault="0019031A" w:rsidP="00053A52">
            <w:pPr>
              <w:jc w:val="right"/>
              <w:rPr>
                <w:lang w:eastAsia="en-GB"/>
              </w:rPr>
            </w:pPr>
            <w:r w:rsidRPr="00A52AEE">
              <w:rPr>
                <w:lang w:eastAsia="en-GB"/>
              </w:rPr>
              <w:t>145</w:t>
            </w:r>
          </w:p>
        </w:tc>
        <w:tc>
          <w:tcPr>
            <w:tcW w:w="579" w:type="pct"/>
            <w:tcBorders>
              <w:top w:val="nil"/>
              <w:left w:val="nil"/>
              <w:bottom w:val="single" w:sz="4" w:space="0" w:color="auto"/>
              <w:right w:val="single" w:sz="4" w:space="0" w:color="auto"/>
            </w:tcBorders>
            <w:shd w:val="clear" w:color="auto" w:fill="auto"/>
            <w:noWrap/>
            <w:vAlign w:val="bottom"/>
            <w:hideMark/>
          </w:tcPr>
          <w:p w14:paraId="1B3F0A93" w14:textId="77777777" w:rsidR="0019031A" w:rsidRPr="00A52AEE" w:rsidRDefault="0019031A" w:rsidP="00053A52">
            <w:pPr>
              <w:jc w:val="right"/>
              <w:rPr>
                <w:lang w:eastAsia="en-GB"/>
              </w:rPr>
            </w:pPr>
            <w:r w:rsidRPr="00A52AEE">
              <w:rPr>
                <w:lang w:eastAsia="en-GB"/>
              </w:rPr>
              <w:t>175</w:t>
            </w:r>
          </w:p>
        </w:tc>
        <w:tc>
          <w:tcPr>
            <w:tcW w:w="579" w:type="pct"/>
            <w:tcBorders>
              <w:top w:val="nil"/>
              <w:left w:val="nil"/>
              <w:bottom w:val="single" w:sz="4" w:space="0" w:color="auto"/>
              <w:right w:val="single" w:sz="4" w:space="0" w:color="auto"/>
            </w:tcBorders>
            <w:shd w:val="clear" w:color="auto" w:fill="auto"/>
            <w:noWrap/>
            <w:vAlign w:val="bottom"/>
            <w:hideMark/>
          </w:tcPr>
          <w:p w14:paraId="5C855CA7" w14:textId="77777777" w:rsidR="0019031A" w:rsidRPr="00A52AEE" w:rsidRDefault="0019031A" w:rsidP="00053A52">
            <w:pPr>
              <w:jc w:val="right"/>
              <w:rPr>
                <w:lang w:eastAsia="en-GB"/>
              </w:rPr>
            </w:pPr>
            <w:r w:rsidRPr="00A52AEE">
              <w:rPr>
                <w:lang w:eastAsia="en-GB"/>
              </w:rPr>
              <w:t>140</w:t>
            </w:r>
          </w:p>
        </w:tc>
        <w:tc>
          <w:tcPr>
            <w:tcW w:w="651" w:type="pct"/>
            <w:tcBorders>
              <w:top w:val="nil"/>
              <w:left w:val="nil"/>
              <w:bottom w:val="single" w:sz="4" w:space="0" w:color="auto"/>
              <w:right w:val="single" w:sz="4" w:space="0" w:color="auto"/>
            </w:tcBorders>
            <w:shd w:val="clear" w:color="auto" w:fill="auto"/>
            <w:noWrap/>
            <w:vAlign w:val="bottom"/>
            <w:hideMark/>
          </w:tcPr>
          <w:p w14:paraId="034055CD" w14:textId="77777777" w:rsidR="0019031A" w:rsidRPr="00A52AEE" w:rsidRDefault="0019031A" w:rsidP="00053A52">
            <w:pPr>
              <w:jc w:val="right"/>
              <w:rPr>
                <w:lang w:eastAsia="en-GB"/>
              </w:rPr>
            </w:pPr>
            <w:r w:rsidRPr="00A52AEE">
              <w:rPr>
                <w:lang w:eastAsia="en-GB"/>
              </w:rPr>
              <w:t>200</w:t>
            </w:r>
          </w:p>
        </w:tc>
        <w:tc>
          <w:tcPr>
            <w:tcW w:w="604" w:type="pct"/>
            <w:tcBorders>
              <w:top w:val="nil"/>
              <w:left w:val="nil"/>
              <w:bottom w:val="single" w:sz="4" w:space="0" w:color="auto"/>
              <w:right w:val="single" w:sz="4" w:space="0" w:color="auto"/>
            </w:tcBorders>
            <w:shd w:val="clear" w:color="auto" w:fill="auto"/>
            <w:noWrap/>
            <w:vAlign w:val="bottom"/>
            <w:hideMark/>
          </w:tcPr>
          <w:p w14:paraId="562858DC" w14:textId="77777777" w:rsidR="0019031A" w:rsidRPr="00A52AEE" w:rsidRDefault="0019031A" w:rsidP="00053A52">
            <w:pPr>
              <w:jc w:val="right"/>
              <w:rPr>
                <w:lang w:eastAsia="en-GB"/>
              </w:rPr>
            </w:pPr>
            <w:r w:rsidRPr="00A52AEE">
              <w:rPr>
                <w:lang w:eastAsia="en-GB"/>
              </w:rPr>
              <w:t>215</w:t>
            </w:r>
          </w:p>
        </w:tc>
      </w:tr>
      <w:tr w:rsidR="0019031A" w:rsidRPr="00A52AEE" w14:paraId="07605A86"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62513A49" w14:textId="77777777" w:rsidR="0019031A" w:rsidRPr="00A52AEE" w:rsidRDefault="0019031A" w:rsidP="00A52AEE">
            <w:pPr>
              <w:rPr>
                <w:lang w:eastAsia="en-GB"/>
              </w:rPr>
            </w:pPr>
            <w:r w:rsidRPr="00A52AEE">
              <w:rPr>
                <w:lang w:eastAsia="en-GB"/>
              </w:rPr>
              <w:t xml:space="preserve">Canterbury Christ Church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6135DCE2" w14:textId="77777777" w:rsidR="0019031A" w:rsidRPr="00A52AEE" w:rsidRDefault="0019031A" w:rsidP="00053A52">
            <w:pPr>
              <w:jc w:val="right"/>
              <w:rPr>
                <w:lang w:eastAsia="en-GB"/>
              </w:rPr>
            </w:pPr>
            <w:r w:rsidRPr="00A52AEE">
              <w:rPr>
                <w:lang w:eastAsia="en-GB"/>
              </w:rPr>
              <w:t>95</w:t>
            </w:r>
          </w:p>
        </w:tc>
        <w:tc>
          <w:tcPr>
            <w:tcW w:w="579" w:type="pct"/>
            <w:tcBorders>
              <w:top w:val="nil"/>
              <w:left w:val="nil"/>
              <w:bottom w:val="single" w:sz="4" w:space="0" w:color="auto"/>
              <w:right w:val="single" w:sz="4" w:space="0" w:color="auto"/>
            </w:tcBorders>
            <w:shd w:val="clear" w:color="auto" w:fill="auto"/>
            <w:noWrap/>
            <w:vAlign w:val="bottom"/>
            <w:hideMark/>
          </w:tcPr>
          <w:p w14:paraId="6A67A630" w14:textId="77777777" w:rsidR="0019031A" w:rsidRPr="00A52AEE" w:rsidRDefault="0019031A" w:rsidP="00053A52">
            <w:pPr>
              <w:jc w:val="right"/>
              <w:rPr>
                <w:lang w:eastAsia="en-GB"/>
              </w:rPr>
            </w:pPr>
            <w:r w:rsidRPr="00A52AEE">
              <w:rPr>
                <w:lang w:eastAsia="en-GB"/>
              </w:rPr>
              <w:t>125</w:t>
            </w:r>
          </w:p>
        </w:tc>
        <w:tc>
          <w:tcPr>
            <w:tcW w:w="579" w:type="pct"/>
            <w:tcBorders>
              <w:top w:val="nil"/>
              <w:left w:val="nil"/>
              <w:bottom w:val="single" w:sz="4" w:space="0" w:color="auto"/>
              <w:right w:val="single" w:sz="4" w:space="0" w:color="auto"/>
            </w:tcBorders>
            <w:shd w:val="clear" w:color="auto" w:fill="auto"/>
            <w:noWrap/>
            <w:vAlign w:val="bottom"/>
            <w:hideMark/>
          </w:tcPr>
          <w:p w14:paraId="255F6258" w14:textId="77777777" w:rsidR="0019031A" w:rsidRPr="00A52AEE" w:rsidRDefault="0019031A" w:rsidP="00053A52">
            <w:pPr>
              <w:jc w:val="right"/>
              <w:rPr>
                <w:lang w:eastAsia="en-GB"/>
              </w:rPr>
            </w:pPr>
            <w:r w:rsidRPr="00A52AEE">
              <w:rPr>
                <w:lang w:eastAsia="en-GB"/>
              </w:rPr>
              <w:t>135</w:t>
            </w:r>
          </w:p>
        </w:tc>
        <w:tc>
          <w:tcPr>
            <w:tcW w:w="651" w:type="pct"/>
            <w:tcBorders>
              <w:top w:val="nil"/>
              <w:left w:val="nil"/>
              <w:bottom w:val="single" w:sz="4" w:space="0" w:color="auto"/>
              <w:right w:val="single" w:sz="4" w:space="0" w:color="auto"/>
            </w:tcBorders>
            <w:shd w:val="clear" w:color="auto" w:fill="auto"/>
            <w:noWrap/>
            <w:vAlign w:val="bottom"/>
            <w:hideMark/>
          </w:tcPr>
          <w:p w14:paraId="574C9AD1" w14:textId="77777777" w:rsidR="0019031A" w:rsidRPr="00A52AEE" w:rsidRDefault="0019031A" w:rsidP="00053A52">
            <w:pPr>
              <w:jc w:val="right"/>
              <w:rPr>
                <w:lang w:eastAsia="en-GB"/>
              </w:rPr>
            </w:pPr>
            <w:r w:rsidRPr="00A52AEE">
              <w:rPr>
                <w:lang w:eastAsia="en-GB"/>
              </w:rPr>
              <w:t>210</w:t>
            </w:r>
          </w:p>
        </w:tc>
        <w:tc>
          <w:tcPr>
            <w:tcW w:w="604" w:type="pct"/>
            <w:tcBorders>
              <w:top w:val="nil"/>
              <w:left w:val="nil"/>
              <w:bottom w:val="single" w:sz="4" w:space="0" w:color="auto"/>
              <w:right w:val="single" w:sz="4" w:space="0" w:color="auto"/>
            </w:tcBorders>
            <w:shd w:val="clear" w:color="auto" w:fill="auto"/>
            <w:noWrap/>
            <w:vAlign w:val="bottom"/>
            <w:hideMark/>
          </w:tcPr>
          <w:p w14:paraId="30DC1D64" w14:textId="77777777" w:rsidR="0019031A" w:rsidRPr="00A52AEE" w:rsidRDefault="0019031A" w:rsidP="00053A52">
            <w:pPr>
              <w:jc w:val="right"/>
              <w:rPr>
                <w:lang w:eastAsia="en-GB"/>
              </w:rPr>
            </w:pPr>
            <w:r w:rsidRPr="00A52AEE">
              <w:rPr>
                <w:lang w:eastAsia="en-GB"/>
              </w:rPr>
              <w:t>220</w:t>
            </w:r>
          </w:p>
        </w:tc>
      </w:tr>
      <w:tr w:rsidR="0019031A" w:rsidRPr="00A52AEE" w14:paraId="6B30C997"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167D8E50" w14:textId="3CDDE270" w:rsidR="0019031A" w:rsidRPr="00A52AEE" w:rsidRDefault="0019031A" w:rsidP="00A52AEE">
            <w:pPr>
              <w:rPr>
                <w:lang w:eastAsia="en-GB"/>
              </w:rPr>
            </w:pPr>
            <w:r w:rsidRPr="00A52AEE">
              <w:rPr>
                <w:lang w:eastAsia="en-GB"/>
              </w:rPr>
              <w:t xml:space="preserve">University of Northampton  </w:t>
            </w:r>
          </w:p>
        </w:tc>
        <w:tc>
          <w:tcPr>
            <w:tcW w:w="578" w:type="pct"/>
            <w:tcBorders>
              <w:top w:val="nil"/>
              <w:left w:val="nil"/>
              <w:bottom w:val="single" w:sz="4" w:space="0" w:color="auto"/>
              <w:right w:val="single" w:sz="4" w:space="0" w:color="auto"/>
            </w:tcBorders>
            <w:shd w:val="clear" w:color="auto" w:fill="auto"/>
            <w:noWrap/>
            <w:vAlign w:val="bottom"/>
            <w:hideMark/>
          </w:tcPr>
          <w:p w14:paraId="69C95F6A" w14:textId="77777777" w:rsidR="0019031A" w:rsidRPr="00A52AEE" w:rsidRDefault="0019031A" w:rsidP="00053A52">
            <w:pPr>
              <w:jc w:val="right"/>
              <w:rPr>
                <w:lang w:eastAsia="en-GB"/>
              </w:rPr>
            </w:pPr>
            <w:r w:rsidRPr="00A52AEE">
              <w:rPr>
                <w:lang w:eastAsia="en-GB"/>
              </w:rPr>
              <w:t>120</w:t>
            </w:r>
          </w:p>
        </w:tc>
        <w:tc>
          <w:tcPr>
            <w:tcW w:w="579" w:type="pct"/>
            <w:tcBorders>
              <w:top w:val="nil"/>
              <w:left w:val="nil"/>
              <w:bottom w:val="single" w:sz="4" w:space="0" w:color="auto"/>
              <w:right w:val="single" w:sz="4" w:space="0" w:color="auto"/>
            </w:tcBorders>
            <w:shd w:val="clear" w:color="auto" w:fill="auto"/>
            <w:noWrap/>
            <w:vAlign w:val="bottom"/>
            <w:hideMark/>
          </w:tcPr>
          <w:p w14:paraId="6D5E42DE" w14:textId="77777777" w:rsidR="0019031A" w:rsidRPr="00A52AEE" w:rsidRDefault="0019031A" w:rsidP="00053A52">
            <w:pPr>
              <w:jc w:val="right"/>
              <w:rPr>
                <w:lang w:eastAsia="en-GB"/>
              </w:rPr>
            </w:pPr>
            <w:r w:rsidRPr="00A52AEE">
              <w:rPr>
                <w:lang w:eastAsia="en-GB"/>
              </w:rPr>
              <w:t>150</w:t>
            </w:r>
          </w:p>
        </w:tc>
        <w:tc>
          <w:tcPr>
            <w:tcW w:w="579" w:type="pct"/>
            <w:tcBorders>
              <w:top w:val="nil"/>
              <w:left w:val="nil"/>
              <w:bottom w:val="single" w:sz="4" w:space="0" w:color="auto"/>
              <w:right w:val="single" w:sz="4" w:space="0" w:color="auto"/>
            </w:tcBorders>
            <w:shd w:val="clear" w:color="auto" w:fill="auto"/>
            <w:noWrap/>
            <w:vAlign w:val="bottom"/>
            <w:hideMark/>
          </w:tcPr>
          <w:p w14:paraId="543824ED" w14:textId="77777777" w:rsidR="0019031A" w:rsidRPr="00A52AEE" w:rsidRDefault="0019031A" w:rsidP="00053A52">
            <w:pPr>
              <w:jc w:val="right"/>
              <w:rPr>
                <w:lang w:eastAsia="en-GB"/>
              </w:rPr>
            </w:pPr>
            <w:r w:rsidRPr="00A52AEE">
              <w:rPr>
                <w:lang w:eastAsia="en-GB"/>
              </w:rPr>
              <w:t>165</w:t>
            </w:r>
          </w:p>
        </w:tc>
        <w:tc>
          <w:tcPr>
            <w:tcW w:w="651" w:type="pct"/>
            <w:tcBorders>
              <w:top w:val="nil"/>
              <w:left w:val="nil"/>
              <w:bottom w:val="single" w:sz="4" w:space="0" w:color="auto"/>
              <w:right w:val="single" w:sz="4" w:space="0" w:color="auto"/>
            </w:tcBorders>
            <w:shd w:val="clear" w:color="auto" w:fill="auto"/>
            <w:noWrap/>
            <w:vAlign w:val="bottom"/>
            <w:hideMark/>
          </w:tcPr>
          <w:p w14:paraId="08ED6FB1" w14:textId="77777777" w:rsidR="0019031A" w:rsidRPr="00A52AEE" w:rsidRDefault="0019031A" w:rsidP="00053A52">
            <w:pPr>
              <w:jc w:val="right"/>
              <w:rPr>
                <w:lang w:eastAsia="en-GB"/>
              </w:rPr>
            </w:pPr>
            <w:r w:rsidRPr="00A52AEE">
              <w:rPr>
                <w:lang w:eastAsia="en-GB"/>
              </w:rPr>
              <w:t>130</w:t>
            </w:r>
          </w:p>
        </w:tc>
        <w:tc>
          <w:tcPr>
            <w:tcW w:w="604" w:type="pct"/>
            <w:tcBorders>
              <w:top w:val="nil"/>
              <w:left w:val="nil"/>
              <w:bottom w:val="single" w:sz="4" w:space="0" w:color="auto"/>
              <w:right w:val="single" w:sz="4" w:space="0" w:color="auto"/>
            </w:tcBorders>
            <w:shd w:val="clear" w:color="auto" w:fill="auto"/>
            <w:noWrap/>
            <w:vAlign w:val="bottom"/>
            <w:hideMark/>
          </w:tcPr>
          <w:p w14:paraId="17E299BE" w14:textId="77777777" w:rsidR="0019031A" w:rsidRPr="00A52AEE" w:rsidRDefault="0019031A" w:rsidP="00053A52">
            <w:pPr>
              <w:jc w:val="right"/>
              <w:rPr>
                <w:lang w:eastAsia="en-GB"/>
              </w:rPr>
            </w:pPr>
            <w:r w:rsidRPr="00A52AEE">
              <w:rPr>
                <w:lang w:eastAsia="en-GB"/>
              </w:rPr>
              <w:t>165</w:t>
            </w:r>
          </w:p>
        </w:tc>
      </w:tr>
      <w:tr w:rsidR="0019031A" w:rsidRPr="00A52AEE" w14:paraId="2C10067E"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49B28F34" w14:textId="2C004CFD" w:rsidR="0019031A" w:rsidRPr="00A52AEE" w:rsidRDefault="0019031A" w:rsidP="00A52AEE">
            <w:pPr>
              <w:rPr>
                <w:lang w:eastAsia="en-GB"/>
              </w:rPr>
            </w:pPr>
            <w:r w:rsidRPr="00A52AEE">
              <w:rPr>
                <w:lang w:eastAsia="en-GB"/>
              </w:rPr>
              <w:t xml:space="preserve">Nottingham Trent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622CA6B7"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660498BD" w14:textId="77777777" w:rsidR="0019031A" w:rsidRPr="00A52AEE" w:rsidRDefault="0019031A" w:rsidP="00053A52">
            <w:pPr>
              <w:jc w:val="right"/>
              <w:rPr>
                <w:lang w:eastAsia="en-GB"/>
              </w:rPr>
            </w:pPr>
            <w:r w:rsidRPr="00A52AEE">
              <w:rPr>
                <w:lang w:eastAsia="en-GB"/>
              </w:rPr>
              <w:t>125</w:t>
            </w:r>
          </w:p>
        </w:tc>
        <w:tc>
          <w:tcPr>
            <w:tcW w:w="579" w:type="pct"/>
            <w:tcBorders>
              <w:top w:val="nil"/>
              <w:left w:val="nil"/>
              <w:bottom w:val="single" w:sz="4" w:space="0" w:color="auto"/>
              <w:right w:val="single" w:sz="4" w:space="0" w:color="auto"/>
            </w:tcBorders>
            <w:shd w:val="clear" w:color="auto" w:fill="auto"/>
            <w:noWrap/>
            <w:vAlign w:val="bottom"/>
            <w:hideMark/>
          </w:tcPr>
          <w:p w14:paraId="596477D4" w14:textId="77777777" w:rsidR="0019031A" w:rsidRPr="00A52AEE" w:rsidRDefault="0019031A" w:rsidP="00053A52">
            <w:pPr>
              <w:jc w:val="right"/>
              <w:rPr>
                <w:lang w:eastAsia="en-GB"/>
              </w:rPr>
            </w:pPr>
            <w:r w:rsidRPr="00A52AEE">
              <w:rPr>
                <w:lang w:eastAsia="en-GB"/>
              </w:rPr>
              <w:t>140</w:t>
            </w:r>
          </w:p>
        </w:tc>
        <w:tc>
          <w:tcPr>
            <w:tcW w:w="651" w:type="pct"/>
            <w:tcBorders>
              <w:top w:val="nil"/>
              <w:left w:val="nil"/>
              <w:bottom w:val="single" w:sz="4" w:space="0" w:color="auto"/>
              <w:right w:val="single" w:sz="4" w:space="0" w:color="auto"/>
            </w:tcBorders>
            <w:shd w:val="clear" w:color="auto" w:fill="auto"/>
            <w:noWrap/>
            <w:vAlign w:val="bottom"/>
            <w:hideMark/>
          </w:tcPr>
          <w:p w14:paraId="7E55F2CD" w14:textId="77777777" w:rsidR="0019031A" w:rsidRPr="00A52AEE" w:rsidRDefault="0019031A" w:rsidP="00053A52">
            <w:pPr>
              <w:jc w:val="right"/>
              <w:rPr>
                <w:lang w:eastAsia="en-GB"/>
              </w:rPr>
            </w:pPr>
            <w:r w:rsidRPr="00A52AEE">
              <w:rPr>
                <w:lang w:eastAsia="en-GB"/>
              </w:rPr>
              <w:t>165</w:t>
            </w:r>
          </w:p>
        </w:tc>
        <w:tc>
          <w:tcPr>
            <w:tcW w:w="604" w:type="pct"/>
            <w:tcBorders>
              <w:top w:val="nil"/>
              <w:left w:val="nil"/>
              <w:bottom w:val="single" w:sz="4" w:space="0" w:color="auto"/>
              <w:right w:val="single" w:sz="4" w:space="0" w:color="auto"/>
            </w:tcBorders>
            <w:shd w:val="clear" w:color="auto" w:fill="auto"/>
            <w:noWrap/>
            <w:vAlign w:val="bottom"/>
            <w:hideMark/>
          </w:tcPr>
          <w:p w14:paraId="4250AD2A" w14:textId="77777777" w:rsidR="0019031A" w:rsidRPr="00A52AEE" w:rsidRDefault="0019031A" w:rsidP="00053A52">
            <w:pPr>
              <w:jc w:val="right"/>
              <w:rPr>
                <w:lang w:eastAsia="en-GB"/>
              </w:rPr>
            </w:pPr>
            <w:r w:rsidRPr="00A52AEE">
              <w:rPr>
                <w:lang w:eastAsia="en-GB"/>
              </w:rPr>
              <w:t>155</w:t>
            </w:r>
          </w:p>
        </w:tc>
      </w:tr>
      <w:tr w:rsidR="0019031A" w:rsidRPr="00A52AEE" w14:paraId="51A63B36"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DD5C844" w14:textId="77777777" w:rsidR="0019031A" w:rsidRPr="00A52AEE" w:rsidRDefault="0019031A" w:rsidP="00A52AEE">
            <w:pPr>
              <w:rPr>
                <w:lang w:eastAsia="en-GB"/>
              </w:rPr>
            </w:pPr>
            <w:r w:rsidRPr="00A52AEE">
              <w:rPr>
                <w:lang w:eastAsia="en-GB"/>
              </w:rPr>
              <w:t xml:space="preserve">Southampton Solent University   </w:t>
            </w:r>
          </w:p>
        </w:tc>
        <w:tc>
          <w:tcPr>
            <w:tcW w:w="578" w:type="pct"/>
            <w:tcBorders>
              <w:top w:val="nil"/>
              <w:left w:val="nil"/>
              <w:bottom w:val="single" w:sz="4" w:space="0" w:color="auto"/>
              <w:right w:val="single" w:sz="4" w:space="0" w:color="auto"/>
            </w:tcBorders>
            <w:shd w:val="clear" w:color="auto" w:fill="auto"/>
            <w:noWrap/>
            <w:vAlign w:val="bottom"/>
            <w:hideMark/>
          </w:tcPr>
          <w:p w14:paraId="0D70D743" w14:textId="77777777" w:rsidR="0019031A" w:rsidRPr="00A52AEE" w:rsidRDefault="0019031A" w:rsidP="00053A52">
            <w:pPr>
              <w:jc w:val="right"/>
              <w:rPr>
                <w:lang w:eastAsia="en-GB"/>
              </w:rPr>
            </w:pPr>
            <w:r w:rsidRPr="00A52AEE">
              <w:rPr>
                <w:lang w:eastAsia="en-GB"/>
              </w:rPr>
              <w:t>150</w:t>
            </w:r>
          </w:p>
        </w:tc>
        <w:tc>
          <w:tcPr>
            <w:tcW w:w="579" w:type="pct"/>
            <w:tcBorders>
              <w:top w:val="nil"/>
              <w:left w:val="nil"/>
              <w:bottom w:val="single" w:sz="4" w:space="0" w:color="auto"/>
              <w:right w:val="single" w:sz="4" w:space="0" w:color="auto"/>
            </w:tcBorders>
            <w:shd w:val="clear" w:color="auto" w:fill="auto"/>
            <w:noWrap/>
            <w:vAlign w:val="bottom"/>
            <w:hideMark/>
          </w:tcPr>
          <w:p w14:paraId="3CFED0E0" w14:textId="77777777" w:rsidR="0019031A" w:rsidRPr="00A52AEE" w:rsidRDefault="0019031A" w:rsidP="00053A52">
            <w:pPr>
              <w:jc w:val="right"/>
              <w:rPr>
                <w:lang w:eastAsia="en-GB"/>
              </w:rPr>
            </w:pPr>
            <w:r w:rsidRPr="00A52AEE">
              <w:rPr>
                <w:lang w:eastAsia="en-GB"/>
              </w:rPr>
              <w:t>100</w:t>
            </w:r>
          </w:p>
        </w:tc>
        <w:tc>
          <w:tcPr>
            <w:tcW w:w="579" w:type="pct"/>
            <w:tcBorders>
              <w:top w:val="nil"/>
              <w:left w:val="nil"/>
              <w:bottom w:val="single" w:sz="4" w:space="0" w:color="auto"/>
              <w:right w:val="single" w:sz="4" w:space="0" w:color="auto"/>
            </w:tcBorders>
            <w:shd w:val="clear" w:color="auto" w:fill="auto"/>
            <w:noWrap/>
            <w:vAlign w:val="bottom"/>
            <w:hideMark/>
          </w:tcPr>
          <w:p w14:paraId="169FE94F" w14:textId="77777777" w:rsidR="0019031A" w:rsidRPr="00A52AEE" w:rsidRDefault="0019031A" w:rsidP="00053A52">
            <w:pPr>
              <w:jc w:val="right"/>
              <w:rPr>
                <w:lang w:eastAsia="en-GB"/>
              </w:rPr>
            </w:pPr>
            <w:r w:rsidRPr="00A52AEE">
              <w:rPr>
                <w:lang w:eastAsia="en-GB"/>
              </w:rPr>
              <w:t>125</w:t>
            </w:r>
          </w:p>
        </w:tc>
        <w:tc>
          <w:tcPr>
            <w:tcW w:w="651" w:type="pct"/>
            <w:tcBorders>
              <w:top w:val="nil"/>
              <w:left w:val="nil"/>
              <w:bottom w:val="single" w:sz="4" w:space="0" w:color="auto"/>
              <w:right w:val="single" w:sz="4" w:space="0" w:color="auto"/>
            </w:tcBorders>
            <w:shd w:val="clear" w:color="auto" w:fill="auto"/>
            <w:noWrap/>
            <w:vAlign w:val="bottom"/>
            <w:hideMark/>
          </w:tcPr>
          <w:p w14:paraId="0FC63D91" w14:textId="77777777" w:rsidR="0019031A" w:rsidRPr="00A52AEE" w:rsidRDefault="0019031A" w:rsidP="00053A52">
            <w:pPr>
              <w:jc w:val="right"/>
              <w:rPr>
                <w:lang w:eastAsia="en-GB"/>
              </w:rPr>
            </w:pPr>
            <w:r w:rsidRPr="00A52AEE">
              <w:rPr>
                <w:lang w:eastAsia="en-GB"/>
              </w:rPr>
              <w:t>155</w:t>
            </w:r>
          </w:p>
        </w:tc>
        <w:tc>
          <w:tcPr>
            <w:tcW w:w="604" w:type="pct"/>
            <w:tcBorders>
              <w:top w:val="nil"/>
              <w:left w:val="nil"/>
              <w:bottom w:val="single" w:sz="4" w:space="0" w:color="auto"/>
              <w:right w:val="single" w:sz="4" w:space="0" w:color="auto"/>
            </w:tcBorders>
            <w:shd w:val="clear" w:color="auto" w:fill="auto"/>
            <w:noWrap/>
            <w:vAlign w:val="bottom"/>
            <w:hideMark/>
          </w:tcPr>
          <w:p w14:paraId="43348A30" w14:textId="77777777" w:rsidR="0019031A" w:rsidRPr="00A52AEE" w:rsidRDefault="0019031A" w:rsidP="00053A52">
            <w:pPr>
              <w:jc w:val="right"/>
              <w:rPr>
                <w:lang w:eastAsia="en-GB"/>
              </w:rPr>
            </w:pPr>
            <w:r w:rsidRPr="00A52AEE">
              <w:rPr>
                <w:lang w:eastAsia="en-GB"/>
              </w:rPr>
              <w:t>150</w:t>
            </w:r>
          </w:p>
        </w:tc>
      </w:tr>
      <w:tr w:rsidR="0019031A" w:rsidRPr="00A52AEE" w14:paraId="6A5B987F"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713A7668" w14:textId="66F7C71C" w:rsidR="0019031A" w:rsidRPr="00A52AEE" w:rsidRDefault="0019031A" w:rsidP="00A52AEE">
            <w:pPr>
              <w:rPr>
                <w:lang w:eastAsia="en-GB"/>
              </w:rPr>
            </w:pPr>
            <w:r w:rsidRPr="00A52AEE">
              <w:rPr>
                <w:lang w:eastAsia="en-GB"/>
              </w:rPr>
              <w:t>Royal Holloway College</w:t>
            </w:r>
          </w:p>
        </w:tc>
        <w:tc>
          <w:tcPr>
            <w:tcW w:w="578" w:type="pct"/>
            <w:tcBorders>
              <w:top w:val="nil"/>
              <w:left w:val="nil"/>
              <w:bottom w:val="single" w:sz="4" w:space="0" w:color="auto"/>
              <w:right w:val="single" w:sz="4" w:space="0" w:color="auto"/>
            </w:tcBorders>
            <w:shd w:val="clear" w:color="auto" w:fill="auto"/>
            <w:noWrap/>
            <w:vAlign w:val="bottom"/>
            <w:hideMark/>
          </w:tcPr>
          <w:p w14:paraId="6ADD7448"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4CC2DBC7"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6A76313D" w14:textId="77777777" w:rsidR="0019031A" w:rsidRPr="00A52AEE" w:rsidRDefault="0019031A" w:rsidP="00053A52">
            <w:pPr>
              <w:jc w:val="right"/>
              <w:rPr>
                <w:lang w:eastAsia="en-GB"/>
              </w:rPr>
            </w:pPr>
            <w:r w:rsidRPr="00A52AEE">
              <w:rPr>
                <w:lang w:eastAsia="en-GB"/>
              </w:rPr>
              <w:t>160</w:t>
            </w:r>
          </w:p>
        </w:tc>
        <w:tc>
          <w:tcPr>
            <w:tcW w:w="651" w:type="pct"/>
            <w:tcBorders>
              <w:top w:val="nil"/>
              <w:left w:val="nil"/>
              <w:bottom w:val="single" w:sz="4" w:space="0" w:color="auto"/>
              <w:right w:val="single" w:sz="4" w:space="0" w:color="auto"/>
            </w:tcBorders>
            <w:shd w:val="clear" w:color="auto" w:fill="auto"/>
            <w:noWrap/>
            <w:vAlign w:val="bottom"/>
            <w:hideMark/>
          </w:tcPr>
          <w:p w14:paraId="534BEA18" w14:textId="77777777" w:rsidR="0019031A" w:rsidRPr="00A52AEE" w:rsidRDefault="0019031A" w:rsidP="00053A52">
            <w:pPr>
              <w:jc w:val="right"/>
              <w:rPr>
                <w:lang w:eastAsia="en-GB"/>
              </w:rPr>
            </w:pPr>
            <w:r w:rsidRPr="00A52AEE">
              <w:rPr>
                <w:lang w:eastAsia="en-GB"/>
              </w:rPr>
              <w:t>135</w:t>
            </w:r>
          </w:p>
        </w:tc>
        <w:tc>
          <w:tcPr>
            <w:tcW w:w="604" w:type="pct"/>
            <w:tcBorders>
              <w:top w:val="nil"/>
              <w:left w:val="nil"/>
              <w:bottom w:val="single" w:sz="4" w:space="0" w:color="auto"/>
              <w:right w:val="single" w:sz="4" w:space="0" w:color="auto"/>
            </w:tcBorders>
            <w:shd w:val="clear" w:color="auto" w:fill="auto"/>
            <w:noWrap/>
            <w:vAlign w:val="bottom"/>
            <w:hideMark/>
          </w:tcPr>
          <w:p w14:paraId="22607B01" w14:textId="77777777" w:rsidR="0019031A" w:rsidRPr="00A52AEE" w:rsidRDefault="0019031A" w:rsidP="00053A52">
            <w:pPr>
              <w:jc w:val="right"/>
              <w:rPr>
                <w:lang w:eastAsia="en-GB"/>
              </w:rPr>
            </w:pPr>
            <w:r w:rsidRPr="00A52AEE">
              <w:rPr>
                <w:lang w:eastAsia="en-GB"/>
              </w:rPr>
              <w:t>125</w:t>
            </w:r>
          </w:p>
        </w:tc>
      </w:tr>
      <w:tr w:rsidR="0019031A" w:rsidRPr="00A52AEE" w14:paraId="74F8ECF8"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56F636BF" w14:textId="2A385195" w:rsidR="0019031A" w:rsidRPr="00A52AEE" w:rsidRDefault="0019031A" w:rsidP="00A52AEE">
            <w:pPr>
              <w:rPr>
                <w:lang w:eastAsia="en-GB"/>
              </w:rPr>
            </w:pPr>
            <w:r w:rsidRPr="00A52AEE">
              <w:rPr>
                <w:lang w:eastAsia="en-GB"/>
              </w:rPr>
              <w:t xml:space="preserve">University of Surrey  </w:t>
            </w:r>
          </w:p>
        </w:tc>
        <w:tc>
          <w:tcPr>
            <w:tcW w:w="578" w:type="pct"/>
            <w:tcBorders>
              <w:top w:val="nil"/>
              <w:left w:val="nil"/>
              <w:bottom w:val="single" w:sz="4" w:space="0" w:color="auto"/>
              <w:right w:val="single" w:sz="4" w:space="0" w:color="auto"/>
            </w:tcBorders>
            <w:shd w:val="clear" w:color="auto" w:fill="auto"/>
            <w:noWrap/>
            <w:vAlign w:val="bottom"/>
            <w:hideMark/>
          </w:tcPr>
          <w:p w14:paraId="3E9F2BD5" w14:textId="77777777" w:rsidR="0019031A" w:rsidRPr="00A52AEE" w:rsidRDefault="0019031A" w:rsidP="00053A52">
            <w:pPr>
              <w:jc w:val="right"/>
              <w:rPr>
                <w:lang w:eastAsia="en-GB"/>
              </w:rPr>
            </w:pPr>
            <w:r w:rsidRPr="00A52AEE">
              <w:rPr>
                <w:lang w:eastAsia="en-GB"/>
              </w:rPr>
              <w:t>145</w:t>
            </w:r>
          </w:p>
        </w:tc>
        <w:tc>
          <w:tcPr>
            <w:tcW w:w="579" w:type="pct"/>
            <w:tcBorders>
              <w:top w:val="nil"/>
              <w:left w:val="nil"/>
              <w:bottom w:val="single" w:sz="4" w:space="0" w:color="auto"/>
              <w:right w:val="single" w:sz="4" w:space="0" w:color="auto"/>
            </w:tcBorders>
            <w:shd w:val="clear" w:color="auto" w:fill="auto"/>
            <w:noWrap/>
            <w:vAlign w:val="bottom"/>
            <w:hideMark/>
          </w:tcPr>
          <w:p w14:paraId="7B615A2D" w14:textId="77777777" w:rsidR="0019031A" w:rsidRPr="00A52AEE" w:rsidRDefault="0019031A" w:rsidP="00053A52">
            <w:pPr>
              <w:jc w:val="right"/>
              <w:rPr>
                <w:lang w:eastAsia="en-GB"/>
              </w:rPr>
            </w:pPr>
            <w:r w:rsidRPr="00A52AEE">
              <w:rPr>
                <w:lang w:eastAsia="en-GB"/>
              </w:rPr>
              <w:t>125</w:t>
            </w:r>
          </w:p>
        </w:tc>
        <w:tc>
          <w:tcPr>
            <w:tcW w:w="579" w:type="pct"/>
            <w:tcBorders>
              <w:top w:val="nil"/>
              <w:left w:val="nil"/>
              <w:bottom w:val="single" w:sz="4" w:space="0" w:color="auto"/>
              <w:right w:val="single" w:sz="4" w:space="0" w:color="auto"/>
            </w:tcBorders>
            <w:shd w:val="clear" w:color="auto" w:fill="auto"/>
            <w:noWrap/>
            <w:vAlign w:val="bottom"/>
            <w:hideMark/>
          </w:tcPr>
          <w:p w14:paraId="60CD5B58" w14:textId="77777777" w:rsidR="0019031A" w:rsidRPr="00A52AEE" w:rsidRDefault="0019031A" w:rsidP="00053A52">
            <w:pPr>
              <w:jc w:val="right"/>
              <w:rPr>
                <w:lang w:eastAsia="en-GB"/>
              </w:rPr>
            </w:pPr>
            <w:r w:rsidRPr="00A52AEE">
              <w:rPr>
                <w:lang w:eastAsia="en-GB"/>
              </w:rPr>
              <w:t>125</w:t>
            </w:r>
          </w:p>
        </w:tc>
        <w:tc>
          <w:tcPr>
            <w:tcW w:w="651" w:type="pct"/>
            <w:tcBorders>
              <w:top w:val="nil"/>
              <w:left w:val="nil"/>
              <w:bottom w:val="single" w:sz="4" w:space="0" w:color="auto"/>
              <w:right w:val="single" w:sz="4" w:space="0" w:color="auto"/>
            </w:tcBorders>
            <w:shd w:val="clear" w:color="auto" w:fill="auto"/>
            <w:noWrap/>
            <w:vAlign w:val="bottom"/>
            <w:hideMark/>
          </w:tcPr>
          <w:p w14:paraId="4136277E" w14:textId="77777777" w:rsidR="0019031A" w:rsidRPr="00A52AEE" w:rsidRDefault="0019031A" w:rsidP="00053A52">
            <w:pPr>
              <w:jc w:val="right"/>
              <w:rPr>
                <w:lang w:eastAsia="en-GB"/>
              </w:rPr>
            </w:pPr>
            <w:r w:rsidRPr="00A52AEE">
              <w:rPr>
                <w:lang w:eastAsia="en-GB"/>
              </w:rPr>
              <w:t>120</w:t>
            </w:r>
          </w:p>
        </w:tc>
        <w:tc>
          <w:tcPr>
            <w:tcW w:w="604" w:type="pct"/>
            <w:tcBorders>
              <w:top w:val="nil"/>
              <w:left w:val="nil"/>
              <w:bottom w:val="single" w:sz="4" w:space="0" w:color="auto"/>
              <w:right w:val="single" w:sz="4" w:space="0" w:color="auto"/>
            </w:tcBorders>
            <w:shd w:val="clear" w:color="auto" w:fill="auto"/>
            <w:noWrap/>
            <w:vAlign w:val="bottom"/>
            <w:hideMark/>
          </w:tcPr>
          <w:p w14:paraId="5595F586" w14:textId="77777777" w:rsidR="0019031A" w:rsidRPr="00A52AEE" w:rsidRDefault="0019031A" w:rsidP="00053A52">
            <w:pPr>
              <w:jc w:val="right"/>
              <w:rPr>
                <w:lang w:eastAsia="en-GB"/>
              </w:rPr>
            </w:pPr>
            <w:r w:rsidRPr="00A52AEE">
              <w:rPr>
                <w:lang w:eastAsia="en-GB"/>
              </w:rPr>
              <w:t>115</w:t>
            </w:r>
          </w:p>
        </w:tc>
      </w:tr>
      <w:tr w:rsidR="0019031A" w:rsidRPr="00A52AEE" w14:paraId="5BB0E701"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0CA7D764" w14:textId="77777777" w:rsidR="0019031A" w:rsidRPr="00A52AEE" w:rsidRDefault="0019031A" w:rsidP="00A52AEE">
            <w:pPr>
              <w:rPr>
                <w:lang w:eastAsia="en-GB"/>
              </w:rPr>
            </w:pPr>
            <w:r w:rsidRPr="00A52AEE">
              <w:rPr>
                <w:lang w:eastAsia="en-GB"/>
              </w:rPr>
              <w:t xml:space="preserve">University for the Creative Arts </w:t>
            </w:r>
          </w:p>
        </w:tc>
        <w:tc>
          <w:tcPr>
            <w:tcW w:w="578" w:type="pct"/>
            <w:tcBorders>
              <w:top w:val="nil"/>
              <w:left w:val="nil"/>
              <w:bottom w:val="single" w:sz="4" w:space="0" w:color="auto"/>
              <w:right w:val="single" w:sz="4" w:space="0" w:color="auto"/>
            </w:tcBorders>
            <w:shd w:val="clear" w:color="auto" w:fill="auto"/>
            <w:noWrap/>
            <w:vAlign w:val="bottom"/>
            <w:hideMark/>
          </w:tcPr>
          <w:p w14:paraId="1DFEBD05"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50A62A4E" w14:textId="77777777" w:rsidR="0019031A" w:rsidRPr="00A52AEE" w:rsidRDefault="0019031A" w:rsidP="00053A52">
            <w:pPr>
              <w:jc w:val="right"/>
              <w:rPr>
                <w:lang w:eastAsia="en-GB"/>
              </w:rPr>
            </w:pPr>
            <w:r w:rsidRPr="00A52AEE">
              <w:rPr>
                <w:lang w:eastAsia="en-GB"/>
              </w:rPr>
              <w:t>140</w:t>
            </w:r>
          </w:p>
        </w:tc>
        <w:tc>
          <w:tcPr>
            <w:tcW w:w="579" w:type="pct"/>
            <w:tcBorders>
              <w:top w:val="nil"/>
              <w:left w:val="nil"/>
              <w:bottom w:val="single" w:sz="4" w:space="0" w:color="auto"/>
              <w:right w:val="single" w:sz="4" w:space="0" w:color="auto"/>
            </w:tcBorders>
            <w:shd w:val="clear" w:color="auto" w:fill="auto"/>
            <w:noWrap/>
            <w:vAlign w:val="bottom"/>
            <w:hideMark/>
          </w:tcPr>
          <w:p w14:paraId="11B1C2BD" w14:textId="77777777" w:rsidR="0019031A" w:rsidRPr="00A52AEE" w:rsidRDefault="0019031A" w:rsidP="00053A52">
            <w:pPr>
              <w:jc w:val="right"/>
              <w:rPr>
                <w:lang w:eastAsia="en-GB"/>
              </w:rPr>
            </w:pPr>
            <w:r w:rsidRPr="00A52AEE">
              <w:rPr>
                <w:lang w:eastAsia="en-GB"/>
              </w:rPr>
              <w:t>110</w:t>
            </w:r>
          </w:p>
        </w:tc>
        <w:tc>
          <w:tcPr>
            <w:tcW w:w="651" w:type="pct"/>
            <w:tcBorders>
              <w:top w:val="nil"/>
              <w:left w:val="nil"/>
              <w:bottom w:val="single" w:sz="4" w:space="0" w:color="auto"/>
              <w:right w:val="single" w:sz="4" w:space="0" w:color="auto"/>
            </w:tcBorders>
            <w:shd w:val="clear" w:color="auto" w:fill="auto"/>
            <w:noWrap/>
            <w:vAlign w:val="bottom"/>
            <w:hideMark/>
          </w:tcPr>
          <w:p w14:paraId="6B887C50" w14:textId="77777777" w:rsidR="0019031A" w:rsidRPr="00A52AEE" w:rsidRDefault="0019031A" w:rsidP="00053A52">
            <w:pPr>
              <w:jc w:val="right"/>
              <w:rPr>
                <w:lang w:eastAsia="en-GB"/>
              </w:rPr>
            </w:pPr>
            <w:r w:rsidRPr="00A52AEE">
              <w:rPr>
                <w:lang w:eastAsia="en-GB"/>
              </w:rPr>
              <w:t>120</w:t>
            </w:r>
          </w:p>
        </w:tc>
        <w:tc>
          <w:tcPr>
            <w:tcW w:w="604" w:type="pct"/>
            <w:tcBorders>
              <w:top w:val="nil"/>
              <w:left w:val="nil"/>
              <w:bottom w:val="single" w:sz="4" w:space="0" w:color="auto"/>
              <w:right w:val="single" w:sz="4" w:space="0" w:color="auto"/>
            </w:tcBorders>
            <w:shd w:val="clear" w:color="auto" w:fill="auto"/>
            <w:noWrap/>
            <w:vAlign w:val="bottom"/>
            <w:hideMark/>
          </w:tcPr>
          <w:p w14:paraId="6E15F6FB" w14:textId="77777777" w:rsidR="0019031A" w:rsidRPr="00A52AEE" w:rsidRDefault="0019031A" w:rsidP="00053A52">
            <w:pPr>
              <w:jc w:val="right"/>
              <w:rPr>
                <w:lang w:eastAsia="en-GB"/>
              </w:rPr>
            </w:pPr>
            <w:r w:rsidRPr="00A52AEE">
              <w:rPr>
                <w:lang w:eastAsia="en-GB"/>
              </w:rPr>
              <w:t>125</w:t>
            </w:r>
          </w:p>
        </w:tc>
      </w:tr>
      <w:tr w:rsidR="0019031A" w:rsidRPr="00A52AEE" w14:paraId="43F55E99"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2C9AF9E4" w14:textId="77777777" w:rsidR="0019031A" w:rsidRPr="00A52AEE" w:rsidRDefault="0019031A" w:rsidP="00A52AEE">
            <w:pPr>
              <w:rPr>
                <w:lang w:eastAsia="en-GB"/>
              </w:rPr>
            </w:pPr>
            <w:r w:rsidRPr="00A52AEE">
              <w:rPr>
                <w:lang w:eastAsia="en-GB"/>
              </w:rPr>
              <w:t xml:space="preserve">Birkbeck College    </w:t>
            </w:r>
          </w:p>
        </w:tc>
        <w:tc>
          <w:tcPr>
            <w:tcW w:w="578" w:type="pct"/>
            <w:tcBorders>
              <w:top w:val="nil"/>
              <w:left w:val="nil"/>
              <w:bottom w:val="single" w:sz="4" w:space="0" w:color="auto"/>
              <w:right w:val="single" w:sz="4" w:space="0" w:color="auto"/>
            </w:tcBorders>
            <w:shd w:val="clear" w:color="auto" w:fill="auto"/>
            <w:noWrap/>
            <w:vAlign w:val="bottom"/>
            <w:hideMark/>
          </w:tcPr>
          <w:p w14:paraId="50716237" w14:textId="77777777" w:rsidR="0019031A" w:rsidRPr="00A52AEE" w:rsidRDefault="0019031A" w:rsidP="00053A52">
            <w:pPr>
              <w:jc w:val="right"/>
              <w:rPr>
                <w:lang w:eastAsia="en-GB"/>
              </w:rPr>
            </w:pPr>
            <w:r w:rsidRPr="00A52AEE">
              <w:rPr>
                <w:lang w:eastAsia="en-GB"/>
              </w:rPr>
              <w:t>130</w:t>
            </w:r>
          </w:p>
        </w:tc>
        <w:tc>
          <w:tcPr>
            <w:tcW w:w="579" w:type="pct"/>
            <w:tcBorders>
              <w:top w:val="nil"/>
              <w:left w:val="nil"/>
              <w:bottom w:val="single" w:sz="4" w:space="0" w:color="auto"/>
              <w:right w:val="single" w:sz="4" w:space="0" w:color="auto"/>
            </w:tcBorders>
            <w:shd w:val="clear" w:color="auto" w:fill="auto"/>
            <w:noWrap/>
            <w:vAlign w:val="bottom"/>
            <w:hideMark/>
          </w:tcPr>
          <w:p w14:paraId="28D1AF46" w14:textId="77777777" w:rsidR="0019031A" w:rsidRPr="00A52AEE" w:rsidRDefault="0019031A" w:rsidP="00053A52">
            <w:pPr>
              <w:jc w:val="right"/>
              <w:rPr>
                <w:lang w:eastAsia="en-GB"/>
              </w:rPr>
            </w:pPr>
            <w:r w:rsidRPr="00A52AEE">
              <w:rPr>
                <w:lang w:eastAsia="en-GB"/>
              </w:rPr>
              <w:t>75</w:t>
            </w:r>
          </w:p>
        </w:tc>
        <w:tc>
          <w:tcPr>
            <w:tcW w:w="579" w:type="pct"/>
            <w:tcBorders>
              <w:top w:val="nil"/>
              <w:left w:val="nil"/>
              <w:bottom w:val="single" w:sz="4" w:space="0" w:color="auto"/>
              <w:right w:val="single" w:sz="4" w:space="0" w:color="auto"/>
            </w:tcBorders>
            <w:shd w:val="clear" w:color="auto" w:fill="auto"/>
            <w:noWrap/>
            <w:vAlign w:val="bottom"/>
            <w:hideMark/>
          </w:tcPr>
          <w:p w14:paraId="0F3DDB5C" w14:textId="77777777" w:rsidR="0019031A" w:rsidRPr="00A52AEE" w:rsidRDefault="0019031A" w:rsidP="00053A52">
            <w:pPr>
              <w:jc w:val="right"/>
              <w:rPr>
                <w:lang w:eastAsia="en-GB"/>
              </w:rPr>
            </w:pPr>
            <w:r w:rsidRPr="00A52AEE">
              <w:rPr>
                <w:lang w:eastAsia="en-GB"/>
              </w:rPr>
              <w:t>90</w:t>
            </w:r>
          </w:p>
        </w:tc>
        <w:tc>
          <w:tcPr>
            <w:tcW w:w="651" w:type="pct"/>
            <w:tcBorders>
              <w:top w:val="nil"/>
              <w:left w:val="nil"/>
              <w:bottom w:val="single" w:sz="4" w:space="0" w:color="auto"/>
              <w:right w:val="single" w:sz="4" w:space="0" w:color="auto"/>
            </w:tcBorders>
            <w:shd w:val="clear" w:color="auto" w:fill="auto"/>
            <w:noWrap/>
            <w:vAlign w:val="bottom"/>
            <w:hideMark/>
          </w:tcPr>
          <w:p w14:paraId="53152479" w14:textId="77777777" w:rsidR="0019031A" w:rsidRPr="00A52AEE" w:rsidRDefault="0019031A" w:rsidP="00053A52">
            <w:pPr>
              <w:jc w:val="right"/>
              <w:rPr>
                <w:lang w:eastAsia="en-GB"/>
              </w:rPr>
            </w:pPr>
            <w:r w:rsidRPr="00A52AEE">
              <w:rPr>
                <w:lang w:eastAsia="en-GB"/>
              </w:rPr>
              <w:t>145</w:t>
            </w:r>
          </w:p>
        </w:tc>
        <w:tc>
          <w:tcPr>
            <w:tcW w:w="604" w:type="pct"/>
            <w:tcBorders>
              <w:top w:val="nil"/>
              <w:left w:val="nil"/>
              <w:bottom w:val="single" w:sz="4" w:space="0" w:color="auto"/>
              <w:right w:val="single" w:sz="4" w:space="0" w:color="auto"/>
            </w:tcBorders>
            <w:shd w:val="clear" w:color="auto" w:fill="auto"/>
            <w:noWrap/>
            <w:vAlign w:val="bottom"/>
            <w:hideMark/>
          </w:tcPr>
          <w:p w14:paraId="6D251DCE" w14:textId="77777777" w:rsidR="0019031A" w:rsidRPr="00A52AEE" w:rsidRDefault="0019031A" w:rsidP="00053A52">
            <w:pPr>
              <w:jc w:val="right"/>
              <w:rPr>
                <w:lang w:eastAsia="en-GB"/>
              </w:rPr>
            </w:pPr>
            <w:r w:rsidRPr="00A52AEE">
              <w:rPr>
                <w:lang w:eastAsia="en-GB"/>
              </w:rPr>
              <w:t>125</w:t>
            </w:r>
          </w:p>
        </w:tc>
      </w:tr>
      <w:tr w:rsidR="0019031A" w:rsidRPr="00A52AEE" w14:paraId="508A7012" w14:textId="77777777" w:rsidTr="0093491E">
        <w:trPr>
          <w:trHeight w:val="300"/>
        </w:trPr>
        <w:tc>
          <w:tcPr>
            <w:tcW w:w="2009" w:type="pct"/>
            <w:tcBorders>
              <w:top w:val="nil"/>
              <w:left w:val="single" w:sz="4" w:space="0" w:color="auto"/>
              <w:bottom w:val="single" w:sz="4" w:space="0" w:color="auto"/>
              <w:right w:val="single" w:sz="4" w:space="0" w:color="auto"/>
            </w:tcBorders>
            <w:shd w:val="clear" w:color="auto" w:fill="auto"/>
            <w:noWrap/>
            <w:vAlign w:val="bottom"/>
            <w:hideMark/>
          </w:tcPr>
          <w:p w14:paraId="373AE9AD" w14:textId="77777777" w:rsidR="0019031A" w:rsidRPr="00A52AEE" w:rsidRDefault="0019031A" w:rsidP="00A52AEE">
            <w:pPr>
              <w:rPr>
                <w:lang w:eastAsia="en-GB"/>
              </w:rPr>
            </w:pPr>
            <w:r w:rsidRPr="00A52AEE">
              <w:rPr>
                <w:lang w:eastAsia="en-GB"/>
              </w:rPr>
              <w:t xml:space="preserve">University College London   </w:t>
            </w:r>
          </w:p>
        </w:tc>
        <w:tc>
          <w:tcPr>
            <w:tcW w:w="578" w:type="pct"/>
            <w:tcBorders>
              <w:top w:val="nil"/>
              <w:left w:val="nil"/>
              <w:bottom w:val="single" w:sz="4" w:space="0" w:color="auto"/>
              <w:right w:val="single" w:sz="4" w:space="0" w:color="auto"/>
            </w:tcBorders>
            <w:shd w:val="clear" w:color="auto" w:fill="auto"/>
            <w:noWrap/>
            <w:vAlign w:val="bottom"/>
            <w:hideMark/>
          </w:tcPr>
          <w:p w14:paraId="6A23605F" w14:textId="77777777" w:rsidR="0019031A" w:rsidRPr="00A52AEE" w:rsidRDefault="0019031A" w:rsidP="00053A52">
            <w:pPr>
              <w:jc w:val="right"/>
              <w:rPr>
                <w:lang w:eastAsia="en-GB"/>
              </w:rPr>
            </w:pPr>
            <w:r w:rsidRPr="00A52AEE">
              <w:rPr>
                <w:lang w:eastAsia="en-GB"/>
              </w:rPr>
              <w:t>155</w:t>
            </w:r>
          </w:p>
        </w:tc>
        <w:tc>
          <w:tcPr>
            <w:tcW w:w="579" w:type="pct"/>
            <w:tcBorders>
              <w:top w:val="nil"/>
              <w:left w:val="nil"/>
              <w:bottom w:val="single" w:sz="4" w:space="0" w:color="auto"/>
              <w:right w:val="single" w:sz="4" w:space="0" w:color="auto"/>
            </w:tcBorders>
            <w:shd w:val="clear" w:color="auto" w:fill="auto"/>
            <w:noWrap/>
            <w:vAlign w:val="bottom"/>
            <w:hideMark/>
          </w:tcPr>
          <w:p w14:paraId="6A350423" w14:textId="77777777" w:rsidR="0019031A" w:rsidRPr="00A52AEE" w:rsidRDefault="0019031A" w:rsidP="00053A52">
            <w:pPr>
              <w:jc w:val="right"/>
              <w:rPr>
                <w:lang w:eastAsia="en-GB"/>
              </w:rPr>
            </w:pPr>
            <w:r w:rsidRPr="00A52AEE">
              <w:rPr>
                <w:lang w:eastAsia="en-GB"/>
              </w:rPr>
              <w:t>125</w:t>
            </w:r>
          </w:p>
        </w:tc>
        <w:tc>
          <w:tcPr>
            <w:tcW w:w="579" w:type="pct"/>
            <w:tcBorders>
              <w:top w:val="nil"/>
              <w:left w:val="nil"/>
              <w:bottom w:val="single" w:sz="4" w:space="0" w:color="auto"/>
              <w:right w:val="single" w:sz="4" w:space="0" w:color="auto"/>
            </w:tcBorders>
            <w:shd w:val="clear" w:color="auto" w:fill="auto"/>
            <w:noWrap/>
            <w:vAlign w:val="bottom"/>
            <w:hideMark/>
          </w:tcPr>
          <w:p w14:paraId="0EEC9493" w14:textId="77777777" w:rsidR="0019031A" w:rsidRPr="00A52AEE" w:rsidRDefault="0019031A" w:rsidP="00053A52">
            <w:pPr>
              <w:jc w:val="right"/>
              <w:rPr>
                <w:lang w:eastAsia="en-GB"/>
              </w:rPr>
            </w:pPr>
            <w:r w:rsidRPr="00A52AEE">
              <w:rPr>
                <w:lang w:eastAsia="en-GB"/>
              </w:rPr>
              <w:t>115</w:t>
            </w:r>
          </w:p>
        </w:tc>
        <w:tc>
          <w:tcPr>
            <w:tcW w:w="651" w:type="pct"/>
            <w:tcBorders>
              <w:top w:val="nil"/>
              <w:left w:val="nil"/>
              <w:bottom w:val="single" w:sz="4" w:space="0" w:color="auto"/>
              <w:right w:val="single" w:sz="4" w:space="0" w:color="auto"/>
            </w:tcBorders>
            <w:shd w:val="clear" w:color="auto" w:fill="auto"/>
            <w:noWrap/>
            <w:vAlign w:val="bottom"/>
            <w:hideMark/>
          </w:tcPr>
          <w:p w14:paraId="250C876C" w14:textId="77777777" w:rsidR="0019031A" w:rsidRPr="00A52AEE" w:rsidRDefault="0019031A" w:rsidP="00053A52">
            <w:pPr>
              <w:jc w:val="right"/>
              <w:rPr>
                <w:lang w:eastAsia="en-GB"/>
              </w:rPr>
            </w:pPr>
            <w:r w:rsidRPr="00A52AEE">
              <w:rPr>
                <w:lang w:eastAsia="en-GB"/>
              </w:rPr>
              <w:t>75</w:t>
            </w:r>
          </w:p>
        </w:tc>
        <w:tc>
          <w:tcPr>
            <w:tcW w:w="604" w:type="pct"/>
            <w:tcBorders>
              <w:top w:val="nil"/>
              <w:left w:val="nil"/>
              <w:bottom w:val="single" w:sz="4" w:space="0" w:color="auto"/>
              <w:right w:val="single" w:sz="4" w:space="0" w:color="auto"/>
            </w:tcBorders>
            <w:shd w:val="clear" w:color="auto" w:fill="auto"/>
            <w:noWrap/>
            <w:vAlign w:val="bottom"/>
            <w:hideMark/>
          </w:tcPr>
          <w:p w14:paraId="6CB400AA" w14:textId="77777777" w:rsidR="0019031A" w:rsidRPr="00A52AEE" w:rsidRDefault="0019031A" w:rsidP="00053A52">
            <w:pPr>
              <w:jc w:val="right"/>
              <w:rPr>
                <w:lang w:eastAsia="en-GB"/>
              </w:rPr>
            </w:pPr>
            <w:r w:rsidRPr="00A52AEE">
              <w:rPr>
                <w:lang w:eastAsia="en-GB"/>
              </w:rPr>
              <w:t>100</w:t>
            </w:r>
          </w:p>
        </w:tc>
      </w:tr>
    </w:tbl>
    <w:p w14:paraId="15D0F2C9" w14:textId="77777777" w:rsidR="0093491E" w:rsidRPr="00A52AEE" w:rsidRDefault="0093491E" w:rsidP="00A52AEE"/>
    <w:p w14:paraId="7106B438" w14:textId="3FA0C5D9" w:rsidR="0019031A" w:rsidRDefault="0019031A" w:rsidP="00A52AEE">
      <w:r w:rsidRPr="00A52AEE">
        <w:t xml:space="preserve">The </w:t>
      </w:r>
      <w:r w:rsidR="00053A52">
        <w:t>next table looks at the top non-</w:t>
      </w:r>
      <w:r w:rsidRPr="00A52AEE">
        <w:t>prescribed HE providers in terms of entrant numbers.</w:t>
      </w:r>
    </w:p>
    <w:p w14:paraId="512EB79C" w14:textId="77777777" w:rsidR="00053A52" w:rsidRPr="00A52AEE" w:rsidRDefault="00053A52" w:rsidP="00A52AEE"/>
    <w:p w14:paraId="52B83A08" w14:textId="77777777" w:rsidR="002F1965" w:rsidRDefault="002F1965" w:rsidP="00A52AEE">
      <w:pPr>
        <w:rPr>
          <w:b/>
        </w:rPr>
      </w:pPr>
    </w:p>
    <w:p w14:paraId="762E56C5" w14:textId="77777777" w:rsidR="002F1965" w:rsidRDefault="002F1965" w:rsidP="00A52AEE">
      <w:pPr>
        <w:rPr>
          <w:b/>
        </w:rPr>
      </w:pPr>
    </w:p>
    <w:p w14:paraId="68CFB653" w14:textId="77777777" w:rsidR="002F1965" w:rsidRDefault="002F1965" w:rsidP="00A52AEE">
      <w:pPr>
        <w:rPr>
          <w:b/>
        </w:rPr>
      </w:pPr>
    </w:p>
    <w:p w14:paraId="67E252D1" w14:textId="77777777" w:rsidR="002F1965" w:rsidRDefault="002F1965" w:rsidP="00A52AEE">
      <w:pPr>
        <w:rPr>
          <w:b/>
        </w:rPr>
      </w:pPr>
    </w:p>
    <w:p w14:paraId="19571218" w14:textId="329F2BE9" w:rsidR="0019031A" w:rsidRPr="00053A52" w:rsidRDefault="0019031A" w:rsidP="00A52AEE">
      <w:pPr>
        <w:rPr>
          <w:b/>
        </w:rPr>
      </w:pPr>
      <w:r w:rsidRPr="00053A52">
        <w:rPr>
          <w:b/>
        </w:rPr>
        <w:t>Table</w:t>
      </w:r>
      <w:r w:rsidR="0022142D">
        <w:rPr>
          <w:b/>
        </w:rPr>
        <w:t xml:space="preserve"> 38</w:t>
      </w:r>
      <w:r w:rsidR="0093491E" w:rsidRPr="00053A52">
        <w:rPr>
          <w:b/>
        </w:rPr>
        <w:t>: Top providers of non-</w:t>
      </w:r>
      <w:r w:rsidRPr="00053A52">
        <w:rPr>
          <w:b/>
        </w:rPr>
        <w:t>prescribed HE by FE cohort year</w:t>
      </w:r>
    </w:p>
    <w:p w14:paraId="1006B32E" w14:textId="77777777" w:rsidR="00053A52" w:rsidRPr="00A52AEE" w:rsidRDefault="00053A52" w:rsidP="00A52A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107"/>
        <w:gridCol w:w="1108"/>
        <w:gridCol w:w="1108"/>
        <w:gridCol w:w="1108"/>
        <w:gridCol w:w="1156"/>
      </w:tblGrid>
      <w:tr w:rsidR="00BA2C77" w:rsidRPr="00053A52" w14:paraId="6B7A077D" w14:textId="77777777" w:rsidTr="00BA2C77">
        <w:trPr>
          <w:trHeight w:val="300"/>
        </w:trPr>
        <w:tc>
          <w:tcPr>
            <w:tcW w:w="2081" w:type="pct"/>
            <w:shd w:val="clear" w:color="auto" w:fill="1F4E79" w:themeFill="accent1" w:themeFillShade="80"/>
            <w:noWrap/>
            <w:vAlign w:val="center"/>
            <w:hideMark/>
          </w:tcPr>
          <w:p w14:paraId="3C5DEF99" w14:textId="204E7DE0" w:rsidR="0019031A" w:rsidRPr="00053A52" w:rsidRDefault="00BA2C77" w:rsidP="00053A52">
            <w:pPr>
              <w:rPr>
                <w:b/>
                <w:color w:val="FFFFFF" w:themeColor="background1"/>
                <w:lang w:eastAsia="en-GB"/>
              </w:rPr>
            </w:pPr>
            <w:r w:rsidRPr="00053A52">
              <w:rPr>
                <w:b/>
                <w:color w:val="FFFFFF" w:themeColor="background1"/>
                <w:lang w:eastAsia="en-GB"/>
              </w:rPr>
              <w:t xml:space="preserve">Non-prescribed </w:t>
            </w:r>
            <w:r w:rsidR="0019031A" w:rsidRPr="00053A52">
              <w:rPr>
                <w:b/>
                <w:color w:val="FFFFFF" w:themeColor="background1"/>
                <w:lang w:eastAsia="en-GB"/>
              </w:rPr>
              <w:t xml:space="preserve">HE </w:t>
            </w:r>
            <w:r w:rsidRPr="00053A52">
              <w:rPr>
                <w:b/>
                <w:color w:val="FFFFFF" w:themeColor="background1"/>
                <w:lang w:eastAsia="en-GB"/>
              </w:rPr>
              <w:t>provider</w:t>
            </w:r>
          </w:p>
        </w:tc>
        <w:tc>
          <w:tcPr>
            <w:tcW w:w="578" w:type="pct"/>
            <w:shd w:val="clear" w:color="auto" w:fill="1F4E79" w:themeFill="accent1" w:themeFillShade="80"/>
            <w:noWrap/>
            <w:vAlign w:val="center"/>
            <w:hideMark/>
          </w:tcPr>
          <w:p w14:paraId="7ABD81FE" w14:textId="77777777" w:rsidR="0019031A" w:rsidRPr="00053A52" w:rsidRDefault="0019031A" w:rsidP="00053A52">
            <w:pPr>
              <w:jc w:val="center"/>
              <w:rPr>
                <w:b/>
                <w:color w:val="FFFFFF" w:themeColor="background1"/>
                <w:lang w:eastAsia="en-GB"/>
              </w:rPr>
            </w:pPr>
            <w:r w:rsidRPr="00053A52">
              <w:rPr>
                <w:b/>
                <w:color w:val="FFFFFF" w:themeColor="background1"/>
                <w:lang w:eastAsia="en-GB"/>
              </w:rPr>
              <w:t>2007-08 into HE 2008-09</w:t>
            </w:r>
          </w:p>
        </w:tc>
        <w:tc>
          <w:tcPr>
            <w:tcW w:w="579" w:type="pct"/>
            <w:shd w:val="clear" w:color="auto" w:fill="1F4E79" w:themeFill="accent1" w:themeFillShade="80"/>
            <w:noWrap/>
            <w:vAlign w:val="center"/>
            <w:hideMark/>
          </w:tcPr>
          <w:p w14:paraId="5330DD11" w14:textId="77777777" w:rsidR="0019031A" w:rsidRPr="00053A52" w:rsidRDefault="0019031A" w:rsidP="00053A52">
            <w:pPr>
              <w:jc w:val="center"/>
              <w:rPr>
                <w:b/>
                <w:color w:val="FFFFFF" w:themeColor="background1"/>
                <w:szCs w:val="20"/>
                <w:lang w:eastAsia="en-GB"/>
              </w:rPr>
            </w:pPr>
            <w:r w:rsidRPr="00053A52">
              <w:rPr>
                <w:b/>
                <w:color w:val="FFFFFF" w:themeColor="background1"/>
                <w:lang w:eastAsia="en-GB"/>
              </w:rPr>
              <w:t>2008-09 into HE 2009-10</w:t>
            </w:r>
          </w:p>
        </w:tc>
        <w:tc>
          <w:tcPr>
            <w:tcW w:w="579" w:type="pct"/>
            <w:shd w:val="clear" w:color="auto" w:fill="1F4E79" w:themeFill="accent1" w:themeFillShade="80"/>
            <w:noWrap/>
            <w:vAlign w:val="center"/>
            <w:hideMark/>
          </w:tcPr>
          <w:p w14:paraId="149DAF51" w14:textId="77777777" w:rsidR="0019031A" w:rsidRPr="00053A52" w:rsidRDefault="0019031A" w:rsidP="00053A52">
            <w:pPr>
              <w:jc w:val="center"/>
              <w:rPr>
                <w:b/>
                <w:color w:val="FFFFFF" w:themeColor="background1"/>
                <w:szCs w:val="20"/>
                <w:lang w:eastAsia="en-GB"/>
              </w:rPr>
            </w:pPr>
            <w:r w:rsidRPr="00053A52">
              <w:rPr>
                <w:b/>
                <w:color w:val="FFFFFF" w:themeColor="background1"/>
                <w:lang w:eastAsia="en-GB"/>
              </w:rPr>
              <w:t>2009-10 into HE 2010-11</w:t>
            </w:r>
          </w:p>
        </w:tc>
        <w:tc>
          <w:tcPr>
            <w:tcW w:w="579" w:type="pct"/>
            <w:shd w:val="clear" w:color="auto" w:fill="1F4E79" w:themeFill="accent1" w:themeFillShade="80"/>
            <w:noWrap/>
            <w:vAlign w:val="center"/>
            <w:hideMark/>
          </w:tcPr>
          <w:p w14:paraId="005B7D9D" w14:textId="77777777" w:rsidR="0019031A" w:rsidRPr="00053A52" w:rsidRDefault="0019031A" w:rsidP="00053A52">
            <w:pPr>
              <w:jc w:val="center"/>
              <w:rPr>
                <w:b/>
                <w:color w:val="FFFFFF" w:themeColor="background1"/>
                <w:szCs w:val="20"/>
                <w:lang w:eastAsia="en-GB"/>
              </w:rPr>
            </w:pPr>
            <w:r w:rsidRPr="00053A52">
              <w:rPr>
                <w:b/>
                <w:color w:val="FFFFFF" w:themeColor="background1"/>
                <w:lang w:eastAsia="en-GB"/>
              </w:rPr>
              <w:t>2010-11 into HE 2011-12</w:t>
            </w:r>
          </w:p>
        </w:tc>
        <w:tc>
          <w:tcPr>
            <w:tcW w:w="604" w:type="pct"/>
            <w:shd w:val="clear" w:color="auto" w:fill="1F4E79" w:themeFill="accent1" w:themeFillShade="80"/>
            <w:noWrap/>
            <w:vAlign w:val="center"/>
            <w:hideMark/>
          </w:tcPr>
          <w:p w14:paraId="50EE9294" w14:textId="77777777" w:rsidR="0019031A" w:rsidRPr="00053A52" w:rsidRDefault="0019031A" w:rsidP="00053A52">
            <w:pPr>
              <w:jc w:val="center"/>
              <w:rPr>
                <w:b/>
                <w:color w:val="FFFFFF" w:themeColor="background1"/>
                <w:szCs w:val="20"/>
                <w:lang w:eastAsia="en-GB"/>
              </w:rPr>
            </w:pPr>
            <w:r w:rsidRPr="00053A52">
              <w:rPr>
                <w:b/>
                <w:color w:val="FFFFFF" w:themeColor="background1"/>
                <w:lang w:eastAsia="en-GB"/>
              </w:rPr>
              <w:t>2011-12 into HE 2012-13</w:t>
            </w:r>
          </w:p>
        </w:tc>
      </w:tr>
      <w:tr w:rsidR="0019031A" w:rsidRPr="00A52AEE" w14:paraId="7994A410" w14:textId="77777777" w:rsidTr="00BA2C77">
        <w:trPr>
          <w:trHeight w:val="300"/>
        </w:trPr>
        <w:tc>
          <w:tcPr>
            <w:tcW w:w="2081" w:type="pct"/>
            <w:shd w:val="clear" w:color="auto" w:fill="auto"/>
            <w:noWrap/>
            <w:vAlign w:val="bottom"/>
            <w:hideMark/>
          </w:tcPr>
          <w:p w14:paraId="437E38D3" w14:textId="15E7394E" w:rsidR="0019031A" w:rsidRPr="00A52AEE" w:rsidRDefault="00BA2C77" w:rsidP="00A52AEE">
            <w:pPr>
              <w:rPr>
                <w:lang w:eastAsia="en-GB"/>
              </w:rPr>
            </w:pPr>
            <w:r w:rsidRPr="00A52AEE">
              <w:rPr>
                <w:lang w:eastAsia="en-GB"/>
              </w:rPr>
              <w:t>Havering College of Further and Higher Education</w:t>
            </w:r>
          </w:p>
        </w:tc>
        <w:tc>
          <w:tcPr>
            <w:tcW w:w="578" w:type="pct"/>
            <w:shd w:val="clear" w:color="auto" w:fill="auto"/>
            <w:noWrap/>
            <w:vAlign w:val="bottom"/>
            <w:hideMark/>
          </w:tcPr>
          <w:p w14:paraId="5C56DE94" w14:textId="77777777" w:rsidR="0019031A" w:rsidRPr="00A52AEE" w:rsidRDefault="0019031A" w:rsidP="00053A52">
            <w:pPr>
              <w:jc w:val="right"/>
              <w:rPr>
                <w:lang w:eastAsia="en-GB"/>
              </w:rPr>
            </w:pPr>
            <w:r w:rsidRPr="00A52AEE">
              <w:rPr>
                <w:lang w:eastAsia="en-GB"/>
              </w:rPr>
              <w:t>40</w:t>
            </w:r>
          </w:p>
        </w:tc>
        <w:tc>
          <w:tcPr>
            <w:tcW w:w="579" w:type="pct"/>
            <w:shd w:val="clear" w:color="auto" w:fill="auto"/>
            <w:noWrap/>
            <w:vAlign w:val="bottom"/>
            <w:hideMark/>
          </w:tcPr>
          <w:p w14:paraId="0BA5AB23" w14:textId="77777777" w:rsidR="0019031A" w:rsidRPr="00A52AEE" w:rsidRDefault="0019031A" w:rsidP="00053A52">
            <w:pPr>
              <w:jc w:val="right"/>
              <w:rPr>
                <w:lang w:eastAsia="en-GB"/>
              </w:rPr>
            </w:pPr>
            <w:r w:rsidRPr="00A52AEE">
              <w:rPr>
                <w:lang w:eastAsia="en-GB"/>
              </w:rPr>
              <w:t>75</w:t>
            </w:r>
          </w:p>
        </w:tc>
        <w:tc>
          <w:tcPr>
            <w:tcW w:w="579" w:type="pct"/>
            <w:shd w:val="clear" w:color="auto" w:fill="auto"/>
            <w:noWrap/>
            <w:vAlign w:val="bottom"/>
            <w:hideMark/>
          </w:tcPr>
          <w:p w14:paraId="6DA3093F" w14:textId="77777777" w:rsidR="0019031A" w:rsidRPr="00A52AEE" w:rsidRDefault="0019031A" w:rsidP="00053A52">
            <w:pPr>
              <w:jc w:val="right"/>
              <w:rPr>
                <w:lang w:eastAsia="en-GB"/>
              </w:rPr>
            </w:pPr>
            <w:r w:rsidRPr="00A52AEE">
              <w:rPr>
                <w:lang w:eastAsia="en-GB"/>
              </w:rPr>
              <w:t>75</w:t>
            </w:r>
          </w:p>
        </w:tc>
        <w:tc>
          <w:tcPr>
            <w:tcW w:w="579" w:type="pct"/>
            <w:shd w:val="clear" w:color="auto" w:fill="auto"/>
            <w:noWrap/>
            <w:vAlign w:val="bottom"/>
            <w:hideMark/>
          </w:tcPr>
          <w:p w14:paraId="22A6A42F" w14:textId="77777777" w:rsidR="0019031A" w:rsidRPr="00A52AEE" w:rsidRDefault="0019031A" w:rsidP="00053A52">
            <w:pPr>
              <w:jc w:val="right"/>
              <w:rPr>
                <w:lang w:eastAsia="en-GB"/>
              </w:rPr>
            </w:pPr>
            <w:r w:rsidRPr="00A52AEE">
              <w:rPr>
                <w:lang w:eastAsia="en-GB"/>
              </w:rPr>
              <w:t>35</w:t>
            </w:r>
          </w:p>
        </w:tc>
        <w:tc>
          <w:tcPr>
            <w:tcW w:w="604" w:type="pct"/>
            <w:shd w:val="clear" w:color="auto" w:fill="auto"/>
            <w:noWrap/>
            <w:vAlign w:val="bottom"/>
            <w:hideMark/>
          </w:tcPr>
          <w:p w14:paraId="6DF560EF" w14:textId="77777777" w:rsidR="0019031A" w:rsidRPr="00A52AEE" w:rsidRDefault="0019031A" w:rsidP="00053A52">
            <w:pPr>
              <w:jc w:val="right"/>
              <w:rPr>
                <w:lang w:eastAsia="en-GB"/>
              </w:rPr>
            </w:pPr>
            <w:r w:rsidRPr="00A52AEE">
              <w:rPr>
                <w:lang w:eastAsia="en-GB"/>
              </w:rPr>
              <w:t>110</w:t>
            </w:r>
          </w:p>
        </w:tc>
      </w:tr>
      <w:tr w:rsidR="0019031A" w:rsidRPr="00A52AEE" w14:paraId="5D3BC37F" w14:textId="77777777" w:rsidTr="00BA2C77">
        <w:trPr>
          <w:trHeight w:val="300"/>
        </w:trPr>
        <w:tc>
          <w:tcPr>
            <w:tcW w:w="2081" w:type="pct"/>
            <w:shd w:val="clear" w:color="auto" w:fill="auto"/>
            <w:noWrap/>
            <w:vAlign w:val="bottom"/>
            <w:hideMark/>
          </w:tcPr>
          <w:p w14:paraId="5666E1BD" w14:textId="1472721F" w:rsidR="0019031A" w:rsidRPr="00A52AEE" w:rsidRDefault="00BA2C77" w:rsidP="00A52AEE">
            <w:pPr>
              <w:rPr>
                <w:lang w:eastAsia="en-GB"/>
              </w:rPr>
            </w:pPr>
            <w:r w:rsidRPr="00A52AEE">
              <w:rPr>
                <w:lang w:eastAsia="en-GB"/>
              </w:rPr>
              <w:t>Barking College</w:t>
            </w:r>
          </w:p>
        </w:tc>
        <w:tc>
          <w:tcPr>
            <w:tcW w:w="578" w:type="pct"/>
            <w:shd w:val="clear" w:color="auto" w:fill="auto"/>
            <w:noWrap/>
            <w:vAlign w:val="bottom"/>
            <w:hideMark/>
          </w:tcPr>
          <w:p w14:paraId="43EEE71A"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3F24A950"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7C8025DF" w14:textId="77777777" w:rsidR="0019031A" w:rsidRPr="00A52AEE" w:rsidRDefault="0019031A" w:rsidP="00053A52">
            <w:pPr>
              <w:jc w:val="right"/>
              <w:rPr>
                <w:lang w:eastAsia="en-GB"/>
              </w:rPr>
            </w:pPr>
            <w:r w:rsidRPr="00A52AEE">
              <w:rPr>
                <w:lang w:eastAsia="en-GB"/>
              </w:rPr>
              <w:t>60</w:t>
            </w:r>
          </w:p>
        </w:tc>
        <w:tc>
          <w:tcPr>
            <w:tcW w:w="579" w:type="pct"/>
            <w:shd w:val="clear" w:color="auto" w:fill="auto"/>
            <w:noWrap/>
            <w:vAlign w:val="bottom"/>
            <w:hideMark/>
          </w:tcPr>
          <w:p w14:paraId="5B39C49C" w14:textId="77777777" w:rsidR="0019031A" w:rsidRPr="00A52AEE" w:rsidRDefault="0019031A" w:rsidP="00053A52">
            <w:pPr>
              <w:jc w:val="right"/>
              <w:rPr>
                <w:lang w:eastAsia="en-GB"/>
              </w:rPr>
            </w:pPr>
            <w:r w:rsidRPr="00A52AEE">
              <w:rPr>
                <w:lang w:eastAsia="en-GB"/>
              </w:rPr>
              <w:t>50</w:t>
            </w:r>
          </w:p>
        </w:tc>
        <w:tc>
          <w:tcPr>
            <w:tcW w:w="604" w:type="pct"/>
            <w:shd w:val="clear" w:color="auto" w:fill="auto"/>
            <w:noWrap/>
            <w:vAlign w:val="bottom"/>
            <w:hideMark/>
          </w:tcPr>
          <w:p w14:paraId="52388464" w14:textId="77777777" w:rsidR="0019031A" w:rsidRPr="00A52AEE" w:rsidRDefault="0019031A" w:rsidP="00053A52">
            <w:pPr>
              <w:jc w:val="right"/>
              <w:rPr>
                <w:lang w:eastAsia="en-GB"/>
              </w:rPr>
            </w:pPr>
            <w:r w:rsidRPr="00A52AEE">
              <w:rPr>
                <w:lang w:eastAsia="en-GB"/>
              </w:rPr>
              <w:t>140</w:t>
            </w:r>
          </w:p>
        </w:tc>
      </w:tr>
      <w:tr w:rsidR="0019031A" w:rsidRPr="00A52AEE" w14:paraId="5347E9C7" w14:textId="77777777" w:rsidTr="00BA2C77">
        <w:trPr>
          <w:trHeight w:val="300"/>
        </w:trPr>
        <w:tc>
          <w:tcPr>
            <w:tcW w:w="2081" w:type="pct"/>
            <w:shd w:val="clear" w:color="auto" w:fill="auto"/>
            <w:noWrap/>
            <w:vAlign w:val="bottom"/>
            <w:hideMark/>
          </w:tcPr>
          <w:p w14:paraId="58C7D0CD" w14:textId="1C3E2D56" w:rsidR="0019031A" w:rsidRPr="00A52AEE" w:rsidRDefault="00BA2C77" w:rsidP="00A52AEE">
            <w:pPr>
              <w:rPr>
                <w:lang w:eastAsia="en-GB"/>
              </w:rPr>
            </w:pPr>
            <w:r w:rsidRPr="00A52AEE">
              <w:rPr>
                <w:lang w:eastAsia="en-GB"/>
              </w:rPr>
              <w:t>South Thames College</w:t>
            </w:r>
          </w:p>
        </w:tc>
        <w:tc>
          <w:tcPr>
            <w:tcW w:w="578" w:type="pct"/>
            <w:shd w:val="clear" w:color="auto" w:fill="auto"/>
            <w:noWrap/>
            <w:vAlign w:val="bottom"/>
            <w:hideMark/>
          </w:tcPr>
          <w:p w14:paraId="04A2375F"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5E32E464"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6170C8F6" w14:textId="77777777" w:rsidR="0019031A" w:rsidRPr="00A52AEE" w:rsidRDefault="0019031A" w:rsidP="00053A52">
            <w:pPr>
              <w:jc w:val="right"/>
              <w:rPr>
                <w:lang w:eastAsia="en-GB"/>
              </w:rPr>
            </w:pPr>
            <w:r w:rsidRPr="00A52AEE">
              <w:rPr>
                <w:lang w:eastAsia="en-GB"/>
              </w:rPr>
              <w:t>60</w:t>
            </w:r>
          </w:p>
        </w:tc>
        <w:tc>
          <w:tcPr>
            <w:tcW w:w="579" w:type="pct"/>
            <w:shd w:val="clear" w:color="auto" w:fill="auto"/>
            <w:noWrap/>
            <w:vAlign w:val="bottom"/>
            <w:hideMark/>
          </w:tcPr>
          <w:p w14:paraId="3EDA7024" w14:textId="77777777" w:rsidR="0019031A" w:rsidRPr="00A52AEE" w:rsidRDefault="0019031A" w:rsidP="00053A52">
            <w:pPr>
              <w:jc w:val="right"/>
              <w:rPr>
                <w:lang w:eastAsia="en-GB"/>
              </w:rPr>
            </w:pPr>
            <w:r w:rsidRPr="00A52AEE">
              <w:rPr>
                <w:lang w:eastAsia="en-GB"/>
              </w:rPr>
              <w:t>70</w:t>
            </w:r>
          </w:p>
        </w:tc>
        <w:tc>
          <w:tcPr>
            <w:tcW w:w="604" w:type="pct"/>
            <w:shd w:val="clear" w:color="auto" w:fill="auto"/>
            <w:noWrap/>
            <w:vAlign w:val="bottom"/>
            <w:hideMark/>
          </w:tcPr>
          <w:p w14:paraId="5D0CE8B2" w14:textId="77777777" w:rsidR="0019031A" w:rsidRPr="00A52AEE" w:rsidRDefault="0019031A" w:rsidP="00053A52">
            <w:pPr>
              <w:jc w:val="right"/>
              <w:rPr>
                <w:lang w:eastAsia="en-GB"/>
              </w:rPr>
            </w:pPr>
            <w:r w:rsidRPr="00A52AEE">
              <w:rPr>
                <w:lang w:eastAsia="en-GB"/>
              </w:rPr>
              <w:t>115</w:t>
            </w:r>
          </w:p>
        </w:tc>
      </w:tr>
      <w:tr w:rsidR="0019031A" w:rsidRPr="00A52AEE" w14:paraId="7D11092E" w14:textId="77777777" w:rsidTr="00BA2C77">
        <w:trPr>
          <w:trHeight w:val="300"/>
        </w:trPr>
        <w:tc>
          <w:tcPr>
            <w:tcW w:w="2081" w:type="pct"/>
            <w:shd w:val="clear" w:color="auto" w:fill="auto"/>
            <w:noWrap/>
            <w:vAlign w:val="bottom"/>
            <w:hideMark/>
          </w:tcPr>
          <w:p w14:paraId="08E04D77" w14:textId="695759C5" w:rsidR="0019031A" w:rsidRPr="00A52AEE" w:rsidRDefault="00BA2C77" w:rsidP="00A52AEE">
            <w:pPr>
              <w:rPr>
                <w:lang w:eastAsia="en-GB"/>
              </w:rPr>
            </w:pPr>
            <w:r w:rsidRPr="00A52AEE">
              <w:rPr>
                <w:lang w:eastAsia="en-GB"/>
              </w:rPr>
              <w:t>The City Literary Institute</w:t>
            </w:r>
          </w:p>
        </w:tc>
        <w:tc>
          <w:tcPr>
            <w:tcW w:w="578" w:type="pct"/>
            <w:shd w:val="clear" w:color="auto" w:fill="auto"/>
            <w:noWrap/>
            <w:vAlign w:val="bottom"/>
            <w:hideMark/>
          </w:tcPr>
          <w:p w14:paraId="20087D5D"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00BE15EE" w14:textId="77777777" w:rsidR="0019031A" w:rsidRPr="00A52AEE" w:rsidRDefault="0019031A" w:rsidP="00053A52">
            <w:pPr>
              <w:jc w:val="right"/>
              <w:rPr>
                <w:lang w:eastAsia="en-GB"/>
              </w:rPr>
            </w:pPr>
            <w:r w:rsidRPr="00A52AEE">
              <w:rPr>
                <w:lang w:eastAsia="en-GB"/>
              </w:rPr>
              <w:t>50</w:t>
            </w:r>
          </w:p>
        </w:tc>
        <w:tc>
          <w:tcPr>
            <w:tcW w:w="579" w:type="pct"/>
            <w:shd w:val="clear" w:color="auto" w:fill="auto"/>
            <w:noWrap/>
            <w:vAlign w:val="bottom"/>
            <w:hideMark/>
          </w:tcPr>
          <w:p w14:paraId="175C0755" w14:textId="77777777" w:rsidR="0019031A" w:rsidRPr="00A52AEE" w:rsidRDefault="0019031A" w:rsidP="00053A52">
            <w:pPr>
              <w:jc w:val="right"/>
              <w:rPr>
                <w:lang w:eastAsia="en-GB"/>
              </w:rPr>
            </w:pPr>
            <w:r w:rsidRPr="00A52AEE">
              <w:rPr>
                <w:lang w:eastAsia="en-GB"/>
              </w:rPr>
              <w:t>55</w:t>
            </w:r>
          </w:p>
        </w:tc>
        <w:tc>
          <w:tcPr>
            <w:tcW w:w="579" w:type="pct"/>
            <w:shd w:val="clear" w:color="auto" w:fill="auto"/>
            <w:noWrap/>
            <w:vAlign w:val="bottom"/>
            <w:hideMark/>
          </w:tcPr>
          <w:p w14:paraId="40920060" w14:textId="77777777" w:rsidR="0019031A" w:rsidRPr="00A52AEE" w:rsidRDefault="0019031A" w:rsidP="00053A52">
            <w:pPr>
              <w:jc w:val="right"/>
              <w:rPr>
                <w:lang w:eastAsia="en-GB"/>
              </w:rPr>
            </w:pPr>
            <w:r w:rsidRPr="00A52AEE">
              <w:rPr>
                <w:lang w:eastAsia="en-GB"/>
              </w:rPr>
              <w:t>50</w:t>
            </w:r>
          </w:p>
        </w:tc>
        <w:tc>
          <w:tcPr>
            <w:tcW w:w="604" w:type="pct"/>
            <w:shd w:val="clear" w:color="auto" w:fill="auto"/>
            <w:noWrap/>
            <w:vAlign w:val="bottom"/>
            <w:hideMark/>
          </w:tcPr>
          <w:p w14:paraId="3C254691" w14:textId="77777777" w:rsidR="0019031A" w:rsidRPr="00A52AEE" w:rsidRDefault="0019031A" w:rsidP="00053A52">
            <w:pPr>
              <w:jc w:val="right"/>
              <w:rPr>
                <w:lang w:eastAsia="en-GB"/>
              </w:rPr>
            </w:pPr>
            <w:r w:rsidRPr="00A52AEE">
              <w:rPr>
                <w:lang w:eastAsia="en-GB"/>
              </w:rPr>
              <w:t>105</w:t>
            </w:r>
          </w:p>
        </w:tc>
      </w:tr>
      <w:tr w:rsidR="0019031A" w:rsidRPr="00A52AEE" w14:paraId="113BE931" w14:textId="77777777" w:rsidTr="00BA2C77">
        <w:trPr>
          <w:trHeight w:val="300"/>
        </w:trPr>
        <w:tc>
          <w:tcPr>
            <w:tcW w:w="2081" w:type="pct"/>
            <w:shd w:val="clear" w:color="auto" w:fill="auto"/>
            <w:noWrap/>
            <w:vAlign w:val="bottom"/>
            <w:hideMark/>
          </w:tcPr>
          <w:p w14:paraId="119A281E" w14:textId="00F319E3" w:rsidR="0019031A" w:rsidRPr="00A52AEE" w:rsidRDefault="00BA2C77" w:rsidP="00A52AEE">
            <w:pPr>
              <w:rPr>
                <w:lang w:eastAsia="en-GB"/>
              </w:rPr>
            </w:pPr>
            <w:r w:rsidRPr="00A52AEE">
              <w:rPr>
                <w:lang w:eastAsia="en-GB"/>
              </w:rPr>
              <w:t>College of North West London</w:t>
            </w:r>
          </w:p>
        </w:tc>
        <w:tc>
          <w:tcPr>
            <w:tcW w:w="578" w:type="pct"/>
            <w:shd w:val="clear" w:color="auto" w:fill="auto"/>
            <w:noWrap/>
            <w:vAlign w:val="bottom"/>
            <w:hideMark/>
          </w:tcPr>
          <w:p w14:paraId="6201CADB"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79D02A18"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41EBC232"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0C85CC2A" w14:textId="77777777" w:rsidR="0019031A" w:rsidRPr="00A52AEE" w:rsidRDefault="0019031A" w:rsidP="00053A52">
            <w:pPr>
              <w:jc w:val="right"/>
              <w:rPr>
                <w:lang w:eastAsia="en-GB"/>
              </w:rPr>
            </w:pPr>
            <w:r w:rsidRPr="00A52AEE">
              <w:rPr>
                <w:lang w:eastAsia="en-GB"/>
              </w:rPr>
              <w:t>25</w:t>
            </w:r>
          </w:p>
        </w:tc>
        <w:tc>
          <w:tcPr>
            <w:tcW w:w="604" w:type="pct"/>
            <w:shd w:val="clear" w:color="auto" w:fill="auto"/>
            <w:noWrap/>
            <w:vAlign w:val="bottom"/>
            <w:hideMark/>
          </w:tcPr>
          <w:p w14:paraId="03F60C20" w14:textId="77777777" w:rsidR="0019031A" w:rsidRPr="00A52AEE" w:rsidRDefault="0019031A" w:rsidP="00053A52">
            <w:pPr>
              <w:jc w:val="right"/>
              <w:rPr>
                <w:lang w:eastAsia="en-GB"/>
              </w:rPr>
            </w:pPr>
            <w:r w:rsidRPr="00A52AEE">
              <w:rPr>
                <w:lang w:eastAsia="en-GB"/>
              </w:rPr>
              <w:t>90</w:t>
            </w:r>
          </w:p>
        </w:tc>
      </w:tr>
      <w:tr w:rsidR="0019031A" w:rsidRPr="00A52AEE" w14:paraId="12F92A29" w14:textId="77777777" w:rsidTr="00BA2C77">
        <w:trPr>
          <w:trHeight w:val="300"/>
        </w:trPr>
        <w:tc>
          <w:tcPr>
            <w:tcW w:w="2081" w:type="pct"/>
            <w:shd w:val="clear" w:color="auto" w:fill="auto"/>
            <w:noWrap/>
            <w:vAlign w:val="bottom"/>
            <w:hideMark/>
          </w:tcPr>
          <w:p w14:paraId="426DADCE" w14:textId="47CCC090" w:rsidR="0019031A" w:rsidRPr="00A52AEE" w:rsidRDefault="00BA2C77" w:rsidP="00A52AEE">
            <w:pPr>
              <w:rPr>
                <w:lang w:eastAsia="en-GB"/>
              </w:rPr>
            </w:pPr>
            <w:r w:rsidRPr="00A52AEE">
              <w:rPr>
                <w:lang w:eastAsia="en-GB"/>
              </w:rPr>
              <w:t>Richmond upon Thames College</w:t>
            </w:r>
          </w:p>
        </w:tc>
        <w:tc>
          <w:tcPr>
            <w:tcW w:w="578" w:type="pct"/>
            <w:shd w:val="clear" w:color="auto" w:fill="auto"/>
            <w:noWrap/>
            <w:vAlign w:val="bottom"/>
            <w:hideMark/>
          </w:tcPr>
          <w:p w14:paraId="04B189BD"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29FDB93B"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05B7CE4D"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7772067C" w14:textId="77777777" w:rsidR="0019031A" w:rsidRPr="00A52AEE" w:rsidRDefault="0019031A" w:rsidP="00053A52">
            <w:pPr>
              <w:jc w:val="right"/>
              <w:rPr>
                <w:lang w:eastAsia="en-GB"/>
              </w:rPr>
            </w:pPr>
            <w:r w:rsidRPr="00A52AEE">
              <w:rPr>
                <w:lang w:eastAsia="en-GB"/>
              </w:rPr>
              <w:t>35</w:t>
            </w:r>
          </w:p>
        </w:tc>
        <w:tc>
          <w:tcPr>
            <w:tcW w:w="604" w:type="pct"/>
            <w:shd w:val="clear" w:color="auto" w:fill="auto"/>
            <w:noWrap/>
            <w:vAlign w:val="bottom"/>
            <w:hideMark/>
          </w:tcPr>
          <w:p w14:paraId="6C6FAAD2" w14:textId="77777777" w:rsidR="0019031A" w:rsidRPr="00A52AEE" w:rsidRDefault="0019031A" w:rsidP="00053A52">
            <w:pPr>
              <w:jc w:val="right"/>
              <w:rPr>
                <w:lang w:eastAsia="en-GB"/>
              </w:rPr>
            </w:pPr>
            <w:r w:rsidRPr="00A52AEE">
              <w:rPr>
                <w:lang w:eastAsia="en-GB"/>
              </w:rPr>
              <w:t>95</w:t>
            </w:r>
          </w:p>
        </w:tc>
      </w:tr>
      <w:tr w:rsidR="0019031A" w:rsidRPr="00A52AEE" w14:paraId="5176AADD" w14:textId="77777777" w:rsidTr="00BA2C77">
        <w:trPr>
          <w:trHeight w:val="300"/>
        </w:trPr>
        <w:tc>
          <w:tcPr>
            <w:tcW w:w="2081" w:type="pct"/>
            <w:shd w:val="clear" w:color="auto" w:fill="auto"/>
            <w:noWrap/>
            <w:vAlign w:val="bottom"/>
            <w:hideMark/>
          </w:tcPr>
          <w:p w14:paraId="7BD321B6" w14:textId="1AB3FBD1" w:rsidR="0019031A" w:rsidRPr="00A52AEE" w:rsidRDefault="00BA2C77" w:rsidP="00A52AEE">
            <w:pPr>
              <w:rPr>
                <w:lang w:eastAsia="en-GB"/>
              </w:rPr>
            </w:pPr>
            <w:r w:rsidRPr="00A52AEE">
              <w:rPr>
                <w:lang w:eastAsia="en-GB"/>
              </w:rPr>
              <w:t>Lambeth College</w:t>
            </w:r>
          </w:p>
        </w:tc>
        <w:tc>
          <w:tcPr>
            <w:tcW w:w="578" w:type="pct"/>
            <w:shd w:val="clear" w:color="auto" w:fill="auto"/>
            <w:noWrap/>
            <w:vAlign w:val="bottom"/>
            <w:hideMark/>
          </w:tcPr>
          <w:p w14:paraId="6DC13382"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27E1EDC0"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216AAB67" w14:textId="77777777" w:rsidR="0019031A" w:rsidRPr="00A52AEE" w:rsidRDefault="0019031A" w:rsidP="00053A52">
            <w:pPr>
              <w:jc w:val="right"/>
              <w:rPr>
                <w:lang w:eastAsia="en-GB"/>
              </w:rPr>
            </w:pPr>
            <w:r w:rsidRPr="00A52AEE">
              <w:rPr>
                <w:lang w:eastAsia="en-GB"/>
              </w:rPr>
              <w:t>40</w:t>
            </w:r>
          </w:p>
        </w:tc>
        <w:tc>
          <w:tcPr>
            <w:tcW w:w="579" w:type="pct"/>
            <w:shd w:val="clear" w:color="auto" w:fill="auto"/>
            <w:noWrap/>
            <w:vAlign w:val="bottom"/>
            <w:hideMark/>
          </w:tcPr>
          <w:p w14:paraId="143E614B" w14:textId="77777777" w:rsidR="0019031A" w:rsidRPr="00A52AEE" w:rsidRDefault="0019031A" w:rsidP="00053A52">
            <w:pPr>
              <w:jc w:val="right"/>
              <w:rPr>
                <w:lang w:eastAsia="en-GB"/>
              </w:rPr>
            </w:pPr>
            <w:r w:rsidRPr="00A52AEE">
              <w:rPr>
                <w:lang w:eastAsia="en-GB"/>
              </w:rPr>
              <w:t>35</w:t>
            </w:r>
          </w:p>
        </w:tc>
        <w:tc>
          <w:tcPr>
            <w:tcW w:w="604" w:type="pct"/>
            <w:shd w:val="clear" w:color="auto" w:fill="auto"/>
            <w:noWrap/>
            <w:vAlign w:val="bottom"/>
            <w:hideMark/>
          </w:tcPr>
          <w:p w14:paraId="382729AD" w14:textId="77777777" w:rsidR="0019031A" w:rsidRPr="00A52AEE" w:rsidRDefault="0019031A" w:rsidP="00053A52">
            <w:pPr>
              <w:jc w:val="right"/>
              <w:rPr>
                <w:lang w:eastAsia="en-GB"/>
              </w:rPr>
            </w:pPr>
            <w:r w:rsidRPr="00A52AEE">
              <w:rPr>
                <w:lang w:eastAsia="en-GB"/>
              </w:rPr>
              <w:t>85</w:t>
            </w:r>
          </w:p>
        </w:tc>
      </w:tr>
      <w:tr w:rsidR="0019031A" w:rsidRPr="00A52AEE" w14:paraId="75FB24B0" w14:textId="77777777" w:rsidTr="00BA2C77">
        <w:trPr>
          <w:trHeight w:val="300"/>
        </w:trPr>
        <w:tc>
          <w:tcPr>
            <w:tcW w:w="2081" w:type="pct"/>
            <w:shd w:val="clear" w:color="auto" w:fill="auto"/>
            <w:noWrap/>
            <w:vAlign w:val="bottom"/>
            <w:hideMark/>
          </w:tcPr>
          <w:p w14:paraId="5085B208" w14:textId="20B356DE" w:rsidR="0019031A" w:rsidRPr="00A52AEE" w:rsidRDefault="00BA2C77" w:rsidP="00A52AEE">
            <w:pPr>
              <w:rPr>
                <w:lang w:eastAsia="en-GB"/>
              </w:rPr>
            </w:pPr>
            <w:r w:rsidRPr="00A52AEE">
              <w:rPr>
                <w:lang w:eastAsia="en-GB"/>
              </w:rPr>
              <w:t>Croydon College</w:t>
            </w:r>
          </w:p>
        </w:tc>
        <w:tc>
          <w:tcPr>
            <w:tcW w:w="578" w:type="pct"/>
            <w:shd w:val="clear" w:color="auto" w:fill="auto"/>
            <w:noWrap/>
            <w:vAlign w:val="bottom"/>
            <w:hideMark/>
          </w:tcPr>
          <w:p w14:paraId="340BBD44"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4168A3CF" w14:textId="77777777" w:rsidR="0019031A" w:rsidRPr="00A52AEE" w:rsidRDefault="0019031A" w:rsidP="00053A52">
            <w:pPr>
              <w:jc w:val="right"/>
              <w:rPr>
                <w:lang w:eastAsia="en-GB"/>
              </w:rPr>
            </w:pPr>
            <w:r w:rsidRPr="00A52AEE">
              <w:rPr>
                <w:lang w:eastAsia="en-GB"/>
              </w:rPr>
              <w:t>45</w:t>
            </w:r>
          </w:p>
        </w:tc>
        <w:tc>
          <w:tcPr>
            <w:tcW w:w="579" w:type="pct"/>
            <w:shd w:val="clear" w:color="auto" w:fill="auto"/>
            <w:noWrap/>
            <w:vAlign w:val="bottom"/>
            <w:hideMark/>
          </w:tcPr>
          <w:p w14:paraId="66610853"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338946F9"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34748ABC" w14:textId="77777777" w:rsidR="0019031A" w:rsidRPr="00A52AEE" w:rsidRDefault="0019031A" w:rsidP="00053A52">
            <w:pPr>
              <w:jc w:val="right"/>
              <w:rPr>
                <w:lang w:eastAsia="en-GB"/>
              </w:rPr>
            </w:pPr>
            <w:r w:rsidRPr="00A52AEE">
              <w:rPr>
                <w:lang w:eastAsia="en-GB"/>
              </w:rPr>
              <w:t>80</w:t>
            </w:r>
          </w:p>
        </w:tc>
      </w:tr>
      <w:tr w:rsidR="0019031A" w:rsidRPr="00A52AEE" w14:paraId="26E29CB5" w14:textId="77777777" w:rsidTr="00BA2C77">
        <w:trPr>
          <w:trHeight w:val="300"/>
        </w:trPr>
        <w:tc>
          <w:tcPr>
            <w:tcW w:w="2081" w:type="pct"/>
            <w:shd w:val="clear" w:color="auto" w:fill="auto"/>
            <w:noWrap/>
            <w:vAlign w:val="bottom"/>
            <w:hideMark/>
          </w:tcPr>
          <w:p w14:paraId="3EBB5E56" w14:textId="0BDE2FEB" w:rsidR="0019031A" w:rsidRPr="00A52AEE" w:rsidRDefault="00BA2C77" w:rsidP="00A52AEE">
            <w:pPr>
              <w:rPr>
                <w:lang w:eastAsia="en-GB"/>
              </w:rPr>
            </w:pPr>
            <w:r w:rsidRPr="00A52AEE">
              <w:rPr>
                <w:lang w:eastAsia="en-GB"/>
              </w:rPr>
              <w:t>Uxbridge College</w:t>
            </w:r>
          </w:p>
        </w:tc>
        <w:tc>
          <w:tcPr>
            <w:tcW w:w="578" w:type="pct"/>
            <w:shd w:val="clear" w:color="auto" w:fill="auto"/>
            <w:noWrap/>
            <w:vAlign w:val="bottom"/>
            <w:hideMark/>
          </w:tcPr>
          <w:p w14:paraId="351EE063"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7C92F2F4"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2C7F754D"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30C3CBC9"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626DBC6D" w14:textId="77777777" w:rsidR="0019031A" w:rsidRPr="00A52AEE" w:rsidRDefault="0019031A" w:rsidP="00053A52">
            <w:pPr>
              <w:jc w:val="right"/>
              <w:rPr>
                <w:lang w:eastAsia="en-GB"/>
              </w:rPr>
            </w:pPr>
            <w:r w:rsidRPr="00A52AEE">
              <w:rPr>
                <w:lang w:eastAsia="en-GB"/>
              </w:rPr>
              <w:t>70</w:t>
            </w:r>
          </w:p>
        </w:tc>
      </w:tr>
      <w:tr w:rsidR="0019031A" w:rsidRPr="00A52AEE" w14:paraId="45CBC774" w14:textId="77777777" w:rsidTr="00BA2C77">
        <w:trPr>
          <w:trHeight w:val="300"/>
        </w:trPr>
        <w:tc>
          <w:tcPr>
            <w:tcW w:w="2081" w:type="pct"/>
            <w:shd w:val="clear" w:color="auto" w:fill="auto"/>
            <w:noWrap/>
            <w:vAlign w:val="bottom"/>
            <w:hideMark/>
          </w:tcPr>
          <w:p w14:paraId="5EA28FF0" w14:textId="068ADC13" w:rsidR="0019031A" w:rsidRPr="00A52AEE" w:rsidRDefault="00BA2C77" w:rsidP="00A52AEE">
            <w:pPr>
              <w:rPr>
                <w:lang w:eastAsia="en-GB"/>
              </w:rPr>
            </w:pPr>
            <w:r w:rsidRPr="00A52AEE">
              <w:rPr>
                <w:lang w:eastAsia="en-GB"/>
              </w:rPr>
              <w:t>Carshalton College</w:t>
            </w:r>
          </w:p>
        </w:tc>
        <w:tc>
          <w:tcPr>
            <w:tcW w:w="578" w:type="pct"/>
            <w:shd w:val="clear" w:color="auto" w:fill="auto"/>
            <w:noWrap/>
            <w:vAlign w:val="bottom"/>
            <w:hideMark/>
          </w:tcPr>
          <w:p w14:paraId="1D78CF45"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3EB43ED1" w14:textId="77777777" w:rsidR="0019031A" w:rsidRPr="00A52AEE" w:rsidRDefault="0019031A" w:rsidP="00053A52">
            <w:pPr>
              <w:jc w:val="right"/>
              <w:rPr>
                <w:lang w:eastAsia="en-GB"/>
              </w:rPr>
            </w:pPr>
            <w:r w:rsidRPr="00A52AEE">
              <w:rPr>
                <w:lang w:eastAsia="en-GB"/>
              </w:rPr>
              <w:t>50</w:t>
            </w:r>
          </w:p>
        </w:tc>
        <w:tc>
          <w:tcPr>
            <w:tcW w:w="579" w:type="pct"/>
            <w:shd w:val="clear" w:color="auto" w:fill="auto"/>
            <w:noWrap/>
            <w:vAlign w:val="bottom"/>
            <w:hideMark/>
          </w:tcPr>
          <w:p w14:paraId="23DAACF9" w14:textId="77777777" w:rsidR="0019031A" w:rsidRPr="00A52AEE" w:rsidRDefault="0019031A" w:rsidP="00053A52">
            <w:pPr>
              <w:jc w:val="right"/>
              <w:rPr>
                <w:lang w:eastAsia="en-GB"/>
              </w:rPr>
            </w:pPr>
            <w:r w:rsidRPr="00A52AEE">
              <w:rPr>
                <w:lang w:eastAsia="en-GB"/>
              </w:rPr>
              <w:t>50</w:t>
            </w:r>
          </w:p>
        </w:tc>
        <w:tc>
          <w:tcPr>
            <w:tcW w:w="579" w:type="pct"/>
            <w:shd w:val="clear" w:color="auto" w:fill="auto"/>
            <w:noWrap/>
            <w:vAlign w:val="bottom"/>
            <w:hideMark/>
          </w:tcPr>
          <w:p w14:paraId="172A8628" w14:textId="77777777" w:rsidR="0019031A" w:rsidRPr="00A52AEE" w:rsidRDefault="0019031A" w:rsidP="00053A52">
            <w:pPr>
              <w:jc w:val="right"/>
              <w:rPr>
                <w:lang w:eastAsia="en-GB"/>
              </w:rPr>
            </w:pPr>
            <w:r w:rsidRPr="00A52AEE">
              <w:rPr>
                <w:lang w:eastAsia="en-GB"/>
              </w:rPr>
              <w:t>25</w:t>
            </w:r>
          </w:p>
        </w:tc>
        <w:tc>
          <w:tcPr>
            <w:tcW w:w="604" w:type="pct"/>
            <w:shd w:val="clear" w:color="auto" w:fill="auto"/>
            <w:noWrap/>
            <w:vAlign w:val="bottom"/>
            <w:hideMark/>
          </w:tcPr>
          <w:p w14:paraId="55695AC3" w14:textId="77777777" w:rsidR="0019031A" w:rsidRPr="00A52AEE" w:rsidRDefault="0019031A" w:rsidP="00053A52">
            <w:pPr>
              <w:jc w:val="right"/>
              <w:rPr>
                <w:lang w:eastAsia="en-GB"/>
              </w:rPr>
            </w:pPr>
            <w:r w:rsidRPr="00A52AEE">
              <w:rPr>
                <w:lang w:eastAsia="en-GB"/>
              </w:rPr>
              <w:t>30</w:t>
            </w:r>
          </w:p>
        </w:tc>
      </w:tr>
      <w:tr w:rsidR="0019031A" w:rsidRPr="00A52AEE" w14:paraId="039CFFFD" w14:textId="77777777" w:rsidTr="00BA2C77">
        <w:trPr>
          <w:trHeight w:val="300"/>
        </w:trPr>
        <w:tc>
          <w:tcPr>
            <w:tcW w:w="2081" w:type="pct"/>
            <w:shd w:val="clear" w:color="auto" w:fill="auto"/>
            <w:noWrap/>
            <w:vAlign w:val="bottom"/>
            <w:hideMark/>
          </w:tcPr>
          <w:p w14:paraId="35AF7419" w14:textId="15042EA4" w:rsidR="0019031A" w:rsidRPr="00A52AEE" w:rsidRDefault="00BA2C77" w:rsidP="00A52AEE">
            <w:pPr>
              <w:rPr>
                <w:lang w:eastAsia="en-GB"/>
              </w:rPr>
            </w:pPr>
            <w:r w:rsidRPr="00A52AEE">
              <w:rPr>
                <w:lang w:eastAsia="en-GB"/>
              </w:rPr>
              <w:t xml:space="preserve">Morley College </w:t>
            </w:r>
          </w:p>
        </w:tc>
        <w:tc>
          <w:tcPr>
            <w:tcW w:w="578" w:type="pct"/>
            <w:shd w:val="clear" w:color="auto" w:fill="auto"/>
            <w:noWrap/>
            <w:vAlign w:val="bottom"/>
            <w:hideMark/>
          </w:tcPr>
          <w:p w14:paraId="2705BD73"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22419A81" w14:textId="77777777" w:rsidR="0019031A" w:rsidRPr="00A52AEE" w:rsidRDefault="0019031A" w:rsidP="00053A52">
            <w:pPr>
              <w:jc w:val="right"/>
              <w:rPr>
                <w:lang w:eastAsia="en-GB"/>
              </w:rPr>
            </w:pPr>
            <w:r w:rsidRPr="00A52AEE">
              <w:rPr>
                <w:lang w:eastAsia="en-GB"/>
              </w:rPr>
              <w:t>40</w:t>
            </w:r>
          </w:p>
        </w:tc>
        <w:tc>
          <w:tcPr>
            <w:tcW w:w="579" w:type="pct"/>
            <w:shd w:val="clear" w:color="auto" w:fill="auto"/>
            <w:noWrap/>
            <w:vAlign w:val="bottom"/>
            <w:hideMark/>
          </w:tcPr>
          <w:p w14:paraId="49D10368" w14:textId="77777777" w:rsidR="0019031A" w:rsidRPr="00A52AEE" w:rsidRDefault="0019031A" w:rsidP="00053A52">
            <w:pPr>
              <w:jc w:val="right"/>
              <w:rPr>
                <w:lang w:eastAsia="en-GB"/>
              </w:rPr>
            </w:pPr>
            <w:r w:rsidRPr="00A52AEE">
              <w:rPr>
                <w:lang w:eastAsia="en-GB"/>
              </w:rPr>
              <w:t>50</w:t>
            </w:r>
          </w:p>
        </w:tc>
        <w:tc>
          <w:tcPr>
            <w:tcW w:w="579" w:type="pct"/>
            <w:shd w:val="clear" w:color="auto" w:fill="auto"/>
            <w:noWrap/>
            <w:vAlign w:val="bottom"/>
            <w:hideMark/>
          </w:tcPr>
          <w:p w14:paraId="727C7DA0"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2CEC62F4" w14:textId="77777777" w:rsidR="0019031A" w:rsidRPr="00A52AEE" w:rsidRDefault="0019031A" w:rsidP="00053A52">
            <w:pPr>
              <w:jc w:val="right"/>
              <w:rPr>
                <w:lang w:eastAsia="en-GB"/>
              </w:rPr>
            </w:pPr>
            <w:r w:rsidRPr="00A52AEE">
              <w:rPr>
                <w:lang w:eastAsia="en-GB"/>
              </w:rPr>
              <w:t>75</w:t>
            </w:r>
          </w:p>
        </w:tc>
      </w:tr>
      <w:tr w:rsidR="0019031A" w:rsidRPr="00A52AEE" w14:paraId="7306F91B" w14:textId="77777777" w:rsidTr="00BA2C77">
        <w:trPr>
          <w:trHeight w:val="300"/>
        </w:trPr>
        <w:tc>
          <w:tcPr>
            <w:tcW w:w="2081" w:type="pct"/>
            <w:shd w:val="clear" w:color="auto" w:fill="auto"/>
            <w:noWrap/>
            <w:vAlign w:val="bottom"/>
            <w:hideMark/>
          </w:tcPr>
          <w:p w14:paraId="39153C1E" w14:textId="0903EF45" w:rsidR="0019031A" w:rsidRPr="00A52AEE" w:rsidRDefault="00BA2C77" w:rsidP="00A52AEE">
            <w:pPr>
              <w:rPr>
                <w:lang w:eastAsia="en-GB"/>
              </w:rPr>
            </w:pPr>
            <w:r w:rsidRPr="00A52AEE">
              <w:rPr>
                <w:lang w:eastAsia="en-GB"/>
              </w:rPr>
              <w:t>Greenwich Community College</w:t>
            </w:r>
          </w:p>
        </w:tc>
        <w:tc>
          <w:tcPr>
            <w:tcW w:w="578" w:type="pct"/>
            <w:shd w:val="clear" w:color="auto" w:fill="auto"/>
            <w:noWrap/>
            <w:vAlign w:val="bottom"/>
            <w:hideMark/>
          </w:tcPr>
          <w:p w14:paraId="7EB00F01"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433C9DD6"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077FF9FB"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53A5C07D" w14:textId="77777777" w:rsidR="0019031A" w:rsidRPr="00A52AEE" w:rsidRDefault="0019031A" w:rsidP="00053A52">
            <w:pPr>
              <w:jc w:val="right"/>
              <w:rPr>
                <w:lang w:eastAsia="en-GB"/>
              </w:rPr>
            </w:pPr>
            <w:r w:rsidRPr="00A52AEE">
              <w:rPr>
                <w:lang w:eastAsia="en-GB"/>
              </w:rPr>
              <w:t>40</w:t>
            </w:r>
          </w:p>
        </w:tc>
        <w:tc>
          <w:tcPr>
            <w:tcW w:w="604" w:type="pct"/>
            <w:shd w:val="clear" w:color="auto" w:fill="auto"/>
            <w:noWrap/>
            <w:vAlign w:val="bottom"/>
            <w:hideMark/>
          </w:tcPr>
          <w:p w14:paraId="18D65EFE" w14:textId="77777777" w:rsidR="0019031A" w:rsidRPr="00A52AEE" w:rsidRDefault="0019031A" w:rsidP="00053A52">
            <w:pPr>
              <w:jc w:val="right"/>
              <w:rPr>
                <w:lang w:eastAsia="en-GB"/>
              </w:rPr>
            </w:pPr>
            <w:r w:rsidRPr="00A52AEE">
              <w:rPr>
                <w:lang w:eastAsia="en-GB"/>
              </w:rPr>
              <w:t>50</w:t>
            </w:r>
          </w:p>
        </w:tc>
      </w:tr>
      <w:tr w:rsidR="0019031A" w:rsidRPr="00A52AEE" w14:paraId="76382DAA" w14:textId="77777777" w:rsidTr="00BA2C77">
        <w:trPr>
          <w:trHeight w:val="300"/>
        </w:trPr>
        <w:tc>
          <w:tcPr>
            <w:tcW w:w="2081" w:type="pct"/>
            <w:shd w:val="clear" w:color="auto" w:fill="auto"/>
            <w:noWrap/>
            <w:vAlign w:val="bottom"/>
            <w:hideMark/>
          </w:tcPr>
          <w:p w14:paraId="6D8F81E8" w14:textId="6B10D4D9" w:rsidR="0019031A" w:rsidRPr="00A52AEE" w:rsidRDefault="00BA2C77" w:rsidP="00A52AEE">
            <w:pPr>
              <w:rPr>
                <w:lang w:eastAsia="en-GB"/>
              </w:rPr>
            </w:pPr>
            <w:r w:rsidRPr="00A52AEE">
              <w:rPr>
                <w:lang w:eastAsia="en-GB"/>
              </w:rPr>
              <w:t>Ealing, Hammersmith and West London College</w:t>
            </w:r>
          </w:p>
        </w:tc>
        <w:tc>
          <w:tcPr>
            <w:tcW w:w="578" w:type="pct"/>
            <w:shd w:val="clear" w:color="auto" w:fill="auto"/>
            <w:noWrap/>
            <w:vAlign w:val="bottom"/>
            <w:hideMark/>
          </w:tcPr>
          <w:p w14:paraId="3577A049"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494CE5DD"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261B24DB"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7A61A9AA"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0FB6E33C" w14:textId="77777777" w:rsidR="0019031A" w:rsidRPr="00A52AEE" w:rsidRDefault="0019031A" w:rsidP="00053A52">
            <w:pPr>
              <w:jc w:val="right"/>
              <w:rPr>
                <w:lang w:eastAsia="en-GB"/>
              </w:rPr>
            </w:pPr>
            <w:r w:rsidRPr="00A52AEE">
              <w:rPr>
                <w:lang w:eastAsia="en-GB"/>
              </w:rPr>
              <w:t>95</w:t>
            </w:r>
          </w:p>
        </w:tc>
      </w:tr>
      <w:tr w:rsidR="0019031A" w:rsidRPr="00A52AEE" w14:paraId="5574A750" w14:textId="77777777" w:rsidTr="00BA2C77">
        <w:trPr>
          <w:trHeight w:val="300"/>
        </w:trPr>
        <w:tc>
          <w:tcPr>
            <w:tcW w:w="2081" w:type="pct"/>
            <w:shd w:val="clear" w:color="auto" w:fill="auto"/>
            <w:noWrap/>
            <w:vAlign w:val="bottom"/>
            <w:hideMark/>
          </w:tcPr>
          <w:p w14:paraId="643CCDCA" w14:textId="291AC1D3" w:rsidR="0019031A" w:rsidRPr="00A52AEE" w:rsidRDefault="004D2866" w:rsidP="00A52AEE">
            <w:pPr>
              <w:rPr>
                <w:lang w:eastAsia="en-GB"/>
              </w:rPr>
            </w:pPr>
            <w:r>
              <w:rPr>
                <w:lang w:eastAsia="en-GB"/>
              </w:rPr>
              <w:t>College of Haringey, Enfield and North East London</w:t>
            </w:r>
          </w:p>
        </w:tc>
        <w:tc>
          <w:tcPr>
            <w:tcW w:w="578" w:type="pct"/>
            <w:shd w:val="clear" w:color="auto" w:fill="auto"/>
            <w:noWrap/>
            <w:vAlign w:val="bottom"/>
            <w:hideMark/>
          </w:tcPr>
          <w:p w14:paraId="0BAFA21E"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6BEB034E"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31EAC032"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15DC178E" w14:textId="77777777" w:rsidR="0019031A" w:rsidRPr="00A52AEE" w:rsidRDefault="0019031A" w:rsidP="00053A52">
            <w:pPr>
              <w:jc w:val="right"/>
              <w:rPr>
                <w:lang w:eastAsia="en-GB"/>
              </w:rPr>
            </w:pPr>
            <w:r w:rsidRPr="00A52AEE">
              <w:rPr>
                <w:lang w:eastAsia="en-GB"/>
              </w:rPr>
              <w:t>45</w:t>
            </w:r>
          </w:p>
        </w:tc>
        <w:tc>
          <w:tcPr>
            <w:tcW w:w="604" w:type="pct"/>
            <w:shd w:val="clear" w:color="auto" w:fill="auto"/>
            <w:noWrap/>
            <w:vAlign w:val="bottom"/>
            <w:hideMark/>
          </w:tcPr>
          <w:p w14:paraId="378070D0" w14:textId="77777777" w:rsidR="0019031A" w:rsidRPr="00A52AEE" w:rsidRDefault="0019031A" w:rsidP="00053A52">
            <w:pPr>
              <w:jc w:val="right"/>
              <w:rPr>
                <w:lang w:eastAsia="en-GB"/>
              </w:rPr>
            </w:pPr>
            <w:r w:rsidRPr="00A52AEE">
              <w:rPr>
                <w:lang w:eastAsia="en-GB"/>
              </w:rPr>
              <w:t>60</w:t>
            </w:r>
          </w:p>
        </w:tc>
      </w:tr>
      <w:tr w:rsidR="0019031A" w:rsidRPr="00A52AEE" w14:paraId="7D6801E1" w14:textId="77777777" w:rsidTr="00BA2C77">
        <w:trPr>
          <w:trHeight w:val="300"/>
        </w:trPr>
        <w:tc>
          <w:tcPr>
            <w:tcW w:w="2081" w:type="pct"/>
            <w:shd w:val="clear" w:color="auto" w:fill="auto"/>
            <w:noWrap/>
            <w:vAlign w:val="bottom"/>
            <w:hideMark/>
          </w:tcPr>
          <w:p w14:paraId="77439A66" w14:textId="371BE277" w:rsidR="0019031A" w:rsidRPr="00A52AEE" w:rsidRDefault="00BA2C77" w:rsidP="00A52AEE">
            <w:pPr>
              <w:rPr>
                <w:lang w:eastAsia="en-GB"/>
              </w:rPr>
            </w:pPr>
            <w:r w:rsidRPr="00A52AEE">
              <w:rPr>
                <w:lang w:eastAsia="en-GB"/>
              </w:rPr>
              <w:t>Barnet College</w:t>
            </w:r>
          </w:p>
        </w:tc>
        <w:tc>
          <w:tcPr>
            <w:tcW w:w="578" w:type="pct"/>
            <w:shd w:val="clear" w:color="auto" w:fill="auto"/>
            <w:noWrap/>
            <w:vAlign w:val="bottom"/>
            <w:hideMark/>
          </w:tcPr>
          <w:p w14:paraId="7787424C"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1B075892" w14:textId="77777777" w:rsidR="0019031A" w:rsidRPr="00A52AEE" w:rsidRDefault="0019031A" w:rsidP="00053A52">
            <w:pPr>
              <w:jc w:val="right"/>
              <w:rPr>
                <w:lang w:eastAsia="en-GB"/>
              </w:rPr>
            </w:pPr>
            <w:r w:rsidRPr="00A52AEE">
              <w:rPr>
                <w:lang w:eastAsia="en-GB"/>
              </w:rPr>
              <w:t>60</w:t>
            </w:r>
          </w:p>
        </w:tc>
        <w:tc>
          <w:tcPr>
            <w:tcW w:w="579" w:type="pct"/>
            <w:shd w:val="clear" w:color="auto" w:fill="auto"/>
            <w:noWrap/>
            <w:vAlign w:val="bottom"/>
            <w:hideMark/>
          </w:tcPr>
          <w:p w14:paraId="03DD8F5E"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65D1B0B5" w14:textId="77777777" w:rsidR="0019031A" w:rsidRPr="00A52AEE" w:rsidRDefault="0019031A" w:rsidP="00053A52">
            <w:pPr>
              <w:jc w:val="right"/>
              <w:rPr>
                <w:lang w:eastAsia="en-GB"/>
              </w:rPr>
            </w:pPr>
            <w:r w:rsidRPr="00A52AEE">
              <w:rPr>
                <w:lang w:eastAsia="en-GB"/>
              </w:rPr>
              <w:t>15</w:t>
            </w:r>
          </w:p>
        </w:tc>
        <w:tc>
          <w:tcPr>
            <w:tcW w:w="604" w:type="pct"/>
            <w:shd w:val="clear" w:color="auto" w:fill="auto"/>
            <w:noWrap/>
            <w:vAlign w:val="bottom"/>
            <w:hideMark/>
          </w:tcPr>
          <w:p w14:paraId="38750C5C" w14:textId="77777777" w:rsidR="0019031A" w:rsidRPr="00A52AEE" w:rsidRDefault="0019031A" w:rsidP="00053A52">
            <w:pPr>
              <w:jc w:val="right"/>
              <w:rPr>
                <w:lang w:eastAsia="en-GB"/>
              </w:rPr>
            </w:pPr>
            <w:r w:rsidRPr="00A52AEE">
              <w:rPr>
                <w:lang w:eastAsia="en-GB"/>
              </w:rPr>
              <w:t>25</w:t>
            </w:r>
          </w:p>
        </w:tc>
      </w:tr>
      <w:tr w:rsidR="0019031A" w:rsidRPr="00A52AEE" w14:paraId="2348C91F" w14:textId="77777777" w:rsidTr="00BA2C77">
        <w:trPr>
          <w:trHeight w:val="300"/>
        </w:trPr>
        <w:tc>
          <w:tcPr>
            <w:tcW w:w="2081" w:type="pct"/>
            <w:shd w:val="clear" w:color="auto" w:fill="auto"/>
            <w:noWrap/>
            <w:vAlign w:val="bottom"/>
            <w:hideMark/>
          </w:tcPr>
          <w:p w14:paraId="1A1D1A7D" w14:textId="7B8BCD9B" w:rsidR="0019031A" w:rsidRPr="00A52AEE" w:rsidRDefault="00BA2C77" w:rsidP="00A52AEE">
            <w:pPr>
              <w:rPr>
                <w:lang w:eastAsia="en-GB"/>
              </w:rPr>
            </w:pPr>
            <w:r w:rsidRPr="00A52AEE">
              <w:rPr>
                <w:lang w:eastAsia="en-GB"/>
              </w:rPr>
              <w:t>Kingston College</w:t>
            </w:r>
          </w:p>
        </w:tc>
        <w:tc>
          <w:tcPr>
            <w:tcW w:w="578" w:type="pct"/>
            <w:shd w:val="clear" w:color="auto" w:fill="auto"/>
            <w:noWrap/>
            <w:vAlign w:val="bottom"/>
            <w:hideMark/>
          </w:tcPr>
          <w:p w14:paraId="698DE9BA" w14:textId="77777777" w:rsidR="0019031A" w:rsidRPr="00A52AEE" w:rsidRDefault="0019031A" w:rsidP="00053A52">
            <w:pPr>
              <w:jc w:val="right"/>
              <w:rPr>
                <w:lang w:eastAsia="en-GB"/>
              </w:rPr>
            </w:pPr>
            <w:r w:rsidRPr="00A52AEE">
              <w:rPr>
                <w:lang w:eastAsia="en-GB"/>
              </w:rPr>
              <w:t>35</w:t>
            </w:r>
          </w:p>
        </w:tc>
        <w:tc>
          <w:tcPr>
            <w:tcW w:w="579" w:type="pct"/>
            <w:shd w:val="clear" w:color="auto" w:fill="auto"/>
            <w:noWrap/>
            <w:vAlign w:val="bottom"/>
            <w:hideMark/>
          </w:tcPr>
          <w:p w14:paraId="044C66E1"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02138535"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41E9EFF6"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46A78291" w14:textId="77777777" w:rsidR="0019031A" w:rsidRPr="00A52AEE" w:rsidRDefault="0019031A" w:rsidP="00053A52">
            <w:pPr>
              <w:jc w:val="right"/>
              <w:rPr>
                <w:lang w:eastAsia="en-GB"/>
              </w:rPr>
            </w:pPr>
            <w:r w:rsidRPr="00A52AEE">
              <w:rPr>
                <w:lang w:eastAsia="en-GB"/>
              </w:rPr>
              <w:t>50</w:t>
            </w:r>
          </w:p>
        </w:tc>
      </w:tr>
      <w:tr w:rsidR="0019031A" w:rsidRPr="00A52AEE" w14:paraId="003B37C6" w14:textId="77777777" w:rsidTr="00BA2C77">
        <w:trPr>
          <w:trHeight w:val="300"/>
        </w:trPr>
        <w:tc>
          <w:tcPr>
            <w:tcW w:w="2081" w:type="pct"/>
            <w:shd w:val="clear" w:color="auto" w:fill="auto"/>
            <w:noWrap/>
            <w:vAlign w:val="bottom"/>
            <w:hideMark/>
          </w:tcPr>
          <w:p w14:paraId="3A5878F0" w14:textId="7FF19221" w:rsidR="0019031A" w:rsidRPr="00A52AEE" w:rsidRDefault="00BA2C77" w:rsidP="00A52AEE">
            <w:pPr>
              <w:rPr>
                <w:lang w:eastAsia="en-GB"/>
              </w:rPr>
            </w:pPr>
            <w:r w:rsidRPr="00A52AEE">
              <w:rPr>
                <w:lang w:eastAsia="en-GB"/>
              </w:rPr>
              <w:t>Waltham Forest College</w:t>
            </w:r>
          </w:p>
        </w:tc>
        <w:tc>
          <w:tcPr>
            <w:tcW w:w="578" w:type="pct"/>
            <w:shd w:val="clear" w:color="auto" w:fill="auto"/>
            <w:noWrap/>
            <w:vAlign w:val="bottom"/>
            <w:hideMark/>
          </w:tcPr>
          <w:p w14:paraId="6F245E62"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6145D594"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4F1F71E5"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046143F3" w14:textId="77777777" w:rsidR="0019031A" w:rsidRPr="00A52AEE" w:rsidRDefault="0019031A" w:rsidP="00053A52">
            <w:pPr>
              <w:jc w:val="right"/>
              <w:rPr>
                <w:lang w:eastAsia="en-GB"/>
              </w:rPr>
            </w:pPr>
            <w:r w:rsidRPr="00A52AEE">
              <w:rPr>
                <w:lang w:eastAsia="en-GB"/>
              </w:rPr>
              <w:t>30</w:t>
            </w:r>
          </w:p>
        </w:tc>
        <w:tc>
          <w:tcPr>
            <w:tcW w:w="604" w:type="pct"/>
            <w:shd w:val="clear" w:color="auto" w:fill="auto"/>
            <w:noWrap/>
            <w:vAlign w:val="bottom"/>
            <w:hideMark/>
          </w:tcPr>
          <w:p w14:paraId="22786804" w14:textId="77777777" w:rsidR="0019031A" w:rsidRPr="00A52AEE" w:rsidRDefault="0019031A" w:rsidP="00053A52">
            <w:pPr>
              <w:jc w:val="right"/>
              <w:rPr>
                <w:lang w:eastAsia="en-GB"/>
              </w:rPr>
            </w:pPr>
            <w:r w:rsidRPr="00A52AEE">
              <w:rPr>
                <w:lang w:eastAsia="en-GB"/>
              </w:rPr>
              <w:t>70</w:t>
            </w:r>
          </w:p>
        </w:tc>
      </w:tr>
      <w:tr w:rsidR="0019031A" w:rsidRPr="00A52AEE" w14:paraId="7F58F704" w14:textId="77777777" w:rsidTr="00BA2C77">
        <w:trPr>
          <w:trHeight w:val="300"/>
        </w:trPr>
        <w:tc>
          <w:tcPr>
            <w:tcW w:w="2081" w:type="pct"/>
            <w:shd w:val="clear" w:color="auto" w:fill="auto"/>
            <w:noWrap/>
            <w:vAlign w:val="bottom"/>
            <w:hideMark/>
          </w:tcPr>
          <w:p w14:paraId="7AD763FE" w14:textId="08A7ED92" w:rsidR="0019031A" w:rsidRPr="00A52AEE" w:rsidRDefault="00BA2C77" w:rsidP="00A52AEE">
            <w:pPr>
              <w:rPr>
                <w:lang w:eastAsia="en-GB"/>
              </w:rPr>
            </w:pPr>
            <w:r w:rsidRPr="00A52AEE">
              <w:rPr>
                <w:lang w:eastAsia="en-GB"/>
              </w:rPr>
              <w:t>Newham College of Further Education</w:t>
            </w:r>
          </w:p>
        </w:tc>
        <w:tc>
          <w:tcPr>
            <w:tcW w:w="578" w:type="pct"/>
            <w:shd w:val="clear" w:color="auto" w:fill="auto"/>
            <w:noWrap/>
            <w:vAlign w:val="bottom"/>
            <w:hideMark/>
          </w:tcPr>
          <w:p w14:paraId="342408E7"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657650EB" w14:textId="77777777" w:rsidR="0019031A" w:rsidRPr="00A52AEE" w:rsidRDefault="0019031A" w:rsidP="00053A52">
            <w:pPr>
              <w:jc w:val="right"/>
              <w:rPr>
                <w:lang w:eastAsia="en-GB"/>
              </w:rPr>
            </w:pPr>
            <w:r w:rsidRPr="00A52AEE">
              <w:rPr>
                <w:lang w:eastAsia="en-GB"/>
              </w:rPr>
              <w:t>40</w:t>
            </w:r>
          </w:p>
        </w:tc>
        <w:tc>
          <w:tcPr>
            <w:tcW w:w="579" w:type="pct"/>
            <w:shd w:val="clear" w:color="auto" w:fill="auto"/>
            <w:noWrap/>
            <w:vAlign w:val="bottom"/>
            <w:hideMark/>
          </w:tcPr>
          <w:p w14:paraId="070B40C2"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55C00FD8"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442CA23E" w14:textId="77777777" w:rsidR="0019031A" w:rsidRPr="00A52AEE" w:rsidRDefault="0019031A" w:rsidP="00053A52">
            <w:pPr>
              <w:jc w:val="right"/>
              <w:rPr>
                <w:lang w:eastAsia="en-GB"/>
              </w:rPr>
            </w:pPr>
            <w:r w:rsidRPr="00A52AEE">
              <w:rPr>
                <w:lang w:eastAsia="en-GB"/>
              </w:rPr>
              <w:t>40</w:t>
            </w:r>
          </w:p>
        </w:tc>
      </w:tr>
      <w:tr w:rsidR="0019031A" w:rsidRPr="00A52AEE" w14:paraId="1A3B8B93" w14:textId="77777777" w:rsidTr="00BA2C77">
        <w:trPr>
          <w:trHeight w:val="300"/>
        </w:trPr>
        <w:tc>
          <w:tcPr>
            <w:tcW w:w="2081" w:type="pct"/>
            <w:shd w:val="clear" w:color="auto" w:fill="auto"/>
            <w:noWrap/>
            <w:vAlign w:val="bottom"/>
            <w:hideMark/>
          </w:tcPr>
          <w:p w14:paraId="13095422" w14:textId="22CFCD85" w:rsidR="0019031A" w:rsidRPr="00A52AEE" w:rsidRDefault="00BA2C77" w:rsidP="00A52AEE">
            <w:pPr>
              <w:rPr>
                <w:lang w:eastAsia="en-GB"/>
              </w:rPr>
            </w:pPr>
            <w:r w:rsidRPr="00A52AEE">
              <w:rPr>
                <w:lang w:eastAsia="en-GB"/>
              </w:rPr>
              <w:t>City And Islington College</w:t>
            </w:r>
          </w:p>
        </w:tc>
        <w:tc>
          <w:tcPr>
            <w:tcW w:w="578" w:type="pct"/>
            <w:shd w:val="clear" w:color="auto" w:fill="auto"/>
            <w:noWrap/>
            <w:vAlign w:val="bottom"/>
            <w:hideMark/>
          </w:tcPr>
          <w:p w14:paraId="67ED639B"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1913278C" w14:textId="77777777" w:rsidR="0019031A" w:rsidRPr="00A52AEE" w:rsidRDefault="0019031A" w:rsidP="00053A52">
            <w:pPr>
              <w:jc w:val="right"/>
              <w:rPr>
                <w:lang w:eastAsia="en-GB"/>
              </w:rPr>
            </w:pPr>
            <w:r w:rsidRPr="00A52AEE">
              <w:rPr>
                <w:lang w:eastAsia="en-GB"/>
              </w:rPr>
              <w:t>25</w:t>
            </w:r>
          </w:p>
        </w:tc>
        <w:tc>
          <w:tcPr>
            <w:tcW w:w="579" w:type="pct"/>
            <w:shd w:val="clear" w:color="auto" w:fill="auto"/>
            <w:noWrap/>
            <w:vAlign w:val="bottom"/>
            <w:hideMark/>
          </w:tcPr>
          <w:p w14:paraId="0EE0F177" w14:textId="77777777" w:rsidR="0019031A" w:rsidRPr="00A52AEE" w:rsidRDefault="0019031A" w:rsidP="00053A52">
            <w:pPr>
              <w:jc w:val="right"/>
              <w:rPr>
                <w:lang w:eastAsia="en-GB"/>
              </w:rPr>
            </w:pPr>
            <w:r w:rsidRPr="00A52AEE">
              <w:rPr>
                <w:lang w:eastAsia="en-GB"/>
              </w:rPr>
              <w:t>30</w:t>
            </w:r>
          </w:p>
        </w:tc>
        <w:tc>
          <w:tcPr>
            <w:tcW w:w="579" w:type="pct"/>
            <w:shd w:val="clear" w:color="auto" w:fill="auto"/>
            <w:noWrap/>
            <w:vAlign w:val="bottom"/>
            <w:hideMark/>
          </w:tcPr>
          <w:p w14:paraId="669C2045" w14:textId="77777777" w:rsidR="0019031A" w:rsidRPr="00A52AEE" w:rsidRDefault="0019031A" w:rsidP="00053A52">
            <w:pPr>
              <w:jc w:val="right"/>
              <w:rPr>
                <w:lang w:eastAsia="en-GB"/>
              </w:rPr>
            </w:pPr>
            <w:r w:rsidRPr="00A52AEE">
              <w:rPr>
                <w:lang w:eastAsia="en-GB"/>
              </w:rPr>
              <w:t>15</w:t>
            </w:r>
          </w:p>
        </w:tc>
        <w:tc>
          <w:tcPr>
            <w:tcW w:w="604" w:type="pct"/>
            <w:shd w:val="clear" w:color="auto" w:fill="auto"/>
            <w:noWrap/>
            <w:vAlign w:val="bottom"/>
            <w:hideMark/>
          </w:tcPr>
          <w:p w14:paraId="0E8EE032" w14:textId="77777777" w:rsidR="0019031A" w:rsidRPr="00A52AEE" w:rsidRDefault="0019031A" w:rsidP="00053A52">
            <w:pPr>
              <w:jc w:val="right"/>
              <w:rPr>
                <w:lang w:eastAsia="en-GB"/>
              </w:rPr>
            </w:pPr>
            <w:r w:rsidRPr="00A52AEE">
              <w:rPr>
                <w:lang w:eastAsia="en-GB"/>
              </w:rPr>
              <w:t>50</w:t>
            </w:r>
          </w:p>
        </w:tc>
      </w:tr>
      <w:tr w:rsidR="0019031A" w:rsidRPr="00A52AEE" w14:paraId="38CF0517" w14:textId="77777777" w:rsidTr="00BA2C77">
        <w:trPr>
          <w:trHeight w:val="300"/>
        </w:trPr>
        <w:tc>
          <w:tcPr>
            <w:tcW w:w="2081" w:type="pct"/>
            <w:shd w:val="clear" w:color="auto" w:fill="auto"/>
            <w:noWrap/>
            <w:vAlign w:val="bottom"/>
            <w:hideMark/>
          </w:tcPr>
          <w:p w14:paraId="79663CB9" w14:textId="03B9C966" w:rsidR="0019031A" w:rsidRPr="00A52AEE" w:rsidRDefault="00BA2C77" w:rsidP="00A52AEE">
            <w:pPr>
              <w:rPr>
                <w:lang w:eastAsia="en-GB"/>
              </w:rPr>
            </w:pPr>
            <w:r w:rsidRPr="00A52AEE">
              <w:rPr>
                <w:lang w:eastAsia="en-GB"/>
              </w:rPr>
              <w:t>Hackney Community College</w:t>
            </w:r>
          </w:p>
        </w:tc>
        <w:tc>
          <w:tcPr>
            <w:tcW w:w="578" w:type="pct"/>
            <w:shd w:val="clear" w:color="auto" w:fill="auto"/>
            <w:noWrap/>
            <w:vAlign w:val="bottom"/>
            <w:hideMark/>
          </w:tcPr>
          <w:p w14:paraId="6234797E"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1225D362"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502B0CB3"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1E930E6A" w14:textId="77777777" w:rsidR="0019031A" w:rsidRPr="00A52AEE" w:rsidRDefault="0019031A" w:rsidP="00053A52">
            <w:pPr>
              <w:jc w:val="right"/>
              <w:rPr>
                <w:lang w:eastAsia="en-GB"/>
              </w:rPr>
            </w:pPr>
            <w:r w:rsidRPr="00A52AEE">
              <w:rPr>
                <w:lang w:eastAsia="en-GB"/>
              </w:rPr>
              <w:t>30</w:t>
            </w:r>
          </w:p>
        </w:tc>
        <w:tc>
          <w:tcPr>
            <w:tcW w:w="604" w:type="pct"/>
            <w:shd w:val="clear" w:color="auto" w:fill="auto"/>
            <w:noWrap/>
            <w:vAlign w:val="bottom"/>
            <w:hideMark/>
          </w:tcPr>
          <w:p w14:paraId="0A9CB4C1" w14:textId="77777777" w:rsidR="0019031A" w:rsidRPr="00A52AEE" w:rsidRDefault="0019031A" w:rsidP="00053A52">
            <w:pPr>
              <w:jc w:val="right"/>
              <w:rPr>
                <w:lang w:eastAsia="en-GB"/>
              </w:rPr>
            </w:pPr>
            <w:r w:rsidRPr="00A52AEE">
              <w:rPr>
                <w:lang w:eastAsia="en-GB"/>
              </w:rPr>
              <w:t>50</w:t>
            </w:r>
          </w:p>
        </w:tc>
      </w:tr>
      <w:tr w:rsidR="0019031A" w:rsidRPr="00A52AEE" w14:paraId="43616BA0" w14:textId="77777777" w:rsidTr="00BA2C77">
        <w:trPr>
          <w:trHeight w:val="300"/>
        </w:trPr>
        <w:tc>
          <w:tcPr>
            <w:tcW w:w="2081" w:type="pct"/>
            <w:shd w:val="clear" w:color="auto" w:fill="auto"/>
            <w:noWrap/>
            <w:vAlign w:val="bottom"/>
            <w:hideMark/>
          </w:tcPr>
          <w:p w14:paraId="790306F0" w14:textId="2B4D752E" w:rsidR="0019031A" w:rsidRPr="00A52AEE" w:rsidRDefault="00BA2C77" w:rsidP="00A52AEE">
            <w:pPr>
              <w:rPr>
                <w:lang w:eastAsia="en-GB"/>
              </w:rPr>
            </w:pPr>
            <w:r w:rsidRPr="00A52AEE">
              <w:rPr>
                <w:lang w:eastAsia="en-GB"/>
              </w:rPr>
              <w:t>Harrow College</w:t>
            </w:r>
          </w:p>
        </w:tc>
        <w:tc>
          <w:tcPr>
            <w:tcW w:w="578" w:type="pct"/>
            <w:shd w:val="clear" w:color="auto" w:fill="auto"/>
            <w:noWrap/>
            <w:vAlign w:val="bottom"/>
            <w:hideMark/>
          </w:tcPr>
          <w:p w14:paraId="042E1F40"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787189AD"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36BBB13A"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598ACFD1"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3D536549" w14:textId="77777777" w:rsidR="0019031A" w:rsidRPr="00A52AEE" w:rsidRDefault="0019031A" w:rsidP="00053A52">
            <w:pPr>
              <w:jc w:val="right"/>
              <w:rPr>
                <w:lang w:eastAsia="en-GB"/>
              </w:rPr>
            </w:pPr>
            <w:r w:rsidRPr="00A52AEE">
              <w:rPr>
                <w:lang w:eastAsia="en-GB"/>
              </w:rPr>
              <w:t>65</w:t>
            </w:r>
          </w:p>
        </w:tc>
      </w:tr>
      <w:tr w:rsidR="0019031A" w:rsidRPr="00A52AEE" w14:paraId="4D24D61A" w14:textId="77777777" w:rsidTr="00BA2C77">
        <w:trPr>
          <w:trHeight w:val="300"/>
        </w:trPr>
        <w:tc>
          <w:tcPr>
            <w:tcW w:w="2081" w:type="pct"/>
            <w:shd w:val="clear" w:color="auto" w:fill="auto"/>
            <w:noWrap/>
            <w:vAlign w:val="bottom"/>
            <w:hideMark/>
          </w:tcPr>
          <w:p w14:paraId="0B6AA541" w14:textId="57A8AD6E" w:rsidR="0019031A" w:rsidRPr="00A52AEE" w:rsidRDefault="00BA2C77" w:rsidP="00A52AEE">
            <w:pPr>
              <w:rPr>
                <w:lang w:eastAsia="en-GB"/>
              </w:rPr>
            </w:pPr>
            <w:r w:rsidRPr="00A52AEE">
              <w:rPr>
                <w:lang w:eastAsia="en-GB"/>
              </w:rPr>
              <w:t>Richmond Adult Community College</w:t>
            </w:r>
          </w:p>
        </w:tc>
        <w:tc>
          <w:tcPr>
            <w:tcW w:w="578" w:type="pct"/>
            <w:shd w:val="clear" w:color="auto" w:fill="auto"/>
            <w:noWrap/>
            <w:vAlign w:val="bottom"/>
            <w:hideMark/>
          </w:tcPr>
          <w:p w14:paraId="15527712"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17AEB9D2"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251B5D52"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25D7D6D3"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645933CB" w14:textId="77777777" w:rsidR="0019031A" w:rsidRPr="00A52AEE" w:rsidRDefault="0019031A" w:rsidP="00053A52">
            <w:pPr>
              <w:jc w:val="right"/>
              <w:rPr>
                <w:lang w:eastAsia="en-GB"/>
              </w:rPr>
            </w:pPr>
            <w:r w:rsidRPr="00A52AEE">
              <w:rPr>
                <w:lang w:eastAsia="en-GB"/>
              </w:rPr>
              <w:t>60</w:t>
            </w:r>
          </w:p>
        </w:tc>
      </w:tr>
      <w:tr w:rsidR="0019031A" w:rsidRPr="00A52AEE" w14:paraId="16DE08F3" w14:textId="77777777" w:rsidTr="00BA2C77">
        <w:trPr>
          <w:trHeight w:val="300"/>
        </w:trPr>
        <w:tc>
          <w:tcPr>
            <w:tcW w:w="2081" w:type="pct"/>
            <w:shd w:val="clear" w:color="auto" w:fill="auto"/>
            <w:noWrap/>
            <w:vAlign w:val="bottom"/>
            <w:hideMark/>
          </w:tcPr>
          <w:p w14:paraId="193677BE" w14:textId="3490EF10" w:rsidR="0019031A" w:rsidRPr="00A52AEE" w:rsidRDefault="00BA2C77" w:rsidP="00A52AEE">
            <w:pPr>
              <w:rPr>
                <w:lang w:eastAsia="en-GB"/>
              </w:rPr>
            </w:pPr>
            <w:r w:rsidRPr="00A52AEE">
              <w:rPr>
                <w:lang w:eastAsia="en-GB"/>
              </w:rPr>
              <w:t>Bromley College of Further And Higher Education</w:t>
            </w:r>
          </w:p>
        </w:tc>
        <w:tc>
          <w:tcPr>
            <w:tcW w:w="578" w:type="pct"/>
            <w:shd w:val="clear" w:color="auto" w:fill="auto"/>
            <w:noWrap/>
            <w:vAlign w:val="bottom"/>
            <w:hideMark/>
          </w:tcPr>
          <w:p w14:paraId="599C74C3"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62383448"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213A8706"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5D5AB4FD" w14:textId="77777777" w:rsidR="0019031A" w:rsidRPr="00A52AEE" w:rsidRDefault="0019031A" w:rsidP="00053A52">
            <w:pPr>
              <w:jc w:val="right"/>
              <w:rPr>
                <w:lang w:eastAsia="en-GB"/>
              </w:rPr>
            </w:pPr>
            <w:r w:rsidRPr="00A52AEE">
              <w:rPr>
                <w:lang w:eastAsia="en-GB"/>
              </w:rPr>
              <w:t>25</w:t>
            </w:r>
          </w:p>
        </w:tc>
        <w:tc>
          <w:tcPr>
            <w:tcW w:w="604" w:type="pct"/>
            <w:shd w:val="clear" w:color="auto" w:fill="auto"/>
            <w:noWrap/>
            <w:vAlign w:val="bottom"/>
            <w:hideMark/>
          </w:tcPr>
          <w:p w14:paraId="7BDE3682" w14:textId="77777777" w:rsidR="0019031A" w:rsidRPr="00A52AEE" w:rsidRDefault="0019031A" w:rsidP="00053A52">
            <w:pPr>
              <w:jc w:val="right"/>
              <w:rPr>
                <w:lang w:eastAsia="en-GB"/>
              </w:rPr>
            </w:pPr>
            <w:r w:rsidRPr="00A52AEE">
              <w:rPr>
                <w:lang w:eastAsia="en-GB"/>
              </w:rPr>
              <w:t>55</w:t>
            </w:r>
          </w:p>
        </w:tc>
      </w:tr>
      <w:tr w:rsidR="0019031A" w:rsidRPr="00A52AEE" w14:paraId="160FD2CD" w14:textId="77777777" w:rsidTr="00BA2C77">
        <w:trPr>
          <w:trHeight w:val="300"/>
        </w:trPr>
        <w:tc>
          <w:tcPr>
            <w:tcW w:w="2081" w:type="pct"/>
            <w:shd w:val="clear" w:color="auto" w:fill="auto"/>
            <w:noWrap/>
            <w:vAlign w:val="bottom"/>
            <w:hideMark/>
          </w:tcPr>
          <w:p w14:paraId="5F09FF28" w14:textId="395B854F" w:rsidR="0019031A" w:rsidRPr="00A52AEE" w:rsidRDefault="00BA2C77" w:rsidP="00A52AEE">
            <w:pPr>
              <w:rPr>
                <w:lang w:eastAsia="en-GB"/>
              </w:rPr>
            </w:pPr>
            <w:r w:rsidRPr="00A52AEE">
              <w:rPr>
                <w:lang w:eastAsia="en-GB"/>
              </w:rPr>
              <w:t>Lewisham College</w:t>
            </w:r>
          </w:p>
        </w:tc>
        <w:tc>
          <w:tcPr>
            <w:tcW w:w="578" w:type="pct"/>
            <w:shd w:val="clear" w:color="auto" w:fill="auto"/>
            <w:noWrap/>
            <w:vAlign w:val="bottom"/>
            <w:hideMark/>
          </w:tcPr>
          <w:p w14:paraId="1D8E9A2B"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02BD2809" w14:textId="77777777" w:rsidR="0019031A" w:rsidRPr="00A52AEE" w:rsidRDefault="0019031A" w:rsidP="00053A52">
            <w:pPr>
              <w:jc w:val="right"/>
              <w:rPr>
                <w:lang w:eastAsia="en-GB"/>
              </w:rPr>
            </w:pPr>
            <w:r w:rsidRPr="00A52AEE">
              <w:rPr>
                <w:lang w:eastAsia="en-GB"/>
              </w:rPr>
              <w:t>40</w:t>
            </w:r>
          </w:p>
        </w:tc>
        <w:tc>
          <w:tcPr>
            <w:tcW w:w="579" w:type="pct"/>
            <w:shd w:val="clear" w:color="auto" w:fill="auto"/>
            <w:noWrap/>
            <w:vAlign w:val="bottom"/>
            <w:hideMark/>
          </w:tcPr>
          <w:p w14:paraId="2DB58E87"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29299FCC"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3CE41BEB" w14:textId="77777777" w:rsidR="0019031A" w:rsidRPr="00A52AEE" w:rsidRDefault="0019031A" w:rsidP="00053A52">
            <w:pPr>
              <w:jc w:val="right"/>
              <w:rPr>
                <w:lang w:eastAsia="en-GB"/>
              </w:rPr>
            </w:pPr>
            <w:r w:rsidRPr="00A52AEE">
              <w:rPr>
                <w:lang w:eastAsia="en-GB"/>
              </w:rPr>
              <w:t>25</w:t>
            </w:r>
          </w:p>
        </w:tc>
      </w:tr>
      <w:tr w:rsidR="0019031A" w:rsidRPr="00A52AEE" w14:paraId="61BA0156" w14:textId="77777777" w:rsidTr="00BA2C77">
        <w:trPr>
          <w:trHeight w:val="300"/>
        </w:trPr>
        <w:tc>
          <w:tcPr>
            <w:tcW w:w="2081" w:type="pct"/>
            <w:shd w:val="clear" w:color="auto" w:fill="auto"/>
            <w:noWrap/>
            <w:vAlign w:val="bottom"/>
            <w:hideMark/>
          </w:tcPr>
          <w:p w14:paraId="7816C06F" w14:textId="72BE975F" w:rsidR="0019031A" w:rsidRPr="00A52AEE" w:rsidRDefault="00BA2C77" w:rsidP="00A52AEE">
            <w:pPr>
              <w:rPr>
                <w:lang w:eastAsia="en-GB"/>
              </w:rPr>
            </w:pPr>
            <w:r w:rsidRPr="00A52AEE">
              <w:rPr>
                <w:lang w:eastAsia="en-GB"/>
              </w:rPr>
              <w:t>Westminster Kingsway College</w:t>
            </w:r>
          </w:p>
        </w:tc>
        <w:tc>
          <w:tcPr>
            <w:tcW w:w="578" w:type="pct"/>
            <w:shd w:val="clear" w:color="auto" w:fill="auto"/>
            <w:noWrap/>
            <w:vAlign w:val="bottom"/>
            <w:hideMark/>
          </w:tcPr>
          <w:p w14:paraId="1BE16AD9"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31CCB883"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15CF3D7A"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4A763A86" w14:textId="77777777" w:rsidR="0019031A" w:rsidRPr="00A52AEE" w:rsidRDefault="0019031A" w:rsidP="00053A52">
            <w:pPr>
              <w:jc w:val="right"/>
              <w:rPr>
                <w:lang w:eastAsia="en-GB"/>
              </w:rPr>
            </w:pPr>
            <w:r w:rsidRPr="00A52AEE">
              <w:rPr>
                <w:lang w:eastAsia="en-GB"/>
              </w:rPr>
              <w:t>15</w:t>
            </w:r>
          </w:p>
        </w:tc>
        <w:tc>
          <w:tcPr>
            <w:tcW w:w="604" w:type="pct"/>
            <w:shd w:val="clear" w:color="auto" w:fill="auto"/>
            <w:noWrap/>
            <w:vAlign w:val="bottom"/>
            <w:hideMark/>
          </w:tcPr>
          <w:p w14:paraId="34B01247" w14:textId="77777777" w:rsidR="0019031A" w:rsidRPr="00A52AEE" w:rsidRDefault="0019031A" w:rsidP="00053A52">
            <w:pPr>
              <w:jc w:val="right"/>
              <w:rPr>
                <w:lang w:eastAsia="en-GB"/>
              </w:rPr>
            </w:pPr>
            <w:r w:rsidRPr="00A52AEE">
              <w:rPr>
                <w:lang w:eastAsia="en-GB"/>
              </w:rPr>
              <w:t>40</w:t>
            </w:r>
          </w:p>
        </w:tc>
      </w:tr>
      <w:tr w:rsidR="0019031A" w:rsidRPr="00A52AEE" w14:paraId="68690E27" w14:textId="77777777" w:rsidTr="00BA2C77">
        <w:trPr>
          <w:trHeight w:val="300"/>
        </w:trPr>
        <w:tc>
          <w:tcPr>
            <w:tcW w:w="2081" w:type="pct"/>
            <w:shd w:val="clear" w:color="auto" w:fill="auto"/>
            <w:noWrap/>
            <w:vAlign w:val="bottom"/>
            <w:hideMark/>
          </w:tcPr>
          <w:p w14:paraId="37D22E63" w14:textId="72123BE2" w:rsidR="0019031A" w:rsidRPr="00A52AEE" w:rsidRDefault="00BA2C77" w:rsidP="00A52AEE">
            <w:pPr>
              <w:rPr>
                <w:lang w:eastAsia="en-GB"/>
              </w:rPr>
            </w:pPr>
            <w:r w:rsidRPr="00A52AEE">
              <w:rPr>
                <w:lang w:eastAsia="en-GB"/>
              </w:rPr>
              <w:t>West Thames College</w:t>
            </w:r>
          </w:p>
        </w:tc>
        <w:tc>
          <w:tcPr>
            <w:tcW w:w="578" w:type="pct"/>
            <w:shd w:val="clear" w:color="auto" w:fill="auto"/>
            <w:noWrap/>
            <w:vAlign w:val="bottom"/>
            <w:hideMark/>
          </w:tcPr>
          <w:p w14:paraId="154A6642"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6241A0BB"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0AC00CF7"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04BE09D8"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098C5A18" w14:textId="77777777" w:rsidR="0019031A" w:rsidRPr="00A52AEE" w:rsidRDefault="0019031A" w:rsidP="00053A52">
            <w:pPr>
              <w:jc w:val="right"/>
              <w:rPr>
                <w:lang w:eastAsia="en-GB"/>
              </w:rPr>
            </w:pPr>
            <w:r w:rsidRPr="00A52AEE">
              <w:rPr>
                <w:lang w:eastAsia="en-GB"/>
              </w:rPr>
              <w:t>35</w:t>
            </w:r>
          </w:p>
        </w:tc>
      </w:tr>
      <w:tr w:rsidR="0019031A" w:rsidRPr="00A52AEE" w14:paraId="61C2923D" w14:textId="77777777" w:rsidTr="00BA2C77">
        <w:trPr>
          <w:trHeight w:val="300"/>
        </w:trPr>
        <w:tc>
          <w:tcPr>
            <w:tcW w:w="2081" w:type="pct"/>
            <w:shd w:val="clear" w:color="auto" w:fill="auto"/>
            <w:noWrap/>
            <w:vAlign w:val="bottom"/>
            <w:hideMark/>
          </w:tcPr>
          <w:p w14:paraId="2150DA4B" w14:textId="7AB61DDF" w:rsidR="0019031A" w:rsidRPr="00A52AEE" w:rsidRDefault="00BA2C77" w:rsidP="00A52AEE">
            <w:pPr>
              <w:rPr>
                <w:lang w:eastAsia="en-GB"/>
              </w:rPr>
            </w:pPr>
            <w:r w:rsidRPr="00A52AEE">
              <w:rPr>
                <w:lang w:eastAsia="en-GB"/>
              </w:rPr>
              <w:t>Havering Sixth Form College</w:t>
            </w:r>
          </w:p>
        </w:tc>
        <w:tc>
          <w:tcPr>
            <w:tcW w:w="578" w:type="pct"/>
            <w:shd w:val="clear" w:color="auto" w:fill="auto"/>
            <w:noWrap/>
            <w:vAlign w:val="bottom"/>
            <w:hideMark/>
          </w:tcPr>
          <w:p w14:paraId="35D326D8"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0085FDC5"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2F65251E"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564DAC5E"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7CDA6787" w14:textId="77777777" w:rsidR="0019031A" w:rsidRPr="00A52AEE" w:rsidRDefault="0019031A" w:rsidP="00053A52">
            <w:pPr>
              <w:jc w:val="right"/>
              <w:rPr>
                <w:lang w:eastAsia="en-GB"/>
              </w:rPr>
            </w:pPr>
            <w:r w:rsidRPr="00A52AEE">
              <w:rPr>
                <w:lang w:eastAsia="en-GB"/>
              </w:rPr>
              <w:t>50</w:t>
            </w:r>
          </w:p>
        </w:tc>
      </w:tr>
      <w:tr w:rsidR="0019031A" w:rsidRPr="00A52AEE" w14:paraId="607AC948" w14:textId="77777777" w:rsidTr="00BA2C77">
        <w:trPr>
          <w:trHeight w:val="300"/>
        </w:trPr>
        <w:tc>
          <w:tcPr>
            <w:tcW w:w="2081" w:type="pct"/>
            <w:shd w:val="clear" w:color="auto" w:fill="auto"/>
            <w:noWrap/>
            <w:vAlign w:val="bottom"/>
            <w:hideMark/>
          </w:tcPr>
          <w:p w14:paraId="00711318" w14:textId="4BF7EDCC" w:rsidR="0019031A" w:rsidRPr="00A52AEE" w:rsidRDefault="00BA2C77" w:rsidP="00A52AEE">
            <w:pPr>
              <w:rPr>
                <w:lang w:eastAsia="en-GB"/>
              </w:rPr>
            </w:pPr>
            <w:r w:rsidRPr="00A52AEE">
              <w:rPr>
                <w:lang w:eastAsia="en-GB"/>
              </w:rPr>
              <w:t>Tower Hamlets College</w:t>
            </w:r>
          </w:p>
        </w:tc>
        <w:tc>
          <w:tcPr>
            <w:tcW w:w="578" w:type="pct"/>
            <w:shd w:val="clear" w:color="auto" w:fill="auto"/>
            <w:noWrap/>
            <w:vAlign w:val="bottom"/>
            <w:hideMark/>
          </w:tcPr>
          <w:p w14:paraId="0CF62689"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5A310CB1"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26C0CD1D" w14:textId="77777777" w:rsidR="0019031A" w:rsidRPr="00A52AEE" w:rsidRDefault="0019031A" w:rsidP="00053A52">
            <w:pPr>
              <w:jc w:val="right"/>
              <w:rPr>
                <w:lang w:eastAsia="en-GB"/>
              </w:rPr>
            </w:pPr>
            <w:r w:rsidRPr="00A52AEE">
              <w:rPr>
                <w:lang w:eastAsia="en-GB"/>
              </w:rPr>
              <w:t>20</w:t>
            </w:r>
          </w:p>
        </w:tc>
        <w:tc>
          <w:tcPr>
            <w:tcW w:w="579" w:type="pct"/>
            <w:shd w:val="clear" w:color="auto" w:fill="auto"/>
            <w:noWrap/>
            <w:vAlign w:val="bottom"/>
            <w:hideMark/>
          </w:tcPr>
          <w:p w14:paraId="4D89956B" w14:textId="77777777" w:rsidR="0019031A" w:rsidRPr="00A52AEE" w:rsidRDefault="0019031A" w:rsidP="00053A52">
            <w:pPr>
              <w:jc w:val="right"/>
              <w:rPr>
                <w:lang w:eastAsia="en-GB"/>
              </w:rPr>
            </w:pPr>
            <w:r w:rsidRPr="00A52AEE">
              <w:rPr>
                <w:lang w:eastAsia="en-GB"/>
              </w:rPr>
              <w:t>20</w:t>
            </w:r>
          </w:p>
        </w:tc>
        <w:tc>
          <w:tcPr>
            <w:tcW w:w="604" w:type="pct"/>
            <w:shd w:val="clear" w:color="auto" w:fill="auto"/>
            <w:noWrap/>
            <w:vAlign w:val="bottom"/>
            <w:hideMark/>
          </w:tcPr>
          <w:p w14:paraId="32361971" w14:textId="77777777" w:rsidR="0019031A" w:rsidRPr="00A52AEE" w:rsidRDefault="0019031A" w:rsidP="00053A52">
            <w:pPr>
              <w:jc w:val="right"/>
              <w:rPr>
                <w:lang w:eastAsia="en-GB"/>
              </w:rPr>
            </w:pPr>
            <w:r w:rsidRPr="00A52AEE">
              <w:rPr>
                <w:lang w:eastAsia="en-GB"/>
              </w:rPr>
              <w:t>20</w:t>
            </w:r>
          </w:p>
        </w:tc>
      </w:tr>
      <w:tr w:rsidR="0019031A" w:rsidRPr="00A52AEE" w14:paraId="02A6FB42" w14:textId="77777777" w:rsidTr="00BA2C77">
        <w:trPr>
          <w:trHeight w:val="300"/>
        </w:trPr>
        <w:tc>
          <w:tcPr>
            <w:tcW w:w="2081" w:type="pct"/>
            <w:shd w:val="clear" w:color="auto" w:fill="auto"/>
            <w:noWrap/>
            <w:vAlign w:val="bottom"/>
            <w:hideMark/>
          </w:tcPr>
          <w:p w14:paraId="6188C910" w14:textId="471AE6F0" w:rsidR="0019031A" w:rsidRPr="00A52AEE" w:rsidRDefault="00BA2C77" w:rsidP="00A52AEE">
            <w:pPr>
              <w:rPr>
                <w:lang w:eastAsia="en-GB"/>
              </w:rPr>
            </w:pPr>
            <w:r w:rsidRPr="00A52AEE">
              <w:rPr>
                <w:lang w:eastAsia="en-GB"/>
              </w:rPr>
              <w:t>City of Westminster College</w:t>
            </w:r>
          </w:p>
        </w:tc>
        <w:tc>
          <w:tcPr>
            <w:tcW w:w="578" w:type="pct"/>
            <w:shd w:val="clear" w:color="auto" w:fill="auto"/>
            <w:noWrap/>
            <w:vAlign w:val="bottom"/>
            <w:hideMark/>
          </w:tcPr>
          <w:p w14:paraId="579658F5"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3DDF894B"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43A2D75D"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592CF1CF" w14:textId="77777777" w:rsidR="0019031A" w:rsidRPr="00A52AEE" w:rsidRDefault="0019031A" w:rsidP="00053A52">
            <w:pPr>
              <w:jc w:val="right"/>
              <w:rPr>
                <w:lang w:eastAsia="en-GB"/>
              </w:rPr>
            </w:pPr>
            <w:r w:rsidRPr="00A52AEE">
              <w:rPr>
                <w:lang w:eastAsia="en-GB"/>
              </w:rPr>
              <w:t>5</w:t>
            </w:r>
          </w:p>
        </w:tc>
        <w:tc>
          <w:tcPr>
            <w:tcW w:w="604" w:type="pct"/>
            <w:shd w:val="clear" w:color="auto" w:fill="auto"/>
            <w:noWrap/>
            <w:vAlign w:val="bottom"/>
            <w:hideMark/>
          </w:tcPr>
          <w:p w14:paraId="2C458909" w14:textId="77777777" w:rsidR="0019031A" w:rsidRPr="00A52AEE" w:rsidRDefault="0019031A" w:rsidP="00053A52">
            <w:pPr>
              <w:jc w:val="right"/>
              <w:rPr>
                <w:lang w:eastAsia="en-GB"/>
              </w:rPr>
            </w:pPr>
            <w:r w:rsidRPr="00A52AEE">
              <w:rPr>
                <w:lang w:eastAsia="en-GB"/>
              </w:rPr>
              <w:t>30</w:t>
            </w:r>
          </w:p>
        </w:tc>
      </w:tr>
      <w:tr w:rsidR="0019031A" w:rsidRPr="00A52AEE" w14:paraId="68F420F5" w14:textId="77777777" w:rsidTr="00BA2C77">
        <w:trPr>
          <w:trHeight w:val="300"/>
        </w:trPr>
        <w:tc>
          <w:tcPr>
            <w:tcW w:w="2081" w:type="pct"/>
            <w:shd w:val="clear" w:color="auto" w:fill="auto"/>
            <w:noWrap/>
            <w:vAlign w:val="bottom"/>
            <w:hideMark/>
          </w:tcPr>
          <w:p w14:paraId="5B01D669" w14:textId="2DC3A202" w:rsidR="0019031A" w:rsidRPr="00A52AEE" w:rsidRDefault="00BA2C77" w:rsidP="00A52AEE">
            <w:pPr>
              <w:rPr>
                <w:lang w:eastAsia="en-GB"/>
              </w:rPr>
            </w:pPr>
            <w:r w:rsidRPr="00A52AEE">
              <w:rPr>
                <w:lang w:eastAsia="en-GB"/>
              </w:rPr>
              <w:t>Redbridge College</w:t>
            </w:r>
          </w:p>
        </w:tc>
        <w:tc>
          <w:tcPr>
            <w:tcW w:w="578" w:type="pct"/>
            <w:shd w:val="clear" w:color="auto" w:fill="auto"/>
            <w:noWrap/>
            <w:vAlign w:val="bottom"/>
            <w:hideMark/>
          </w:tcPr>
          <w:p w14:paraId="708B6644"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2EDF33AB"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43CDEF6D"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4E670D4D"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6276219B" w14:textId="77777777" w:rsidR="0019031A" w:rsidRPr="00A52AEE" w:rsidRDefault="0019031A" w:rsidP="00053A52">
            <w:pPr>
              <w:jc w:val="right"/>
              <w:rPr>
                <w:lang w:eastAsia="en-GB"/>
              </w:rPr>
            </w:pPr>
            <w:r w:rsidRPr="00A52AEE">
              <w:rPr>
                <w:lang w:eastAsia="en-GB"/>
              </w:rPr>
              <w:t>25</w:t>
            </w:r>
          </w:p>
        </w:tc>
      </w:tr>
      <w:tr w:rsidR="0019031A" w:rsidRPr="00A52AEE" w14:paraId="4E2BD64C" w14:textId="77777777" w:rsidTr="00BA2C77">
        <w:trPr>
          <w:trHeight w:val="300"/>
        </w:trPr>
        <w:tc>
          <w:tcPr>
            <w:tcW w:w="2081" w:type="pct"/>
            <w:shd w:val="clear" w:color="auto" w:fill="auto"/>
            <w:noWrap/>
            <w:vAlign w:val="bottom"/>
            <w:hideMark/>
          </w:tcPr>
          <w:p w14:paraId="78A13530" w14:textId="06F8677C" w:rsidR="0019031A" w:rsidRPr="00A52AEE" w:rsidRDefault="00BA2C77" w:rsidP="00A52AEE">
            <w:pPr>
              <w:rPr>
                <w:lang w:eastAsia="en-GB"/>
              </w:rPr>
            </w:pPr>
            <w:r w:rsidRPr="00A52AEE">
              <w:rPr>
                <w:lang w:eastAsia="en-GB"/>
              </w:rPr>
              <w:t>Kensington and Chelsea College</w:t>
            </w:r>
          </w:p>
        </w:tc>
        <w:tc>
          <w:tcPr>
            <w:tcW w:w="578" w:type="pct"/>
            <w:shd w:val="clear" w:color="auto" w:fill="auto"/>
            <w:noWrap/>
            <w:vAlign w:val="bottom"/>
            <w:hideMark/>
          </w:tcPr>
          <w:p w14:paraId="5B8258A3"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328F5C21" w14:textId="77777777" w:rsidR="0019031A" w:rsidRPr="00A52AEE" w:rsidRDefault="0019031A" w:rsidP="00053A52">
            <w:pPr>
              <w:jc w:val="right"/>
              <w:rPr>
                <w:lang w:eastAsia="en-GB"/>
              </w:rPr>
            </w:pPr>
            <w:r w:rsidRPr="00A52AEE">
              <w:rPr>
                <w:lang w:eastAsia="en-GB"/>
              </w:rPr>
              <w:t>5</w:t>
            </w:r>
          </w:p>
        </w:tc>
        <w:tc>
          <w:tcPr>
            <w:tcW w:w="579" w:type="pct"/>
            <w:shd w:val="clear" w:color="auto" w:fill="auto"/>
            <w:noWrap/>
            <w:vAlign w:val="bottom"/>
            <w:hideMark/>
          </w:tcPr>
          <w:p w14:paraId="40CE1B94"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3E04E272" w14:textId="77777777" w:rsidR="0019031A" w:rsidRPr="00A52AEE" w:rsidRDefault="0019031A" w:rsidP="00053A52">
            <w:pPr>
              <w:jc w:val="right"/>
              <w:rPr>
                <w:lang w:eastAsia="en-GB"/>
              </w:rPr>
            </w:pPr>
            <w:r w:rsidRPr="00A52AEE">
              <w:rPr>
                <w:lang w:eastAsia="en-GB"/>
              </w:rPr>
              <w:t>15</w:t>
            </w:r>
          </w:p>
        </w:tc>
        <w:tc>
          <w:tcPr>
            <w:tcW w:w="604" w:type="pct"/>
            <w:shd w:val="clear" w:color="auto" w:fill="auto"/>
            <w:noWrap/>
            <w:vAlign w:val="bottom"/>
            <w:hideMark/>
          </w:tcPr>
          <w:p w14:paraId="5C6FF58C" w14:textId="77777777" w:rsidR="0019031A" w:rsidRPr="00A52AEE" w:rsidRDefault="0019031A" w:rsidP="00053A52">
            <w:pPr>
              <w:jc w:val="right"/>
              <w:rPr>
                <w:lang w:eastAsia="en-GB"/>
              </w:rPr>
            </w:pPr>
            <w:r w:rsidRPr="00A52AEE">
              <w:rPr>
                <w:lang w:eastAsia="en-GB"/>
              </w:rPr>
              <w:t>25</w:t>
            </w:r>
          </w:p>
        </w:tc>
      </w:tr>
      <w:tr w:rsidR="0019031A" w:rsidRPr="00A52AEE" w14:paraId="1F48D7EE" w14:textId="77777777" w:rsidTr="00BA2C77">
        <w:trPr>
          <w:trHeight w:val="300"/>
        </w:trPr>
        <w:tc>
          <w:tcPr>
            <w:tcW w:w="2081" w:type="pct"/>
            <w:shd w:val="clear" w:color="auto" w:fill="auto"/>
            <w:noWrap/>
            <w:vAlign w:val="bottom"/>
            <w:hideMark/>
          </w:tcPr>
          <w:p w14:paraId="02C904AB" w14:textId="2057F554" w:rsidR="0019031A" w:rsidRPr="00A52AEE" w:rsidRDefault="00BA2C77" w:rsidP="00A52AEE">
            <w:pPr>
              <w:rPr>
                <w:lang w:eastAsia="en-GB"/>
              </w:rPr>
            </w:pPr>
            <w:r w:rsidRPr="00A52AEE">
              <w:rPr>
                <w:lang w:eastAsia="en-GB"/>
              </w:rPr>
              <w:t>Southgate College</w:t>
            </w:r>
          </w:p>
        </w:tc>
        <w:tc>
          <w:tcPr>
            <w:tcW w:w="578" w:type="pct"/>
            <w:shd w:val="clear" w:color="auto" w:fill="auto"/>
            <w:noWrap/>
            <w:vAlign w:val="bottom"/>
            <w:hideMark/>
          </w:tcPr>
          <w:p w14:paraId="74C4CC8A"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3CE7C1B9" w14:textId="77777777" w:rsidR="0019031A" w:rsidRPr="00A52AEE" w:rsidRDefault="0019031A" w:rsidP="00053A52">
            <w:pPr>
              <w:jc w:val="right"/>
              <w:rPr>
                <w:lang w:eastAsia="en-GB"/>
              </w:rPr>
            </w:pPr>
            <w:r w:rsidRPr="00A52AEE">
              <w:rPr>
                <w:lang w:eastAsia="en-GB"/>
              </w:rPr>
              <w:t>10</w:t>
            </w:r>
          </w:p>
        </w:tc>
        <w:tc>
          <w:tcPr>
            <w:tcW w:w="579" w:type="pct"/>
            <w:shd w:val="clear" w:color="auto" w:fill="auto"/>
            <w:noWrap/>
            <w:vAlign w:val="bottom"/>
            <w:hideMark/>
          </w:tcPr>
          <w:p w14:paraId="21FF9CDE"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6631AF23" w14:textId="77777777" w:rsidR="0019031A" w:rsidRPr="00A52AEE" w:rsidRDefault="0019031A" w:rsidP="00053A52">
            <w:pPr>
              <w:jc w:val="right"/>
              <w:rPr>
                <w:lang w:eastAsia="en-GB"/>
              </w:rPr>
            </w:pPr>
            <w:r w:rsidRPr="00A52AEE">
              <w:rPr>
                <w:lang w:eastAsia="en-GB"/>
              </w:rPr>
              <w:t>15</w:t>
            </w:r>
          </w:p>
        </w:tc>
        <w:tc>
          <w:tcPr>
            <w:tcW w:w="604" w:type="pct"/>
            <w:shd w:val="clear" w:color="auto" w:fill="auto"/>
            <w:noWrap/>
            <w:vAlign w:val="bottom"/>
            <w:hideMark/>
          </w:tcPr>
          <w:p w14:paraId="1B18BE4A" w14:textId="77777777" w:rsidR="0019031A" w:rsidRPr="00A52AEE" w:rsidRDefault="0019031A" w:rsidP="00053A52">
            <w:pPr>
              <w:jc w:val="right"/>
              <w:rPr>
                <w:lang w:eastAsia="en-GB"/>
              </w:rPr>
            </w:pPr>
            <w:r w:rsidRPr="00A52AEE">
              <w:rPr>
                <w:lang w:eastAsia="en-GB"/>
              </w:rPr>
              <w:t>10</w:t>
            </w:r>
          </w:p>
        </w:tc>
      </w:tr>
      <w:tr w:rsidR="0019031A" w:rsidRPr="00A52AEE" w14:paraId="6A67C20E" w14:textId="77777777" w:rsidTr="00BA2C77">
        <w:trPr>
          <w:trHeight w:val="300"/>
        </w:trPr>
        <w:tc>
          <w:tcPr>
            <w:tcW w:w="2081" w:type="pct"/>
            <w:shd w:val="clear" w:color="auto" w:fill="auto"/>
            <w:noWrap/>
            <w:vAlign w:val="bottom"/>
            <w:hideMark/>
          </w:tcPr>
          <w:p w14:paraId="48907E08" w14:textId="592DAA23" w:rsidR="0019031A" w:rsidRPr="00A52AEE" w:rsidRDefault="00BA2C77" w:rsidP="00A52AEE">
            <w:pPr>
              <w:rPr>
                <w:lang w:eastAsia="en-GB"/>
              </w:rPr>
            </w:pPr>
            <w:r w:rsidRPr="00A52AEE">
              <w:rPr>
                <w:lang w:eastAsia="en-GB"/>
              </w:rPr>
              <w:t>Stanmore College</w:t>
            </w:r>
          </w:p>
        </w:tc>
        <w:tc>
          <w:tcPr>
            <w:tcW w:w="578" w:type="pct"/>
            <w:shd w:val="clear" w:color="auto" w:fill="auto"/>
            <w:noWrap/>
            <w:vAlign w:val="bottom"/>
            <w:hideMark/>
          </w:tcPr>
          <w:p w14:paraId="6A3FD810"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2E50D1E1"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6D906613"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57A8CFBA" w14:textId="77777777" w:rsidR="0019031A" w:rsidRPr="00A52AEE" w:rsidRDefault="0019031A" w:rsidP="00053A52">
            <w:pPr>
              <w:jc w:val="right"/>
              <w:rPr>
                <w:lang w:eastAsia="en-GB"/>
              </w:rPr>
            </w:pPr>
            <w:r w:rsidRPr="00A52AEE">
              <w:rPr>
                <w:lang w:eastAsia="en-GB"/>
              </w:rPr>
              <w:t>10</w:t>
            </w:r>
          </w:p>
        </w:tc>
        <w:tc>
          <w:tcPr>
            <w:tcW w:w="604" w:type="pct"/>
            <w:shd w:val="clear" w:color="auto" w:fill="auto"/>
            <w:noWrap/>
            <w:vAlign w:val="bottom"/>
            <w:hideMark/>
          </w:tcPr>
          <w:p w14:paraId="0235F0E9" w14:textId="77777777" w:rsidR="0019031A" w:rsidRPr="00A52AEE" w:rsidRDefault="0019031A" w:rsidP="00053A52">
            <w:pPr>
              <w:jc w:val="right"/>
              <w:rPr>
                <w:lang w:eastAsia="en-GB"/>
              </w:rPr>
            </w:pPr>
            <w:r w:rsidRPr="00A52AEE">
              <w:rPr>
                <w:lang w:eastAsia="en-GB"/>
              </w:rPr>
              <w:t>25</w:t>
            </w:r>
          </w:p>
        </w:tc>
      </w:tr>
      <w:tr w:rsidR="0019031A" w:rsidRPr="00A52AEE" w14:paraId="415622AF" w14:textId="77777777" w:rsidTr="00BA2C77">
        <w:trPr>
          <w:trHeight w:val="300"/>
        </w:trPr>
        <w:tc>
          <w:tcPr>
            <w:tcW w:w="2081" w:type="pct"/>
            <w:shd w:val="clear" w:color="auto" w:fill="auto"/>
            <w:noWrap/>
            <w:vAlign w:val="bottom"/>
            <w:hideMark/>
          </w:tcPr>
          <w:p w14:paraId="298C81C2" w14:textId="31762D33" w:rsidR="0019031A" w:rsidRPr="00A52AEE" w:rsidRDefault="00BA2C77" w:rsidP="00A52AEE">
            <w:pPr>
              <w:rPr>
                <w:lang w:eastAsia="en-GB"/>
              </w:rPr>
            </w:pPr>
            <w:r w:rsidRPr="00A52AEE">
              <w:rPr>
                <w:lang w:eastAsia="en-GB"/>
              </w:rPr>
              <w:t>Southwark College</w:t>
            </w:r>
          </w:p>
        </w:tc>
        <w:tc>
          <w:tcPr>
            <w:tcW w:w="578" w:type="pct"/>
            <w:shd w:val="clear" w:color="auto" w:fill="auto"/>
            <w:noWrap/>
            <w:vAlign w:val="bottom"/>
            <w:hideMark/>
          </w:tcPr>
          <w:p w14:paraId="0E5AC4D3" w14:textId="77777777" w:rsidR="0019031A" w:rsidRPr="00A52AEE" w:rsidRDefault="0019031A" w:rsidP="00053A52">
            <w:pPr>
              <w:jc w:val="right"/>
              <w:rPr>
                <w:lang w:eastAsia="en-GB"/>
              </w:rPr>
            </w:pPr>
            <w:r w:rsidRPr="00A52AEE">
              <w:rPr>
                <w:lang w:eastAsia="en-GB"/>
              </w:rPr>
              <w:t>0</w:t>
            </w:r>
          </w:p>
        </w:tc>
        <w:tc>
          <w:tcPr>
            <w:tcW w:w="579" w:type="pct"/>
            <w:shd w:val="clear" w:color="auto" w:fill="auto"/>
            <w:noWrap/>
            <w:vAlign w:val="bottom"/>
            <w:hideMark/>
          </w:tcPr>
          <w:p w14:paraId="4B3D81DB"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11AB9909" w14:textId="77777777" w:rsidR="0019031A" w:rsidRPr="00A52AEE" w:rsidRDefault="0019031A" w:rsidP="00053A52">
            <w:pPr>
              <w:jc w:val="right"/>
              <w:rPr>
                <w:lang w:eastAsia="en-GB"/>
              </w:rPr>
            </w:pPr>
            <w:r w:rsidRPr="00A52AEE">
              <w:rPr>
                <w:lang w:eastAsia="en-GB"/>
              </w:rPr>
              <w:t>15</w:t>
            </w:r>
          </w:p>
        </w:tc>
        <w:tc>
          <w:tcPr>
            <w:tcW w:w="579" w:type="pct"/>
            <w:shd w:val="clear" w:color="auto" w:fill="auto"/>
            <w:noWrap/>
            <w:vAlign w:val="bottom"/>
            <w:hideMark/>
          </w:tcPr>
          <w:p w14:paraId="7F1AA603" w14:textId="77777777" w:rsidR="0019031A" w:rsidRPr="00A52AEE" w:rsidRDefault="0019031A" w:rsidP="00053A52">
            <w:pPr>
              <w:jc w:val="right"/>
              <w:rPr>
                <w:lang w:eastAsia="en-GB"/>
              </w:rPr>
            </w:pPr>
            <w:r w:rsidRPr="00A52AEE">
              <w:rPr>
                <w:lang w:eastAsia="en-GB"/>
              </w:rPr>
              <w:t>0</w:t>
            </w:r>
          </w:p>
        </w:tc>
        <w:tc>
          <w:tcPr>
            <w:tcW w:w="604" w:type="pct"/>
            <w:shd w:val="clear" w:color="auto" w:fill="auto"/>
            <w:noWrap/>
            <w:vAlign w:val="bottom"/>
            <w:hideMark/>
          </w:tcPr>
          <w:p w14:paraId="3C5FC6B0" w14:textId="77777777" w:rsidR="0019031A" w:rsidRPr="00A52AEE" w:rsidRDefault="0019031A" w:rsidP="00053A52">
            <w:pPr>
              <w:jc w:val="right"/>
              <w:rPr>
                <w:lang w:eastAsia="en-GB"/>
              </w:rPr>
            </w:pPr>
            <w:r w:rsidRPr="00A52AEE">
              <w:rPr>
                <w:lang w:eastAsia="en-GB"/>
              </w:rPr>
              <w:t>0</w:t>
            </w:r>
          </w:p>
        </w:tc>
      </w:tr>
    </w:tbl>
    <w:p w14:paraId="02A6A4B1" w14:textId="77777777" w:rsidR="00BA2C77" w:rsidRPr="00A52AEE" w:rsidRDefault="00BA2C77" w:rsidP="00A52AEE"/>
    <w:p w14:paraId="555FDF07" w14:textId="77777777" w:rsidR="005E08C9" w:rsidRDefault="005E08C9">
      <w:pPr>
        <w:spacing w:after="160" w:line="259" w:lineRule="auto"/>
        <w:rPr>
          <w:rFonts w:eastAsiaTheme="majorEastAsia" w:cstheme="majorBidi"/>
          <w:b/>
          <w:noProof/>
          <w:color w:val="323E4F" w:themeColor="text2" w:themeShade="BF"/>
          <w:sz w:val="56"/>
          <w:szCs w:val="32"/>
        </w:rPr>
      </w:pPr>
      <w:r>
        <w:br w:type="page"/>
      </w:r>
    </w:p>
    <w:p w14:paraId="1C3632D2" w14:textId="5DBDCC9F" w:rsidR="007E698B" w:rsidRPr="00A52AEE" w:rsidRDefault="0059233C" w:rsidP="005D104D">
      <w:pPr>
        <w:pStyle w:val="Heading1"/>
        <w:spacing w:before="0"/>
      </w:pPr>
      <w:bookmarkStart w:id="129" w:name="_Toc429151345"/>
      <w:r w:rsidRPr="00A52AEE">
        <w:t>6</w:t>
      </w:r>
      <w:r w:rsidRPr="005D104D">
        <w:t xml:space="preserve">. </w:t>
      </w:r>
      <w:r w:rsidR="009A2373" w:rsidRPr="005D104D">
        <w:tab/>
      </w:r>
      <w:r w:rsidRPr="005D104D">
        <w:t>HE success r</w:t>
      </w:r>
      <w:r w:rsidR="00053A52" w:rsidRPr="005D104D">
        <w:t xml:space="preserve">ates of London FE and </w:t>
      </w:r>
      <w:r w:rsidR="007E698B" w:rsidRPr="005D104D">
        <w:t xml:space="preserve">Sixth </w:t>
      </w:r>
      <w:r w:rsidRPr="005D104D">
        <w:t>Form College s</w:t>
      </w:r>
      <w:r w:rsidR="007E698B" w:rsidRPr="005D104D">
        <w:t>tudents</w:t>
      </w:r>
      <w:bookmarkEnd w:id="129"/>
    </w:p>
    <w:p w14:paraId="664853BD" w14:textId="77777777" w:rsidR="007E698B" w:rsidRPr="00A52AEE" w:rsidRDefault="007E698B" w:rsidP="00A52AEE"/>
    <w:p w14:paraId="7FC1755D" w14:textId="1432BBAF" w:rsidR="007E698B" w:rsidRPr="007C17F7" w:rsidRDefault="00BA2C77" w:rsidP="008D527A">
      <w:pPr>
        <w:pStyle w:val="Heading2"/>
      </w:pPr>
      <w:bookmarkStart w:id="130" w:name="_Toc429151346"/>
      <w:r w:rsidRPr="007C17F7">
        <w:t>6.1</w:t>
      </w:r>
      <w:r w:rsidRPr="007C17F7">
        <w:tab/>
        <w:t>H</w:t>
      </w:r>
      <w:r w:rsidR="007E698B" w:rsidRPr="007C17F7">
        <w:t>E achievement of first degrees</w:t>
      </w:r>
      <w:bookmarkEnd w:id="130"/>
    </w:p>
    <w:p w14:paraId="6017931A" w14:textId="79B44643" w:rsidR="007E698B" w:rsidRPr="00A52AEE" w:rsidRDefault="007E698B" w:rsidP="00A52AEE">
      <w:r w:rsidRPr="00A52AEE">
        <w:t>Achievement measures the proportion of students who started their first degree and sub</w:t>
      </w:r>
      <w:r w:rsidR="007C17F7">
        <w:t>sequently qualified. In Figure 8</w:t>
      </w:r>
      <w:r w:rsidRPr="00A52AEE">
        <w:t>, two thirds (</w:t>
      </w:r>
      <w:r w:rsidRPr="00053A52">
        <w:rPr>
          <w:b/>
        </w:rPr>
        <w:t>66%</w:t>
      </w:r>
      <w:r w:rsidRPr="00A52AEE">
        <w:t xml:space="preserve">) of HE entrants from </w:t>
      </w:r>
      <w:r w:rsidR="0076166E" w:rsidRPr="00A52AEE">
        <w:t>London</w:t>
      </w:r>
      <w:r w:rsidR="00053A52">
        <w:t xml:space="preserve"> colleges achieved their F</w:t>
      </w:r>
      <w:r w:rsidRPr="00A52AEE">
        <w:t xml:space="preserve">irst degree. An additional </w:t>
      </w:r>
      <w:r w:rsidRPr="00053A52">
        <w:rPr>
          <w:b/>
        </w:rPr>
        <w:t>11%</w:t>
      </w:r>
      <w:r w:rsidRPr="00A52AEE">
        <w:t xml:space="preserve"> achieved a lower award such as a Fou</w:t>
      </w:r>
      <w:r w:rsidR="00053A52">
        <w:t>ndation d</w:t>
      </w:r>
      <w:r w:rsidRPr="00A52AEE">
        <w:t xml:space="preserve">egree which means a total of </w:t>
      </w:r>
      <w:r w:rsidRPr="00053A52">
        <w:rPr>
          <w:b/>
        </w:rPr>
        <w:t>77%</w:t>
      </w:r>
      <w:r w:rsidRPr="00A52AEE">
        <w:t xml:space="preserve"> achieved an HE qualification. This compares to national rates of 75% for England FE College </w:t>
      </w:r>
      <w:r w:rsidR="00842186" w:rsidRPr="00A52AEE">
        <w:t>student</w:t>
      </w:r>
      <w:r w:rsidRPr="00A52AEE">
        <w:t xml:space="preserve">s (and </w:t>
      </w:r>
      <w:r w:rsidRPr="00053A52">
        <w:rPr>
          <w:b/>
        </w:rPr>
        <w:t>7%</w:t>
      </w:r>
      <w:r w:rsidRPr="00A52AEE">
        <w:t xml:space="preserve"> achieving a lower award).  </w:t>
      </w:r>
    </w:p>
    <w:p w14:paraId="0373387F" w14:textId="77777777" w:rsidR="007E698B" w:rsidRPr="00A52AEE" w:rsidRDefault="007E698B" w:rsidP="00A52AEE"/>
    <w:p w14:paraId="764B10C3" w14:textId="28E6B1B4" w:rsidR="007E698B" w:rsidRPr="00A52AEE" w:rsidRDefault="007E698B" w:rsidP="00A52AEE">
      <w:r w:rsidRPr="00A52AEE">
        <w:t xml:space="preserve">Achievement rates at FE qualification level are shown in </w:t>
      </w:r>
      <w:r w:rsidR="00053A52">
        <w:t>T</w:t>
      </w:r>
      <w:r w:rsidR="004E52FE">
        <w:t>able 39</w:t>
      </w:r>
      <w:r w:rsidRPr="00A52AEE">
        <w:t xml:space="preserve"> and show distinct differences where students entering HE with A </w:t>
      </w:r>
      <w:r w:rsidR="0021637B" w:rsidRPr="00A52AEE">
        <w:t>Level</w:t>
      </w:r>
      <w:r w:rsidRPr="00A52AEE">
        <w:t xml:space="preserve">s have considerably higher achievement rates at 80% compared to Access to HE </w:t>
      </w:r>
      <w:r w:rsidR="00842186" w:rsidRPr="00A52AEE">
        <w:t>student</w:t>
      </w:r>
      <w:r w:rsidRPr="00A52AEE">
        <w:t>s at 52%. Students entering with non</w:t>
      </w:r>
      <w:r w:rsidR="00BA2C77" w:rsidRPr="00A52AEE">
        <w:t>-</w:t>
      </w:r>
      <w:r w:rsidRPr="00A52AEE">
        <w:t xml:space="preserve">A </w:t>
      </w:r>
      <w:r w:rsidR="0021637B" w:rsidRPr="00A52AEE">
        <w:t>Level</w:t>
      </w:r>
      <w:r w:rsidRPr="00A52AEE">
        <w:t xml:space="preserve"> qualifications were more likely to start a first degree and finish with a lower</w:t>
      </w:r>
      <w:r w:rsidR="00053A52">
        <w:t xml:space="preserve"> qualification</w:t>
      </w:r>
      <w:r w:rsidRPr="00A52AEE">
        <w:t xml:space="preserve">. This table also shows that </w:t>
      </w:r>
      <w:r w:rsidR="00842186" w:rsidRPr="00A52AEE">
        <w:t>student</w:t>
      </w:r>
      <w:r w:rsidRPr="00A52AEE">
        <w:t>s studying HE in FE colleges had lower achievement than their peers studying in universities.</w:t>
      </w:r>
    </w:p>
    <w:p w14:paraId="38CF049F" w14:textId="77777777" w:rsidR="007E698B" w:rsidRPr="00A52AEE" w:rsidRDefault="007E698B" w:rsidP="00A52AEE"/>
    <w:p w14:paraId="78F1244C" w14:textId="63BD23E7" w:rsidR="007E698B" w:rsidRPr="00053A52" w:rsidRDefault="007E698B" w:rsidP="00A52AEE">
      <w:pPr>
        <w:rPr>
          <w:b/>
        </w:rPr>
      </w:pPr>
      <w:r w:rsidRPr="00053A52">
        <w:rPr>
          <w:b/>
        </w:rPr>
        <w:t>Figure 8</w:t>
      </w:r>
      <w:r w:rsidR="00BA2C77" w:rsidRPr="00053A52">
        <w:rPr>
          <w:b/>
        </w:rPr>
        <w:t>:</w:t>
      </w:r>
      <w:r w:rsidRPr="00053A52">
        <w:rPr>
          <w:b/>
        </w:rPr>
        <w:t xml:space="preserve"> Chart showing achievement for 2008-09 and 2009-10 entrants to full-time first degrees</w:t>
      </w:r>
    </w:p>
    <w:p w14:paraId="560A5DF6" w14:textId="77777777" w:rsidR="007E698B" w:rsidRPr="00A52AEE" w:rsidRDefault="007E698B" w:rsidP="00A52AEE"/>
    <w:p w14:paraId="66C38500" w14:textId="77777777" w:rsidR="007E698B" w:rsidRPr="00A52AEE" w:rsidRDefault="007E698B" w:rsidP="00A52AEE">
      <w:pPr>
        <w:rPr>
          <w:rFonts w:cs="Arial"/>
        </w:rPr>
      </w:pPr>
      <w:r w:rsidRPr="00A52AEE">
        <w:rPr>
          <w:noProof/>
          <w:lang w:eastAsia="en-GB"/>
        </w:rPr>
        <w:drawing>
          <wp:inline distT="0" distB="0" distL="0" distR="0" wp14:anchorId="6FDE0473" wp14:editId="4544AD45">
            <wp:extent cx="6133691" cy="4248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69435" cy="4272906"/>
                    </a:xfrm>
                    <a:prstGeom prst="rect">
                      <a:avLst/>
                    </a:prstGeom>
                  </pic:spPr>
                </pic:pic>
              </a:graphicData>
            </a:graphic>
          </wp:inline>
        </w:drawing>
      </w:r>
    </w:p>
    <w:p w14:paraId="75D23AA5" w14:textId="77777777" w:rsidR="007E698B" w:rsidRPr="00A52AEE" w:rsidRDefault="007E698B" w:rsidP="00A52AEE"/>
    <w:p w14:paraId="1D20D07E" w14:textId="77777777" w:rsidR="007E698B" w:rsidRPr="00A52AEE" w:rsidRDefault="007E698B" w:rsidP="00A52AEE"/>
    <w:p w14:paraId="6B5A9DAA" w14:textId="0EEB31B1" w:rsidR="008469C0" w:rsidRPr="00A52AEE" w:rsidRDefault="007E698B" w:rsidP="00A52AEE">
      <w:r w:rsidRPr="00A52AEE">
        <w:br w:type="page"/>
      </w:r>
    </w:p>
    <w:p w14:paraId="56556F0D" w14:textId="511775AB" w:rsidR="006700B7" w:rsidRPr="00053A52" w:rsidRDefault="006700B7" w:rsidP="00A52AEE">
      <w:pPr>
        <w:rPr>
          <w:b/>
        </w:rPr>
      </w:pPr>
      <w:r w:rsidRPr="00053A52">
        <w:rPr>
          <w:b/>
        </w:rPr>
        <w:t xml:space="preserve">Table </w:t>
      </w:r>
      <w:r w:rsidR="0022142D">
        <w:rPr>
          <w:b/>
        </w:rPr>
        <w:t>39</w:t>
      </w:r>
      <w:r w:rsidRPr="00053A52">
        <w:rPr>
          <w:b/>
        </w:rPr>
        <w:t xml:space="preserve">: Achievement of </w:t>
      </w:r>
      <w:r w:rsidR="00E0079C" w:rsidRPr="00053A52">
        <w:rPr>
          <w:b/>
        </w:rPr>
        <w:t>2008-09 and 2009-10 full-time first degree entrants</w:t>
      </w:r>
      <w:r w:rsidRPr="00053A52">
        <w:rPr>
          <w:b/>
        </w:rPr>
        <w:t xml:space="preserve"> </w:t>
      </w:r>
    </w:p>
    <w:p w14:paraId="073CEF41" w14:textId="77777777" w:rsidR="00BA2C77" w:rsidRPr="00A52AEE" w:rsidRDefault="00BA2C77" w:rsidP="00A52AEE">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418"/>
        <w:gridCol w:w="1325"/>
        <w:gridCol w:w="1110"/>
        <w:gridCol w:w="1198"/>
        <w:gridCol w:w="1198"/>
      </w:tblGrid>
      <w:tr w:rsidR="00053A52" w:rsidRPr="00053A52" w14:paraId="15C69C48" w14:textId="0F989D1C" w:rsidTr="00053A52">
        <w:trPr>
          <w:trHeight w:val="859"/>
        </w:trPr>
        <w:tc>
          <w:tcPr>
            <w:tcW w:w="1213" w:type="pct"/>
            <w:shd w:val="clear" w:color="auto" w:fill="1F4E79" w:themeFill="accent1" w:themeFillShade="80"/>
            <w:noWrap/>
            <w:vAlign w:val="center"/>
            <w:hideMark/>
          </w:tcPr>
          <w:p w14:paraId="6D1FE68F" w14:textId="47B34C68" w:rsidR="00BA2C77" w:rsidRPr="00053A52" w:rsidRDefault="00BA2C77" w:rsidP="00053A52">
            <w:pPr>
              <w:rPr>
                <w:b/>
                <w:color w:val="FFFFFF" w:themeColor="background1"/>
                <w:lang w:eastAsia="en-GB"/>
              </w:rPr>
            </w:pPr>
            <w:r w:rsidRPr="00053A52">
              <w:rPr>
                <w:b/>
                <w:color w:val="FFFFFF" w:themeColor="background1"/>
                <w:lang w:eastAsia="en-GB"/>
              </w:rPr>
              <w:t>Achievement</w:t>
            </w:r>
          </w:p>
        </w:tc>
        <w:tc>
          <w:tcPr>
            <w:tcW w:w="1263" w:type="pct"/>
            <w:shd w:val="clear" w:color="auto" w:fill="1F4E79" w:themeFill="accent1" w:themeFillShade="80"/>
            <w:vAlign w:val="center"/>
            <w:hideMark/>
          </w:tcPr>
          <w:p w14:paraId="7BDCDCFA" w14:textId="77777777" w:rsidR="00BA2C77" w:rsidRPr="00053A52" w:rsidRDefault="00BA2C77" w:rsidP="00053A52">
            <w:pPr>
              <w:jc w:val="center"/>
              <w:rPr>
                <w:b/>
                <w:color w:val="FFFFFF" w:themeColor="background1"/>
                <w:lang w:eastAsia="en-GB"/>
              </w:rPr>
            </w:pPr>
            <w:r w:rsidRPr="00053A52">
              <w:rPr>
                <w:b/>
                <w:color w:val="FFFFFF" w:themeColor="background1"/>
                <w:lang w:eastAsia="en-GB"/>
              </w:rPr>
              <w:t>Total First Degree Entrants</w:t>
            </w:r>
          </w:p>
        </w:tc>
        <w:tc>
          <w:tcPr>
            <w:tcW w:w="692" w:type="pct"/>
            <w:shd w:val="clear" w:color="auto" w:fill="1F4E79" w:themeFill="accent1" w:themeFillShade="80"/>
            <w:vAlign w:val="center"/>
            <w:hideMark/>
          </w:tcPr>
          <w:p w14:paraId="63166BB6" w14:textId="77777777" w:rsidR="00BA2C77" w:rsidRPr="00053A52" w:rsidRDefault="00BA2C77" w:rsidP="00053A52">
            <w:pPr>
              <w:jc w:val="center"/>
              <w:rPr>
                <w:b/>
                <w:color w:val="FFFFFF" w:themeColor="background1"/>
                <w:lang w:eastAsia="en-GB"/>
              </w:rPr>
            </w:pPr>
            <w:r w:rsidRPr="00053A52">
              <w:rPr>
                <w:b/>
                <w:color w:val="FFFFFF" w:themeColor="background1"/>
                <w:lang w:eastAsia="en-GB"/>
              </w:rPr>
              <w:t>% Achieve First Degree</w:t>
            </w:r>
          </w:p>
        </w:tc>
        <w:tc>
          <w:tcPr>
            <w:tcW w:w="580" w:type="pct"/>
            <w:shd w:val="clear" w:color="auto" w:fill="1F4E79" w:themeFill="accent1" w:themeFillShade="80"/>
            <w:vAlign w:val="center"/>
            <w:hideMark/>
          </w:tcPr>
          <w:p w14:paraId="20E895C6" w14:textId="77777777" w:rsidR="00BA2C77" w:rsidRPr="00053A52" w:rsidRDefault="00BA2C77" w:rsidP="00053A52">
            <w:pPr>
              <w:jc w:val="center"/>
              <w:rPr>
                <w:b/>
                <w:color w:val="FFFFFF" w:themeColor="background1"/>
                <w:lang w:eastAsia="en-GB"/>
              </w:rPr>
            </w:pPr>
            <w:r w:rsidRPr="00053A52">
              <w:rPr>
                <w:b/>
                <w:color w:val="FFFFFF" w:themeColor="background1"/>
                <w:lang w:eastAsia="en-GB"/>
              </w:rPr>
              <w:t>% Achieve Lower Award</w:t>
            </w:r>
          </w:p>
        </w:tc>
        <w:tc>
          <w:tcPr>
            <w:tcW w:w="626" w:type="pct"/>
            <w:shd w:val="clear" w:color="auto" w:fill="1F4E79" w:themeFill="accent1" w:themeFillShade="80"/>
          </w:tcPr>
          <w:p w14:paraId="598412A5" w14:textId="75F50BFF" w:rsidR="00BA2C77" w:rsidRPr="00053A52" w:rsidRDefault="00BA2C77" w:rsidP="00053A52">
            <w:pPr>
              <w:jc w:val="center"/>
              <w:rPr>
                <w:b/>
                <w:color w:val="FFFFFF" w:themeColor="background1"/>
                <w:lang w:eastAsia="en-GB"/>
              </w:rPr>
            </w:pPr>
            <w:r w:rsidRPr="00053A52">
              <w:rPr>
                <w:b/>
                <w:color w:val="FFFFFF" w:themeColor="background1"/>
                <w:lang w:eastAsia="en-GB"/>
              </w:rPr>
              <w:t>% Achieve an HE award</w:t>
            </w:r>
          </w:p>
        </w:tc>
        <w:tc>
          <w:tcPr>
            <w:tcW w:w="626" w:type="pct"/>
            <w:shd w:val="clear" w:color="auto" w:fill="1F4E79" w:themeFill="accent1" w:themeFillShade="80"/>
            <w:vAlign w:val="center"/>
          </w:tcPr>
          <w:p w14:paraId="6CCFFC6F" w14:textId="570798F7" w:rsidR="00BA2C77" w:rsidRPr="00053A52" w:rsidRDefault="00BA2C77" w:rsidP="00053A52">
            <w:pPr>
              <w:jc w:val="center"/>
              <w:rPr>
                <w:b/>
                <w:color w:val="FFFFFF" w:themeColor="background1"/>
                <w:lang w:eastAsia="en-GB"/>
              </w:rPr>
            </w:pPr>
            <w:r w:rsidRPr="00053A52">
              <w:rPr>
                <w:b/>
                <w:color w:val="FFFFFF" w:themeColor="background1"/>
                <w:lang w:eastAsia="en-GB"/>
              </w:rPr>
              <w:t>% Achieve no Award</w:t>
            </w:r>
          </w:p>
        </w:tc>
      </w:tr>
      <w:tr w:rsidR="00BA2C77" w:rsidRPr="00A52AEE" w14:paraId="08059C11" w14:textId="0214102F" w:rsidTr="00053A52">
        <w:trPr>
          <w:trHeight w:val="300"/>
        </w:trPr>
        <w:tc>
          <w:tcPr>
            <w:tcW w:w="1213" w:type="pct"/>
            <w:shd w:val="clear" w:color="auto" w:fill="auto"/>
            <w:noWrap/>
            <w:vAlign w:val="bottom"/>
            <w:hideMark/>
          </w:tcPr>
          <w:p w14:paraId="7F663757" w14:textId="77777777" w:rsidR="00BA2C77" w:rsidRPr="005D104D" w:rsidRDefault="00BA2C77" w:rsidP="00A52AEE">
            <w:pPr>
              <w:rPr>
                <w:b/>
                <w:lang w:eastAsia="en-GB"/>
              </w:rPr>
            </w:pPr>
            <w:r w:rsidRPr="005D104D">
              <w:rPr>
                <w:b/>
                <w:lang w:eastAsia="en-GB"/>
              </w:rPr>
              <w:t>All FE Level 3</w:t>
            </w:r>
          </w:p>
        </w:tc>
        <w:tc>
          <w:tcPr>
            <w:tcW w:w="1263" w:type="pct"/>
            <w:shd w:val="clear" w:color="auto" w:fill="auto"/>
            <w:noWrap/>
            <w:vAlign w:val="bottom"/>
            <w:hideMark/>
          </w:tcPr>
          <w:p w14:paraId="0F6605DC" w14:textId="77777777" w:rsidR="00BA2C77" w:rsidRPr="00A52AEE" w:rsidRDefault="00BA2C77" w:rsidP="00053A52">
            <w:pPr>
              <w:jc w:val="right"/>
              <w:rPr>
                <w:lang w:eastAsia="en-GB"/>
              </w:rPr>
            </w:pPr>
            <w:r w:rsidRPr="00A52AEE">
              <w:rPr>
                <w:lang w:eastAsia="en-GB"/>
              </w:rPr>
              <w:t>29175</w:t>
            </w:r>
          </w:p>
        </w:tc>
        <w:tc>
          <w:tcPr>
            <w:tcW w:w="692" w:type="pct"/>
            <w:shd w:val="clear" w:color="auto" w:fill="auto"/>
            <w:noWrap/>
            <w:vAlign w:val="bottom"/>
            <w:hideMark/>
          </w:tcPr>
          <w:p w14:paraId="57FB8922" w14:textId="77777777" w:rsidR="00BA2C77" w:rsidRPr="00A52AEE" w:rsidRDefault="00BA2C77" w:rsidP="00053A52">
            <w:pPr>
              <w:jc w:val="right"/>
              <w:rPr>
                <w:lang w:eastAsia="en-GB"/>
              </w:rPr>
            </w:pPr>
            <w:r w:rsidRPr="00A52AEE">
              <w:rPr>
                <w:lang w:eastAsia="en-GB"/>
              </w:rPr>
              <w:t>66%</w:t>
            </w:r>
          </w:p>
        </w:tc>
        <w:tc>
          <w:tcPr>
            <w:tcW w:w="580" w:type="pct"/>
            <w:shd w:val="clear" w:color="auto" w:fill="auto"/>
            <w:noWrap/>
            <w:vAlign w:val="bottom"/>
            <w:hideMark/>
          </w:tcPr>
          <w:p w14:paraId="1DFCD860" w14:textId="77777777" w:rsidR="00BA2C77" w:rsidRPr="00A52AEE" w:rsidRDefault="00BA2C77" w:rsidP="00053A52">
            <w:pPr>
              <w:jc w:val="right"/>
              <w:rPr>
                <w:lang w:eastAsia="en-GB"/>
              </w:rPr>
            </w:pPr>
            <w:r w:rsidRPr="00A52AEE">
              <w:rPr>
                <w:lang w:eastAsia="en-GB"/>
              </w:rPr>
              <w:t>11%</w:t>
            </w:r>
          </w:p>
        </w:tc>
        <w:tc>
          <w:tcPr>
            <w:tcW w:w="626" w:type="pct"/>
          </w:tcPr>
          <w:p w14:paraId="47AA24C5" w14:textId="63792CEF" w:rsidR="00BA2C77" w:rsidRPr="00A52AEE" w:rsidRDefault="00BA2C77" w:rsidP="00053A52">
            <w:pPr>
              <w:jc w:val="right"/>
              <w:rPr>
                <w:lang w:eastAsia="en-GB"/>
              </w:rPr>
            </w:pPr>
            <w:r w:rsidRPr="00A52AEE">
              <w:rPr>
                <w:lang w:eastAsia="en-GB"/>
              </w:rPr>
              <w:t>77%</w:t>
            </w:r>
          </w:p>
        </w:tc>
        <w:tc>
          <w:tcPr>
            <w:tcW w:w="626" w:type="pct"/>
            <w:vAlign w:val="bottom"/>
          </w:tcPr>
          <w:p w14:paraId="56BD973E" w14:textId="3ACC38C1" w:rsidR="00BA2C77" w:rsidRPr="00A52AEE" w:rsidRDefault="00BA2C77" w:rsidP="00053A52">
            <w:pPr>
              <w:jc w:val="right"/>
              <w:rPr>
                <w:lang w:eastAsia="en-GB"/>
              </w:rPr>
            </w:pPr>
            <w:r w:rsidRPr="00A52AEE">
              <w:rPr>
                <w:lang w:eastAsia="en-GB"/>
              </w:rPr>
              <w:t>23%</w:t>
            </w:r>
          </w:p>
        </w:tc>
      </w:tr>
      <w:tr w:rsidR="00BA2C77" w:rsidRPr="00A52AEE" w14:paraId="209E6B4D" w14:textId="425FF9E5" w:rsidTr="00053A52">
        <w:trPr>
          <w:trHeight w:val="300"/>
        </w:trPr>
        <w:tc>
          <w:tcPr>
            <w:tcW w:w="1213" w:type="pct"/>
            <w:shd w:val="clear" w:color="auto" w:fill="auto"/>
            <w:noWrap/>
            <w:vAlign w:val="bottom"/>
            <w:hideMark/>
          </w:tcPr>
          <w:p w14:paraId="5A40ECB3" w14:textId="77777777" w:rsidR="00BA2C77" w:rsidRPr="00A52AEE" w:rsidRDefault="00BA2C77" w:rsidP="00A52AEE">
            <w:pPr>
              <w:rPr>
                <w:lang w:eastAsia="en-GB"/>
              </w:rPr>
            </w:pPr>
            <w:r w:rsidRPr="00A52AEE">
              <w:rPr>
                <w:lang w:eastAsia="en-GB"/>
              </w:rPr>
              <w:t> </w:t>
            </w:r>
          </w:p>
        </w:tc>
        <w:tc>
          <w:tcPr>
            <w:tcW w:w="1263" w:type="pct"/>
            <w:shd w:val="clear" w:color="auto" w:fill="auto"/>
            <w:noWrap/>
            <w:vAlign w:val="bottom"/>
            <w:hideMark/>
          </w:tcPr>
          <w:p w14:paraId="07C57588" w14:textId="77777777" w:rsidR="00BA2C77" w:rsidRPr="00A52AEE" w:rsidRDefault="00BA2C77" w:rsidP="00053A52">
            <w:pPr>
              <w:jc w:val="right"/>
              <w:rPr>
                <w:lang w:eastAsia="en-GB"/>
              </w:rPr>
            </w:pPr>
            <w:r w:rsidRPr="00A52AEE">
              <w:rPr>
                <w:lang w:eastAsia="en-GB"/>
              </w:rPr>
              <w:t> </w:t>
            </w:r>
          </w:p>
        </w:tc>
        <w:tc>
          <w:tcPr>
            <w:tcW w:w="692" w:type="pct"/>
            <w:shd w:val="clear" w:color="auto" w:fill="auto"/>
            <w:noWrap/>
            <w:vAlign w:val="bottom"/>
            <w:hideMark/>
          </w:tcPr>
          <w:p w14:paraId="3D3AA877" w14:textId="77777777" w:rsidR="00BA2C77" w:rsidRPr="00A52AEE" w:rsidRDefault="00BA2C77" w:rsidP="00053A52">
            <w:pPr>
              <w:jc w:val="right"/>
              <w:rPr>
                <w:lang w:eastAsia="en-GB"/>
              </w:rPr>
            </w:pPr>
            <w:r w:rsidRPr="00A52AEE">
              <w:rPr>
                <w:lang w:eastAsia="en-GB"/>
              </w:rPr>
              <w:t> </w:t>
            </w:r>
          </w:p>
        </w:tc>
        <w:tc>
          <w:tcPr>
            <w:tcW w:w="580" w:type="pct"/>
            <w:shd w:val="clear" w:color="auto" w:fill="auto"/>
            <w:noWrap/>
            <w:vAlign w:val="bottom"/>
            <w:hideMark/>
          </w:tcPr>
          <w:p w14:paraId="3B50AA34" w14:textId="77777777" w:rsidR="00BA2C77" w:rsidRPr="00A52AEE" w:rsidRDefault="00BA2C77" w:rsidP="00053A52">
            <w:pPr>
              <w:jc w:val="right"/>
              <w:rPr>
                <w:lang w:eastAsia="en-GB"/>
              </w:rPr>
            </w:pPr>
            <w:r w:rsidRPr="00A52AEE">
              <w:rPr>
                <w:lang w:eastAsia="en-GB"/>
              </w:rPr>
              <w:t> </w:t>
            </w:r>
          </w:p>
        </w:tc>
        <w:tc>
          <w:tcPr>
            <w:tcW w:w="626" w:type="pct"/>
          </w:tcPr>
          <w:p w14:paraId="0296D982" w14:textId="77777777" w:rsidR="00BA2C77" w:rsidRPr="00A52AEE" w:rsidRDefault="00BA2C77" w:rsidP="00053A52">
            <w:pPr>
              <w:jc w:val="right"/>
              <w:rPr>
                <w:lang w:eastAsia="en-GB"/>
              </w:rPr>
            </w:pPr>
          </w:p>
        </w:tc>
        <w:tc>
          <w:tcPr>
            <w:tcW w:w="626" w:type="pct"/>
            <w:vAlign w:val="bottom"/>
          </w:tcPr>
          <w:p w14:paraId="7702A4E6" w14:textId="65517F8B" w:rsidR="00BA2C77" w:rsidRPr="00A52AEE" w:rsidRDefault="00BA2C77" w:rsidP="00053A52">
            <w:pPr>
              <w:jc w:val="right"/>
              <w:rPr>
                <w:lang w:eastAsia="en-GB"/>
              </w:rPr>
            </w:pPr>
            <w:r w:rsidRPr="00A52AEE">
              <w:rPr>
                <w:lang w:eastAsia="en-GB"/>
              </w:rPr>
              <w:t> </w:t>
            </w:r>
          </w:p>
        </w:tc>
      </w:tr>
      <w:tr w:rsidR="00BA2C77" w:rsidRPr="00A52AEE" w14:paraId="3ABDB419" w14:textId="3B7CFC2C" w:rsidTr="00053A52">
        <w:trPr>
          <w:trHeight w:val="300"/>
        </w:trPr>
        <w:tc>
          <w:tcPr>
            <w:tcW w:w="1213" w:type="pct"/>
            <w:shd w:val="clear" w:color="auto" w:fill="auto"/>
            <w:noWrap/>
            <w:vAlign w:val="bottom"/>
            <w:hideMark/>
          </w:tcPr>
          <w:p w14:paraId="78873DB7" w14:textId="77777777" w:rsidR="00BA2C77" w:rsidRPr="005D104D" w:rsidRDefault="00BA2C77" w:rsidP="00A52AEE">
            <w:pPr>
              <w:rPr>
                <w:b/>
                <w:lang w:eastAsia="en-GB"/>
              </w:rPr>
            </w:pPr>
            <w:r w:rsidRPr="005D104D">
              <w:rPr>
                <w:b/>
                <w:lang w:eastAsia="en-GB"/>
              </w:rPr>
              <w:t>By Delivery:</w:t>
            </w:r>
          </w:p>
        </w:tc>
        <w:tc>
          <w:tcPr>
            <w:tcW w:w="1263" w:type="pct"/>
            <w:shd w:val="clear" w:color="auto" w:fill="auto"/>
            <w:noWrap/>
            <w:vAlign w:val="bottom"/>
            <w:hideMark/>
          </w:tcPr>
          <w:p w14:paraId="77578007" w14:textId="77777777" w:rsidR="00BA2C77" w:rsidRPr="00A52AEE" w:rsidRDefault="00BA2C77" w:rsidP="00053A52">
            <w:pPr>
              <w:jc w:val="right"/>
              <w:rPr>
                <w:lang w:eastAsia="en-GB"/>
              </w:rPr>
            </w:pPr>
            <w:r w:rsidRPr="00A52AEE">
              <w:rPr>
                <w:lang w:eastAsia="en-GB"/>
              </w:rPr>
              <w:t> </w:t>
            </w:r>
          </w:p>
        </w:tc>
        <w:tc>
          <w:tcPr>
            <w:tcW w:w="692" w:type="pct"/>
            <w:shd w:val="clear" w:color="auto" w:fill="auto"/>
            <w:noWrap/>
            <w:vAlign w:val="bottom"/>
            <w:hideMark/>
          </w:tcPr>
          <w:p w14:paraId="72D771C5" w14:textId="77777777" w:rsidR="00BA2C77" w:rsidRPr="00A52AEE" w:rsidRDefault="00BA2C77" w:rsidP="00053A52">
            <w:pPr>
              <w:jc w:val="right"/>
              <w:rPr>
                <w:lang w:eastAsia="en-GB"/>
              </w:rPr>
            </w:pPr>
            <w:r w:rsidRPr="00A52AEE">
              <w:rPr>
                <w:lang w:eastAsia="en-GB"/>
              </w:rPr>
              <w:t> </w:t>
            </w:r>
          </w:p>
        </w:tc>
        <w:tc>
          <w:tcPr>
            <w:tcW w:w="580" w:type="pct"/>
            <w:shd w:val="clear" w:color="auto" w:fill="auto"/>
            <w:noWrap/>
            <w:vAlign w:val="bottom"/>
            <w:hideMark/>
          </w:tcPr>
          <w:p w14:paraId="4E7A0925" w14:textId="77777777" w:rsidR="00BA2C77" w:rsidRPr="00A52AEE" w:rsidRDefault="00BA2C77" w:rsidP="00053A52">
            <w:pPr>
              <w:jc w:val="right"/>
              <w:rPr>
                <w:lang w:eastAsia="en-GB"/>
              </w:rPr>
            </w:pPr>
            <w:r w:rsidRPr="00A52AEE">
              <w:rPr>
                <w:lang w:eastAsia="en-GB"/>
              </w:rPr>
              <w:t> </w:t>
            </w:r>
          </w:p>
        </w:tc>
        <w:tc>
          <w:tcPr>
            <w:tcW w:w="626" w:type="pct"/>
          </w:tcPr>
          <w:p w14:paraId="07F07D7C" w14:textId="77777777" w:rsidR="00BA2C77" w:rsidRPr="00A52AEE" w:rsidRDefault="00BA2C77" w:rsidP="00053A52">
            <w:pPr>
              <w:jc w:val="right"/>
              <w:rPr>
                <w:lang w:eastAsia="en-GB"/>
              </w:rPr>
            </w:pPr>
          </w:p>
        </w:tc>
        <w:tc>
          <w:tcPr>
            <w:tcW w:w="626" w:type="pct"/>
            <w:vAlign w:val="bottom"/>
          </w:tcPr>
          <w:p w14:paraId="44E2FE20" w14:textId="7022F3D1" w:rsidR="00BA2C77" w:rsidRPr="00A52AEE" w:rsidRDefault="00BA2C77" w:rsidP="00053A52">
            <w:pPr>
              <w:jc w:val="right"/>
              <w:rPr>
                <w:lang w:eastAsia="en-GB"/>
              </w:rPr>
            </w:pPr>
            <w:r w:rsidRPr="00A52AEE">
              <w:rPr>
                <w:lang w:eastAsia="en-GB"/>
              </w:rPr>
              <w:t> </w:t>
            </w:r>
          </w:p>
        </w:tc>
      </w:tr>
      <w:tr w:rsidR="00BA2C77" w:rsidRPr="00A52AEE" w14:paraId="55B97D96" w14:textId="533BD8CE" w:rsidTr="00053A52">
        <w:trPr>
          <w:trHeight w:val="300"/>
        </w:trPr>
        <w:tc>
          <w:tcPr>
            <w:tcW w:w="1213" w:type="pct"/>
            <w:shd w:val="clear" w:color="auto" w:fill="auto"/>
            <w:noWrap/>
            <w:vAlign w:val="bottom"/>
            <w:hideMark/>
          </w:tcPr>
          <w:p w14:paraId="1AB2ECE4" w14:textId="77777777" w:rsidR="00BA2C77" w:rsidRPr="00A52AEE" w:rsidRDefault="00BA2C77" w:rsidP="00A52AEE">
            <w:pPr>
              <w:rPr>
                <w:lang w:eastAsia="en-GB"/>
              </w:rPr>
            </w:pPr>
            <w:r w:rsidRPr="00A52AEE">
              <w:rPr>
                <w:lang w:eastAsia="en-GB"/>
              </w:rPr>
              <w:t>FE College</w:t>
            </w:r>
          </w:p>
        </w:tc>
        <w:tc>
          <w:tcPr>
            <w:tcW w:w="1263" w:type="pct"/>
            <w:shd w:val="clear" w:color="auto" w:fill="auto"/>
            <w:noWrap/>
            <w:vAlign w:val="bottom"/>
            <w:hideMark/>
          </w:tcPr>
          <w:p w14:paraId="5D369715" w14:textId="77777777" w:rsidR="00BA2C77" w:rsidRPr="00A52AEE" w:rsidRDefault="00BA2C77" w:rsidP="00053A52">
            <w:pPr>
              <w:jc w:val="right"/>
              <w:rPr>
                <w:lang w:eastAsia="en-GB"/>
              </w:rPr>
            </w:pPr>
            <w:r w:rsidRPr="00A52AEE">
              <w:rPr>
                <w:lang w:eastAsia="en-GB"/>
              </w:rPr>
              <w:t>685</w:t>
            </w:r>
          </w:p>
        </w:tc>
        <w:tc>
          <w:tcPr>
            <w:tcW w:w="692" w:type="pct"/>
            <w:shd w:val="clear" w:color="auto" w:fill="auto"/>
            <w:noWrap/>
            <w:vAlign w:val="bottom"/>
            <w:hideMark/>
          </w:tcPr>
          <w:p w14:paraId="124ED992" w14:textId="77777777" w:rsidR="00BA2C77" w:rsidRPr="00A52AEE" w:rsidRDefault="00BA2C77" w:rsidP="00053A52">
            <w:pPr>
              <w:jc w:val="right"/>
              <w:rPr>
                <w:lang w:eastAsia="en-GB"/>
              </w:rPr>
            </w:pPr>
            <w:r w:rsidRPr="00A52AEE">
              <w:rPr>
                <w:lang w:eastAsia="en-GB"/>
              </w:rPr>
              <w:t>41%</w:t>
            </w:r>
          </w:p>
        </w:tc>
        <w:tc>
          <w:tcPr>
            <w:tcW w:w="580" w:type="pct"/>
            <w:shd w:val="clear" w:color="auto" w:fill="auto"/>
            <w:noWrap/>
            <w:vAlign w:val="bottom"/>
            <w:hideMark/>
          </w:tcPr>
          <w:p w14:paraId="1943B668" w14:textId="77777777" w:rsidR="00BA2C77" w:rsidRPr="00A52AEE" w:rsidRDefault="00BA2C77" w:rsidP="00053A52">
            <w:pPr>
              <w:jc w:val="right"/>
              <w:rPr>
                <w:lang w:eastAsia="en-GB"/>
              </w:rPr>
            </w:pPr>
            <w:r w:rsidRPr="00A52AEE">
              <w:rPr>
                <w:lang w:eastAsia="en-GB"/>
              </w:rPr>
              <w:t>11%</w:t>
            </w:r>
          </w:p>
        </w:tc>
        <w:tc>
          <w:tcPr>
            <w:tcW w:w="626" w:type="pct"/>
          </w:tcPr>
          <w:p w14:paraId="275FDB4C" w14:textId="3ABDC1F0" w:rsidR="00BA2C77" w:rsidRPr="00A52AEE" w:rsidRDefault="00BA2C77" w:rsidP="00053A52">
            <w:pPr>
              <w:jc w:val="right"/>
              <w:rPr>
                <w:lang w:eastAsia="en-GB"/>
              </w:rPr>
            </w:pPr>
            <w:r w:rsidRPr="00A52AEE">
              <w:rPr>
                <w:lang w:eastAsia="en-GB"/>
              </w:rPr>
              <w:t>52%</w:t>
            </w:r>
          </w:p>
        </w:tc>
        <w:tc>
          <w:tcPr>
            <w:tcW w:w="626" w:type="pct"/>
            <w:vAlign w:val="bottom"/>
          </w:tcPr>
          <w:p w14:paraId="39F9461B" w14:textId="300ABF76" w:rsidR="00BA2C77" w:rsidRPr="00A52AEE" w:rsidRDefault="00BA2C77" w:rsidP="00053A52">
            <w:pPr>
              <w:jc w:val="right"/>
              <w:rPr>
                <w:lang w:eastAsia="en-GB"/>
              </w:rPr>
            </w:pPr>
            <w:r w:rsidRPr="00A52AEE">
              <w:rPr>
                <w:lang w:eastAsia="en-GB"/>
              </w:rPr>
              <w:t>48%</w:t>
            </w:r>
          </w:p>
        </w:tc>
      </w:tr>
      <w:tr w:rsidR="00BA2C77" w:rsidRPr="00A52AEE" w14:paraId="32456BB8" w14:textId="2B034989" w:rsidTr="00053A52">
        <w:trPr>
          <w:trHeight w:val="300"/>
        </w:trPr>
        <w:tc>
          <w:tcPr>
            <w:tcW w:w="1213" w:type="pct"/>
            <w:shd w:val="clear" w:color="auto" w:fill="auto"/>
            <w:noWrap/>
            <w:vAlign w:val="bottom"/>
            <w:hideMark/>
          </w:tcPr>
          <w:p w14:paraId="4813BA1C" w14:textId="77777777" w:rsidR="00BA2C77" w:rsidRPr="00A52AEE" w:rsidRDefault="00BA2C77" w:rsidP="00A52AEE">
            <w:pPr>
              <w:rPr>
                <w:lang w:eastAsia="en-GB"/>
              </w:rPr>
            </w:pPr>
            <w:r w:rsidRPr="00A52AEE">
              <w:rPr>
                <w:lang w:eastAsia="en-GB"/>
              </w:rPr>
              <w:t>University</w:t>
            </w:r>
          </w:p>
        </w:tc>
        <w:tc>
          <w:tcPr>
            <w:tcW w:w="1263" w:type="pct"/>
            <w:shd w:val="clear" w:color="auto" w:fill="auto"/>
            <w:noWrap/>
            <w:vAlign w:val="bottom"/>
            <w:hideMark/>
          </w:tcPr>
          <w:p w14:paraId="37D79D1D" w14:textId="77777777" w:rsidR="00BA2C77" w:rsidRPr="00A52AEE" w:rsidRDefault="00BA2C77" w:rsidP="00053A52">
            <w:pPr>
              <w:jc w:val="right"/>
              <w:rPr>
                <w:lang w:eastAsia="en-GB"/>
              </w:rPr>
            </w:pPr>
            <w:r w:rsidRPr="00A52AEE">
              <w:rPr>
                <w:lang w:eastAsia="en-GB"/>
              </w:rPr>
              <w:t>28490</w:t>
            </w:r>
          </w:p>
        </w:tc>
        <w:tc>
          <w:tcPr>
            <w:tcW w:w="692" w:type="pct"/>
            <w:shd w:val="clear" w:color="auto" w:fill="auto"/>
            <w:noWrap/>
            <w:vAlign w:val="bottom"/>
            <w:hideMark/>
          </w:tcPr>
          <w:p w14:paraId="65B32C50" w14:textId="77777777" w:rsidR="00BA2C77" w:rsidRPr="00A52AEE" w:rsidRDefault="00BA2C77" w:rsidP="00053A52">
            <w:pPr>
              <w:jc w:val="right"/>
              <w:rPr>
                <w:lang w:eastAsia="en-GB"/>
              </w:rPr>
            </w:pPr>
            <w:r w:rsidRPr="00A52AEE">
              <w:rPr>
                <w:lang w:eastAsia="en-GB"/>
              </w:rPr>
              <w:t>66%</w:t>
            </w:r>
          </w:p>
        </w:tc>
        <w:tc>
          <w:tcPr>
            <w:tcW w:w="580" w:type="pct"/>
            <w:shd w:val="clear" w:color="auto" w:fill="auto"/>
            <w:noWrap/>
            <w:vAlign w:val="bottom"/>
            <w:hideMark/>
          </w:tcPr>
          <w:p w14:paraId="19BAE73A" w14:textId="77777777" w:rsidR="00BA2C77" w:rsidRPr="00A52AEE" w:rsidRDefault="00BA2C77" w:rsidP="00053A52">
            <w:pPr>
              <w:jc w:val="right"/>
              <w:rPr>
                <w:lang w:eastAsia="en-GB"/>
              </w:rPr>
            </w:pPr>
            <w:r w:rsidRPr="00A52AEE">
              <w:rPr>
                <w:lang w:eastAsia="en-GB"/>
              </w:rPr>
              <w:t>11%</w:t>
            </w:r>
          </w:p>
        </w:tc>
        <w:tc>
          <w:tcPr>
            <w:tcW w:w="626" w:type="pct"/>
          </w:tcPr>
          <w:p w14:paraId="1FF7A8EF" w14:textId="1CC5EA5C" w:rsidR="00BA2C77" w:rsidRPr="00A52AEE" w:rsidRDefault="00BA2C77" w:rsidP="00053A52">
            <w:pPr>
              <w:jc w:val="right"/>
              <w:rPr>
                <w:lang w:eastAsia="en-GB"/>
              </w:rPr>
            </w:pPr>
            <w:r w:rsidRPr="00A52AEE">
              <w:rPr>
                <w:lang w:eastAsia="en-GB"/>
              </w:rPr>
              <w:t>77%</w:t>
            </w:r>
          </w:p>
        </w:tc>
        <w:tc>
          <w:tcPr>
            <w:tcW w:w="626" w:type="pct"/>
            <w:vAlign w:val="bottom"/>
          </w:tcPr>
          <w:p w14:paraId="3828CA70" w14:textId="236CCCC0" w:rsidR="00BA2C77" w:rsidRPr="00A52AEE" w:rsidRDefault="00BA2C77" w:rsidP="00053A52">
            <w:pPr>
              <w:jc w:val="right"/>
              <w:rPr>
                <w:lang w:eastAsia="en-GB"/>
              </w:rPr>
            </w:pPr>
            <w:r w:rsidRPr="00A52AEE">
              <w:rPr>
                <w:lang w:eastAsia="en-GB"/>
              </w:rPr>
              <w:t>22%</w:t>
            </w:r>
          </w:p>
        </w:tc>
      </w:tr>
      <w:tr w:rsidR="00BA2C77" w:rsidRPr="00A52AEE" w14:paraId="0F72A6DE" w14:textId="0FEAF0F9" w:rsidTr="00053A52">
        <w:trPr>
          <w:trHeight w:val="300"/>
        </w:trPr>
        <w:tc>
          <w:tcPr>
            <w:tcW w:w="1213" w:type="pct"/>
            <w:shd w:val="clear" w:color="auto" w:fill="auto"/>
            <w:noWrap/>
            <w:vAlign w:val="bottom"/>
            <w:hideMark/>
          </w:tcPr>
          <w:p w14:paraId="2C424EE8" w14:textId="77777777" w:rsidR="00BA2C77" w:rsidRPr="00A52AEE" w:rsidRDefault="00BA2C77" w:rsidP="00A52AEE">
            <w:pPr>
              <w:rPr>
                <w:lang w:eastAsia="en-GB"/>
              </w:rPr>
            </w:pPr>
            <w:r w:rsidRPr="00A52AEE">
              <w:rPr>
                <w:lang w:eastAsia="en-GB"/>
              </w:rPr>
              <w:t> </w:t>
            </w:r>
          </w:p>
        </w:tc>
        <w:tc>
          <w:tcPr>
            <w:tcW w:w="1263" w:type="pct"/>
            <w:shd w:val="clear" w:color="auto" w:fill="auto"/>
            <w:noWrap/>
            <w:vAlign w:val="bottom"/>
            <w:hideMark/>
          </w:tcPr>
          <w:p w14:paraId="06D9E4B0" w14:textId="77777777" w:rsidR="00BA2C77" w:rsidRPr="00A52AEE" w:rsidRDefault="00BA2C77" w:rsidP="00053A52">
            <w:pPr>
              <w:jc w:val="right"/>
              <w:rPr>
                <w:lang w:eastAsia="en-GB"/>
              </w:rPr>
            </w:pPr>
            <w:r w:rsidRPr="00A52AEE">
              <w:rPr>
                <w:lang w:eastAsia="en-GB"/>
              </w:rPr>
              <w:t> </w:t>
            </w:r>
          </w:p>
        </w:tc>
        <w:tc>
          <w:tcPr>
            <w:tcW w:w="692" w:type="pct"/>
            <w:shd w:val="clear" w:color="auto" w:fill="auto"/>
            <w:noWrap/>
            <w:vAlign w:val="bottom"/>
            <w:hideMark/>
          </w:tcPr>
          <w:p w14:paraId="7026F592" w14:textId="77777777" w:rsidR="00BA2C77" w:rsidRPr="00A52AEE" w:rsidRDefault="00BA2C77" w:rsidP="00053A52">
            <w:pPr>
              <w:jc w:val="right"/>
              <w:rPr>
                <w:lang w:eastAsia="en-GB"/>
              </w:rPr>
            </w:pPr>
            <w:r w:rsidRPr="00A52AEE">
              <w:rPr>
                <w:lang w:eastAsia="en-GB"/>
              </w:rPr>
              <w:t> </w:t>
            </w:r>
          </w:p>
        </w:tc>
        <w:tc>
          <w:tcPr>
            <w:tcW w:w="580" w:type="pct"/>
            <w:shd w:val="clear" w:color="auto" w:fill="auto"/>
            <w:noWrap/>
            <w:vAlign w:val="bottom"/>
            <w:hideMark/>
          </w:tcPr>
          <w:p w14:paraId="414BAE83" w14:textId="77777777" w:rsidR="00BA2C77" w:rsidRPr="00A52AEE" w:rsidRDefault="00BA2C77" w:rsidP="00053A52">
            <w:pPr>
              <w:jc w:val="right"/>
              <w:rPr>
                <w:lang w:eastAsia="en-GB"/>
              </w:rPr>
            </w:pPr>
            <w:r w:rsidRPr="00A52AEE">
              <w:rPr>
                <w:lang w:eastAsia="en-GB"/>
              </w:rPr>
              <w:t> </w:t>
            </w:r>
          </w:p>
        </w:tc>
        <w:tc>
          <w:tcPr>
            <w:tcW w:w="626" w:type="pct"/>
          </w:tcPr>
          <w:p w14:paraId="7B0152A7" w14:textId="77777777" w:rsidR="00BA2C77" w:rsidRPr="00A52AEE" w:rsidRDefault="00BA2C77" w:rsidP="00053A52">
            <w:pPr>
              <w:jc w:val="right"/>
              <w:rPr>
                <w:lang w:eastAsia="en-GB"/>
              </w:rPr>
            </w:pPr>
          </w:p>
        </w:tc>
        <w:tc>
          <w:tcPr>
            <w:tcW w:w="626" w:type="pct"/>
            <w:vAlign w:val="bottom"/>
          </w:tcPr>
          <w:p w14:paraId="432B4278" w14:textId="7B18A1BA" w:rsidR="00BA2C77" w:rsidRPr="00A52AEE" w:rsidRDefault="00BA2C77" w:rsidP="00053A52">
            <w:pPr>
              <w:jc w:val="right"/>
              <w:rPr>
                <w:lang w:eastAsia="en-GB"/>
              </w:rPr>
            </w:pPr>
            <w:r w:rsidRPr="00A52AEE">
              <w:rPr>
                <w:lang w:eastAsia="en-GB"/>
              </w:rPr>
              <w:t> </w:t>
            </w:r>
          </w:p>
        </w:tc>
      </w:tr>
      <w:tr w:rsidR="00BA2C77" w:rsidRPr="00A52AEE" w14:paraId="582E5040" w14:textId="6DA1D068" w:rsidTr="00053A52">
        <w:trPr>
          <w:trHeight w:val="300"/>
        </w:trPr>
        <w:tc>
          <w:tcPr>
            <w:tcW w:w="1213" w:type="pct"/>
            <w:shd w:val="clear" w:color="auto" w:fill="auto"/>
            <w:noWrap/>
            <w:vAlign w:val="bottom"/>
            <w:hideMark/>
          </w:tcPr>
          <w:p w14:paraId="3C784CDE" w14:textId="77777777" w:rsidR="00BA2C77" w:rsidRPr="005D104D" w:rsidRDefault="00BA2C77" w:rsidP="00A52AEE">
            <w:pPr>
              <w:rPr>
                <w:b/>
                <w:lang w:eastAsia="en-GB"/>
              </w:rPr>
            </w:pPr>
            <w:r w:rsidRPr="005D104D">
              <w:rPr>
                <w:b/>
                <w:lang w:eastAsia="en-GB"/>
              </w:rPr>
              <w:t>By FE Programme:</w:t>
            </w:r>
          </w:p>
        </w:tc>
        <w:tc>
          <w:tcPr>
            <w:tcW w:w="1263" w:type="pct"/>
            <w:shd w:val="clear" w:color="auto" w:fill="auto"/>
            <w:noWrap/>
            <w:vAlign w:val="bottom"/>
            <w:hideMark/>
          </w:tcPr>
          <w:p w14:paraId="6E29BFA8" w14:textId="77777777" w:rsidR="00BA2C77" w:rsidRPr="00A52AEE" w:rsidRDefault="00BA2C77" w:rsidP="00053A52">
            <w:pPr>
              <w:jc w:val="right"/>
              <w:rPr>
                <w:lang w:eastAsia="en-GB"/>
              </w:rPr>
            </w:pPr>
            <w:r w:rsidRPr="00A52AEE">
              <w:rPr>
                <w:lang w:eastAsia="en-GB"/>
              </w:rPr>
              <w:t> </w:t>
            </w:r>
          </w:p>
        </w:tc>
        <w:tc>
          <w:tcPr>
            <w:tcW w:w="692" w:type="pct"/>
            <w:shd w:val="clear" w:color="auto" w:fill="auto"/>
            <w:noWrap/>
            <w:vAlign w:val="bottom"/>
            <w:hideMark/>
          </w:tcPr>
          <w:p w14:paraId="52AA7628" w14:textId="77777777" w:rsidR="00BA2C77" w:rsidRPr="00A52AEE" w:rsidRDefault="00BA2C77" w:rsidP="00053A52">
            <w:pPr>
              <w:jc w:val="right"/>
              <w:rPr>
                <w:lang w:eastAsia="en-GB"/>
              </w:rPr>
            </w:pPr>
            <w:r w:rsidRPr="00A52AEE">
              <w:rPr>
                <w:lang w:eastAsia="en-GB"/>
              </w:rPr>
              <w:t> </w:t>
            </w:r>
          </w:p>
        </w:tc>
        <w:tc>
          <w:tcPr>
            <w:tcW w:w="580" w:type="pct"/>
            <w:shd w:val="clear" w:color="auto" w:fill="auto"/>
            <w:noWrap/>
            <w:vAlign w:val="bottom"/>
            <w:hideMark/>
          </w:tcPr>
          <w:p w14:paraId="0B4B05E8" w14:textId="77777777" w:rsidR="00BA2C77" w:rsidRPr="00A52AEE" w:rsidRDefault="00BA2C77" w:rsidP="00053A52">
            <w:pPr>
              <w:jc w:val="right"/>
              <w:rPr>
                <w:lang w:eastAsia="en-GB"/>
              </w:rPr>
            </w:pPr>
            <w:r w:rsidRPr="00A52AEE">
              <w:rPr>
                <w:lang w:eastAsia="en-GB"/>
              </w:rPr>
              <w:t> </w:t>
            </w:r>
          </w:p>
        </w:tc>
        <w:tc>
          <w:tcPr>
            <w:tcW w:w="626" w:type="pct"/>
          </w:tcPr>
          <w:p w14:paraId="59FCBB2B" w14:textId="77777777" w:rsidR="00BA2C77" w:rsidRPr="00A52AEE" w:rsidRDefault="00BA2C77" w:rsidP="00053A52">
            <w:pPr>
              <w:jc w:val="right"/>
              <w:rPr>
                <w:lang w:eastAsia="en-GB"/>
              </w:rPr>
            </w:pPr>
          </w:p>
        </w:tc>
        <w:tc>
          <w:tcPr>
            <w:tcW w:w="626" w:type="pct"/>
            <w:vAlign w:val="bottom"/>
          </w:tcPr>
          <w:p w14:paraId="73C50550" w14:textId="7CCCDB0F" w:rsidR="00BA2C77" w:rsidRPr="00A52AEE" w:rsidRDefault="00BA2C77" w:rsidP="00053A52">
            <w:pPr>
              <w:jc w:val="right"/>
              <w:rPr>
                <w:lang w:eastAsia="en-GB"/>
              </w:rPr>
            </w:pPr>
            <w:r w:rsidRPr="00A52AEE">
              <w:rPr>
                <w:lang w:eastAsia="en-GB"/>
              </w:rPr>
              <w:t> </w:t>
            </w:r>
          </w:p>
        </w:tc>
      </w:tr>
      <w:tr w:rsidR="00BA2C77" w:rsidRPr="00A52AEE" w14:paraId="5C5AD2C9" w14:textId="6869BEAD" w:rsidTr="00053A52">
        <w:trPr>
          <w:trHeight w:val="300"/>
        </w:trPr>
        <w:tc>
          <w:tcPr>
            <w:tcW w:w="1213" w:type="pct"/>
            <w:shd w:val="clear" w:color="auto" w:fill="auto"/>
            <w:noWrap/>
            <w:vAlign w:val="bottom"/>
            <w:hideMark/>
          </w:tcPr>
          <w:p w14:paraId="03C97F38" w14:textId="774BC8AA" w:rsidR="00BA2C77" w:rsidRPr="00A52AEE" w:rsidRDefault="00BA2C77" w:rsidP="00A52AEE">
            <w:pPr>
              <w:rPr>
                <w:lang w:eastAsia="en-GB"/>
              </w:rPr>
            </w:pPr>
            <w:r w:rsidRPr="00A52AEE">
              <w:rPr>
                <w:lang w:eastAsia="en-GB"/>
              </w:rPr>
              <w:t>Access to HE</w:t>
            </w:r>
          </w:p>
        </w:tc>
        <w:tc>
          <w:tcPr>
            <w:tcW w:w="1263" w:type="pct"/>
            <w:shd w:val="clear" w:color="auto" w:fill="auto"/>
            <w:noWrap/>
            <w:vAlign w:val="bottom"/>
            <w:hideMark/>
          </w:tcPr>
          <w:p w14:paraId="64224442" w14:textId="77777777" w:rsidR="00BA2C77" w:rsidRPr="00A52AEE" w:rsidRDefault="00BA2C77" w:rsidP="00053A52">
            <w:pPr>
              <w:jc w:val="right"/>
              <w:rPr>
                <w:lang w:eastAsia="en-GB"/>
              </w:rPr>
            </w:pPr>
            <w:r w:rsidRPr="00A52AEE">
              <w:rPr>
                <w:lang w:eastAsia="en-GB"/>
              </w:rPr>
              <w:t>5090</w:t>
            </w:r>
          </w:p>
        </w:tc>
        <w:tc>
          <w:tcPr>
            <w:tcW w:w="692" w:type="pct"/>
            <w:shd w:val="clear" w:color="auto" w:fill="auto"/>
            <w:noWrap/>
            <w:vAlign w:val="bottom"/>
            <w:hideMark/>
          </w:tcPr>
          <w:p w14:paraId="11A18BAB" w14:textId="77777777" w:rsidR="00BA2C77" w:rsidRPr="00A52AEE" w:rsidRDefault="00BA2C77" w:rsidP="00053A52">
            <w:pPr>
              <w:jc w:val="right"/>
              <w:rPr>
                <w:lang w:eastAsia="en-GB"/>
              </w:rPr>
            </w:pPr>
            <w:r w:rsidRPr="00A52AEE">
              <w:rPr>
                <w:lang w:eastAsia="en-GB"/>
              </w:rPr>
              <w:t>52%</w:t>
            </w:r>
          </w:p>
        </w:tc>
        <w:tc>
          <w:tcPr>
            <w:tcW w:w="580" w:type="pct"/>
            <w:shd w:val="clear" w:color="auto" w:fill="auto"/>
            <w:noWrap/>
            <w:vAlign w:val="bottom"/>
            <w:hideMark/>
          </w:tcPr>
          <w:p w14:paraId="7B71EB3F" w14:textId="77777777" w:rsidR="00BA2C77" w:rsidRPr="00A52AEE" w:rsidRDefault="00BA2C77" w:rsidP="00053A52">
            <w:pPr>
              <w:jc w:val="right"/>
              <w:rPr>
                <w:lang w:eastAsia="en-GB"/>
              </w:rPr>
            </w:pPr>
            <w:r w:rsidRPr="00A52AEE">
              <w:rPr>
                <w:lang w:eastAsia="en-GB"/>
              </w:rPr>
              <w:t>14%</w:t>
            </w:r>
          </w:p>
        </w:tc>
        <w:tc>
          <w:tcPr>
            <w:tcW w:w="626" w:type="pct"/>
          </w:tcPr>
          <w:p w14:paraId="13FC6D4C" w14:textId="6FBC7A8D" w:rsidR="00BA2C77" w:rsidRPr="00A52AEE" w:rsidRDefault="00BA2C77" w:rsidP="00053A52">
            <w:pPr>
              <w:jc w:val="right"/>
              <w:rPr>
                <w:lang w:eastAsia="en-GB"/>
              </w:rPr>
            </w:pPr>
            <w:r w:rsidRPr="00A52AEE">
              <w:rPr>
                <w:lang w:eastAsia="en-GB"/>
              </w:rPr>
              <w:t>66%</w:t>
            </w:r>
          </w:p>
        </w:tc>
        <w:tc>
          <w:tcPr>
            <w:tcW w:w="626" w:type="pct"/>
            <w:vAlign w:val="bottom"/>
          </w:tcPr>
          <w:p w14:paraId="3BC4F35A" w14:textId="4FA5500A" w:rsidR="00BA2C77" w:rsidRPr="00A52AEE" w:rsidRDefault="00BA2C77" w:rsidP="00053A52">
            <w:pPr>
              <w:jc w:val="right"/>
              <w:rPr>
                <w:lang w:eastAsia="en-GB"/>
              </w:rPr>
            </w:pPr>
            <w:r w:rsidRPr="00A52AEE">
              <w:rPr>
                <w:lang w:eastAsia="en-GB"/>
              </w:rPr>
              <w:t>34%</w:t>
            </w:r>
          </w:p>
        </w:tc>
      </w:tr>
      <w:tr w:rsidR="00BA2C77" w:rsidRPr="00A52AEE" w14:paraId="010852F6" w14:textId="0DB88AE1" w:rsidTr="00053A52">
        <w:trPr>
          <w:trHeight w:val="300"/>
        </w:trPr>
        <w:tc>
          <w:tcPr>
            <w:tcW w:w="1213" w:type="pct"/>
            <w:shd w:val="clear" w:color="auto" w:fill="auto"/>
            <w:noWrap/>
            <w:vAlign w:val="bottom"/>
            <w:hideMark/>
          </w:tcPr>
          <w:p w14:paraId="23554F73" w14:textId="77777777" w:rsidR="00BA2C77" w:rsidRPr="00A52AEE" w:rsidRDefault="00BA2C77" w:rsidP="00A52AEE">
            <w:pPr>
              <w:rPr>
                <w:lang w:eastAsia="en-GB"/>
              </w:rPr>
            </w:pPr>
            <w:r w:rsidRPr="00A52AEE">
              <w:rPr>
                <w:lang w:eastAsia="en-GB"/>
              </w:rPr>
              <w:t xml:space="preserve">BTEC </w:t>
            </w:r>
          </w:p>
        </w:tc>
        <w:tc>
          <w:tcPr>
            <w:tcW w:w="1263" w:type="pct"/>
            <w:shd w:val="clear" w:color="auto" w:fill="auto"/>
            <w:noWrap/>
            <w:vAlign w:val="bottom"/>
            <w:hideMark/>
          </w:tcPr>
          <w:p w14:paraId="1AD5ADDF" w14:textId="77777777" w:rsidR="00BA2C77" w:rsidRPr="00A52AEE" w:rsidRDefault="00BA2C77" w:rsidP="00053A52">
            <w:pPr>
              <w:jc w:val="right"/>
              <w:rPr>
                <w:lang w:eastAsia="en-GB"/>
              </w:rPr>
            </w:pPr>
            <w:r w:rsidRPr="00A52AEE">
              <w:rPr>
                <w:lang w:eastAsia="en-GB"/>
              </w:rPr>
              <w:t>9160</w:t>
            </w:r>
          </w:p>
        </w:tc>
        <w:tc>
          <w:tcPr>
            <w:tcW w:w="692" w:type="pct"/>
            <w:shd w:val="clear" w:color="auto" w:fill="auto"/>
            <w:noWrap/>
            <w:vAlign w:val="bottom"/>
            <w:hideMark/>
          </w:tcPr>
          <w:p w14:paraId="127BF53E" w14:textId="77777777" w:rsidR="00BA2C77" w:rsidRPr="00A52AEE" w:rsidRDefault="00BA2C77" w:rsidP="00053A52">
            <w:pPr>
              <w:jc w:val="right"/>
              <w:rPr>
                <w:lang w:eastAsia="en-GB"/>
              </w:rPr>
            </w:pPr>
            <w:r w:rsidRPr="00A52AEE">
              <w:rPr>
                <w:lang w:eastAsia="en-GB"/>
              </w:rPr>
              <w:t>56%</w:t>
            </w:r>
          </w:p>
        </w:tc>
        <w:tc>
          <w:tcPr>
            <w:tcW w:w="580" w:type="pct"/>
            <w:shd w:val="clear" w:color="auto" w:fill="auto"/>
            <w:noWrap/>
            <w:vAlign w:val="bottom"/>
            <w:hideMark/>
          </w:tcPr>
          <w:p w14:paraId="09E3BE4D" w14:textId="77777777" w:rsidR="00BA2C77" w:rsidRPr="00A52AEE" w:rsidRDefault="00BA2C77" w:rsidP="00053A52">
            <w:pPr>
              <w:jc w:val="right"/>
              <w:rPr>
                <w:lang w:eastAsia="en-GB"/>
              </w:rPr>
            </w:pPr>
            <w:r w:rsidRPr="00A52AEE">
              <w:rPr>
                <w:lang w:eastAsia="en-GB"/>
              </w:rPr>
              <w:t>14%</w:t>
            </w:r>
          </w:p>
        </w:tc>
        <w:tc>
          <w:tcPr>
            <w:tcW w:w="626" w:type="pct"/>
          </w:tcPr>
          <w:p w14:paraId="672FCA4D" w14:textId="2CB656BB" w:rsidR="00BA2C77" w:rsidRPr="00A52AEE" w:rsidRDefault="00BA2C77" w:rsidP="00053A52">
            <w:pPr>
              <w:jc w:val="right"/>
              <w:rPr>
                <w:lang w:eastAsia="en-GB"/>
              </w:rPr>
            </w:pPr>
            <w:r w:rsidRPr="00A52AEE">
              <w:rPr>
                <w:lang w:eastAsia="en-GB"/>
              </w:rPr>
              <w:t>70%</w:t>
            </w:r>
          </w:p>
        </w:tc>
        <w:tc>
          <w:tcPr>
            <w:tcW w:w="626" w:type="pct"/>
            <w:vAlign w:val="bottom"/>
          </w:tcPr>
          <w:p w14:paraId="7BB4A2A4" w14:textId="55F9B208" w:rsidR="00BA2C77" w:rsidRPr="00A52AEE" w:rsidRDefault="00BA2C77" w:rsidP="00053A52">
            <w:pPr>
              <w:jc w:val="right"/>
              <w:rPr>
                <w:lang w:eastAsia="en-GB"/>
              </w:rPr>
            </w:pPr>
            <w:r w:rsidRPr="00A52AEE">
              <w:rPr>
                <w:lang w:eastAsia="en-GB"/>
              </w:rPr>
              <w:t>30%</w:t>
            </w:r>
          </w:p>
        </w:tc>
      </w:tr>
      <w:tr w:rsidR="00BA2C77" w:rsidRPr="00A52AEE" w14:paraId="29943D58" w14:textId="5BD063AA" w:rsidTr="00053A52">
        <w:trPr>
          <w:trHeight w:val="300"/>
        </w:trPr>
        <w:tc>
          <w:tcPr>
            <w:tcW w:w="1213" w:type="pct"/>
            <w:shd w:val="clear" w:color="auto" w:fill="auto"/>
            <w:noWrap/>
            <w:vAlign w:val="bottom"/>
            <w:hideMark/>
          </w:tcPr>
          <w:p w14:paraId="376369AE" w14:textId="4A2DDD54" w:rsidR="00BA2C77" w:rsidRPr="00A52AEE" w:rsidRDefault="00BA2C77" w:rsidP="00A52AEE">
            <w:pPr>
              <w:rPr>
                <w:lang w:eastAsia="en-GB"/>
              </w:rPr>
            </w:pPr>
            <w:r w:rsidRPr="00A52AEE">
              <w:rPr>
                <w:lang w:eastAsia="en-GB"/>
              </w:rPr>
              <w:t xml:space="preserve">GCE A Level </w:t>
            </w:r>
          </w:p>
        </w:tc>
        <w:tc>
          <w:tcPr>
            <w:tcW w:w="1263" w:type="pct"/>
            <w:shd w:val="clear" w:color="auto" w:fill="auto"/>
            <w:noWrap/>
            <w:vAlign w:val="bottom"/>
            <w:hideMark/>
          </w:tcPr>
          <w:p w14:paraId="7BDA0888" w14:textId="77777777" w:rsidR="00BA2C77" w:rsidRPr="00A52AEE" w:rsidRDefault="00BA2C77" w:rsidP="00053A52">
            <w:pPr>
              <w:jc w:val="right"/>
              <w:rPr>
                <w:lang w:eastAsia="en-GB"/>
              </w:rPr>
            </w:pPr>
            <w:r w:rsidRPr="00A52AEE">
              <w:rPr>
                <w:lang w:eastAsia="en-GB"/>
              </w:rPr>
              <w:t>12760</w:t>
            </w:r>
          </w:p>
        </w:tc>
        <w:tc>
          <w:tcPr>
            <w:tcW w:w="692" w:type="pct"/>
            <w:shd w:val="clear" w:color="auto" w:fill="auto"/>
            <w:noWrap/>
            <w:vAlign w:val="bottom"/>
            <w:hideMark/>
          </w:tcPr>
          <w:p w14:paraId="76864A48" w14:textId="77777777" w:rsidR="00BA2C77" w:rsidRPr="00A52AEE" w:rsidRDefault="00BA2C77" w:rsidP="00053A52">
            <w:pPr>
              <w:jc w:val="right"/>
              <w:rPr>
                <w:lang w:eastAsia="en-GB"/>
              </w:rPr>
            </w:pPr>
            <w:r w:rsidRPr="00A52AEE">
              <w:rPr>
                <w:lang w:eastAsia="en-GB"/>
              </w:rPr>
              <w:t>80%</w:t>
            </w:r>
          </w:p>
        </w:tc>
        <w:tc>
          <w:tcPr>
            <w:tcW w:w="580" w:type="pct"/>
            <w:shd w:val="clear" w:color="auto" w:fill="auto"/>
            <w:noWrap/>
            <w:vAlign w:val="bottom"/>
            <w:hideMark/>
          </w:tcPr>
          <w:p w14:paraId="617A3D73" w14:textId="77777777" w:rsidR="00BA2C77" w:rsidRPr="00A52AEE" w:rsidRDefault="00BA2C77" w:rsidP="00053A52">
            <w:pPr>
              <w:jc w:val="right"/>
              <w:rPr>
                <w:lang w:eastAsia="en-GB"/>
              </w:rPr>
            </w:pPr>
            <w:r w:rsidRPr="00A52AEE">
              <w:rPr>
                <w:lang w:eastAsia="en-GB"/>
              </w:rPr>
              <w:t>7%</w:t>
            </w:r>
          </w:p>
        </w:tc>
        <w:tc>
          <w:tcPr>
            <w:tcW w:w="626" w:type="pct"/>
          </w:tcPr>
          <w:p w14:paraId="1581014E" w14:textId="6A29FFCD" w:rsidR="00BA2C77" w:rsidRPr="00A52AEE" w:rsidRDefault="00BA2C77" w:rsidP="00053A52">
            <w:pPr>
              <w:jc w:val="right"/>
              <w:rPr>
                <w:lang w:eastAsia="en-GB"/>
              </w:rPr>
            </w:pPr>
            <w:r w:rsidRPr="00A52AEE">
              <w:rPr>
                <w:lang w:eastAsia="en-GB"/>
              </w:rPr>
              <w:t>87%</w:t>
            </w:r>
          </w:p>
        </w:tc>
        <w:tc>
          <w:tcPr>
            <w:tcW w:w="626" w:type="pct"/>
            <w:vAlign w:val="bottom"/>
          </w:tcPr>
          <w:p w14:paraId="648C54C9" w14:textId="2F70CD4E" w:rsidR="00BA2C77" w:rsidRPr="00A52AEE" w:rsidRDefault="00BA2C77" w:rsidP="00053A52">
            <w:pPr>
              <w:jc w:val="right"/>
              <w:rPr>
                <w:lang w:eastAsia="en-GB"/>
              </w:rPr>
            </w:pPr>
            <w:r w:rsidRPr="00A52AEE">
              <w:rPr>
                <w:lang w:eastAsia="en-GB"/>
              </w:rPr>
              <w:t>13%</w:t>
            </w:r>
          </w:p>
        </w:tc>
      </w:tr>
      <w:tr w:rsidR="00BA2C77" w:rsidRPr="00A52AEE" w14:paraId="71E2C30C" w14:textId="769D8FAA" w:rsidTr="00053A52">
        <w:trPr>
          <w:trHeight w:val="300"/>
        </w:trPr>
        <w:tc>
          <w:tcPr>
            <w:tcW w:w="1213" w:type="pct"/>
            <w:shd w:val="clear" w:color="auto" w:fill="auto"/>
            <w:noWrap/>
            <w:vAlign w:val="bottom"/>
            <w:hideMark/>
          </w:tcPr>
          <w:p w14:paraId="37022745" w14:textId="77777777" w:rsidR="00BA2C77" w:rsidRPr="00A52AEE" w:rsidRDefault="00BA2C77" w:rsidP="00A52AEE">
            <w:pPr>
              <w:rPr>
                <w:lang w:eastAsia="en-GB"/>
              </w:rPr>
            </w:pPr>
            <w:r w:rsidRPr="00A52AEE">
              <w:rPr>
                <w:lang w:eastAsia="en-GB"/>
              </w:rPr>
              <w:t>NVQ</w:t>
            </w:r>
          </w:p>
        </w:tc>
        <w:tc>
          <w:tcPr>
            <w:tcW w:w="1263" w:type="pct"/>
            <w:shd w:val="clear" w:color="auto" w:fill="auto"/>
            <w:noWrap/>
            <w:vAlign w:val="bottom"/>
            <w:hideMark/>
          </w:tcPr>
          <w:p w14:paraId="68A954C9" w14:textId="77777777" w:rsidR="00BA2C77" w:rsidRPr="00A52AEE" w:rsidRDefault="00BA2C77" w:rsidP="00053A52">
            <w:pPr>
              <w:jc w:val="right"/>
              <w:rPr>
                <w:lang w:eastAsia="en-GB"/>
              </w:rPr>
            </w:pPr>
            <w:r w:rsidRPr="00A52AEE">
              <w:rPr>
                <w:lang w:eastAsia="en-GB"/>
              </w:rPr>
              <w:t>305</w:t>
            </w:r>
          </w:p>
        </w:tc>
        <w:tc>
          <w:tcPr>
            <w:tcW w:w="692" w:type="pct"/>
            <w:shd w:val="clear" w:color="auto" w:fill="auto"/>
            <w:noWrap/>
            <w:vAlign w:val="bottom"/>
            <w:hideMark/>
          </w:tcPr>
          <w:p w14:paraId="4326913D" w14:textId="77777777" w:rsidR="00BA2C77" w:rsidRPr="00A52AEE" w:rsidRDefault="00BA2C77" w:rsidP="00053A52">
            <w:pPr>
              <w:jc w:val="right"/>
              <w:rPr>
                <w:lang w:eastAsia="en-GB"/>
              </w:rPr>
            </w:pPr>
            <w:r w:rsidRPr="00A52AEE">
              <w:rPr>
                <w:lang w:eastAsia="en-GB"/>
              </w:rPr>
              <w:t>59%</w:t>
            </w:r>
          </w:p>
        </w:tc>
        <w:tc>
          <w:tcPr>
            <w:tcW w:w="580" w:type="pct"/>
            <w:shd w:val="clear" w:color="auto" w:fill="auto"/>
            <w:noWrap/>
            <w:vAlign w:val="bottom"/>
            <w:hideMark/>
          </w:tcPr>
          <w:p w14:paraId="182F83DF" w14:textId="77777777" w:rsidR="00BA2C77" w:rsidRPr="00A52AEE" w:rsidRDefault="00BA2C77" w:rsidP="00053A52">
            <w:pPr>
              <w:jc w:val="right"/>
              <w:rPr>
                <w:lang w:eastAsia="en-GB"/>
              </w:rPr>
            </w:pPr>
            <w:r w:rsidRPr="00A52AEE">
              <w:rPr>
                <w:lang w:eastAsia="en-GB"/>
              </w:rPr>
              <w:t>14%</w:t>
            </w:r>
          </w:p>
        </w:tc>
        <w:tc>
          <w:tcPr>
            <w:tcW w:w="626" w:type="pct"/>
          </w:tcPr>
          <w:p w14:paraId="722AECF0" w14:textId="68473A54" w:rsidR="00BA2C77" w:rsidRPr="00A52AEE" w:rsidRDefault="00BA2C77" w:rsidP="00053A52">
            <w:pPr>
              <w:jc w:val="right"/>
              <w:rPr>
                <w:lang w:eastAsia="en-GB"/>
              </w:rPr>
            </w:pPr>
            <w:r w:rsidRPr="00A52AEE">
              <w:rPr>
                <w:lang w:eastAsia="en-GB"/>
              </w:rPr>
              <w:t>73%</w:t>
            </w:r>
          </w:p>
        </w:tc>
        <w:tc>
          <w:tcPr>
            <w:tcW w:w="626" w:type="pct"/>
            <w:vAlign w:val="bottom"/>
          </w:tcPr>
          <w:p w14:paraId="159D5523" w14:textId="111BCA41" w:rsidR="00BA2C77" w:rsidRPr="00A52AEE" w:rsidRDefault="00BA2C77" w:rsidP="00053A52">
            <w:pPr>
              <w:jc w:val="right"/>
              <w:rPr>
                <w:lang w:eastAsia="en-GB"/>
              </w:rPr>
            </w:pPr>
            <w:r w:rsidRPr="00A52AEE">
              <w:rPr>
                <w:lang w:eastAsia="en-GB"/>
              </w:rPr>
              <w:t>27%</w:t>
            </w:r>
          </w:p>
        </w:tc>
      </w:tr>
      <w:tr w:rsidR="00BA2C77" w:rsidRPr="00A52AEE" w14:paraId="4D39B86E" w14:textId="4FD7D43D" w:rsidTr="00053A52">
        <w:trPr>
          <w:trHeight w:val="300"/>
        </w:trPr>
        <w:tc>
          <w:tcPr>
            <w:tcW w:w="1213" w:type="pct"/>
            <w:shd w:val="clear" w:color="auto" w:fill="auto"/>
            <w:noWrap/>
            <w:vAlign w:val="bottom"/>
            <w:hideMark/>
          </w:tcPr>
          <w:p w14:paraId="236196AD" w14:textId="77777777" w:rsidR="00BA2C77" w:rsidRPr="00A52AEE" w:rsidRDefault="00BA2C77" w:rsidP="00A52AEE">
            <w:pPr>
              <w:rPr>
                <w:lang w:eastAsia="en-GB"/>
              </w:rPr>
            </w:pPr>
            <w:r w:rsidRPr="00A52AEE">
              <w:rPr>
                <w:lang w:eastAsia="en-GB"/>
              </w:rPr>
              <w:t xml:space="preserve">Vocational </w:t>
            </w:r>
          </w:p>
        </w:tc>
        <w:tc>
          <w:tcPr>
            <w:tcW w:w="1263" w:type="pct"/>
            <w:shd w:val="clear" w:color="auto" w:fill="auto"/>
            <w:noWrap/>
            <w:vAlign w:val="bottom"/>
            <w:hideMark/>
          </w:tcPr>
          <w:p w14:paraId="71DE334D" w14:textId="77777777" w:rsidR="00BA2C77" w:rsidRPr="00A52AEE" w:rsidRDefault="00BA2C77" w:rsidP="00053A52">
            <w:pPr>
              <w:jc w:val="right"/>
              <w:rPr>
                <w:lang w:eastAsia="en-GB"/>
              </w:rPr>
            </w:pPr>
            <w:r w:rsidRPr="00A52AEE">
              <w:rPr>
                <w:lang w:eastAsia="en-GB"/>
              </w:rPr>
              <w:t>1310</w:t>
            </w:r>
          </w:p>
        </w:tc>
        <w:tc>
          <w:tcPr>
            <w:tcW w:w="692" w:type="pct"/>
            <w:shd w:val="clear" w:color="auto" w:fill="auto"/>
            <w:noWrap/>
            <w:vAlign w:val="bottom"/>
            <w:hideMark/>
          </w:tcPr>
          <w:p w14:paraId="7463039C" w14:textId="77777777" w:rsidR="00BA2C77" w:rsidRPr="00A52AEE" w:rsidRDefault="00BA2C77" w:rsidP="00053A52">
            <w:pPr>
              <w:jc w:val="right"/>
              <w:rPr>
                <w:lang w:eastAsia="en-GB"/>
              </w:rPr>
            </w:pPr>
            <w:r w:rsidRPr="00A52AEE">
              <w:rPr>
                <w:lang w:eastAsia="en-GB"/>
              </w:rPr>
              <w:t>57%</w:t>
            </w:r>
          </w:p>
        </w:tc>
        <w:tc>
          <w:tcPr>
            <w:tcW w:w="580" w:type="pct"/>
            <w:shd w:val="clear" w:color="auto" w:fill="auto"/>
            <w:noWrap/>
            <w:vAlign w:val="bottom"/>
            <w:hideMark/>
          </w:tcPr>
          <w:p w14:paraId="151B23D1" w14:textId="77777777" w:rsidR="00BA2C77" w:rsidRPr="00A52AEE" w:rsidRDefault="00BA2C77" w:rsidP="00053A52">
            <w:pPr>
              <w:jc w:val="right"/>
              <w:rPr>
                <w:lang w:eastAsia="en-GB"/>
              </w:rPr>
            </w:pPr>
            <w:r w:rsidRPr="00A52AEE">
              <w:rPr>
                <w:lang w:eastAsia="en-GB"/>
              </w:rPr>
              <w:t>15%</w:t>
            </w:r>
          </w:p>
        </w:tc>
        <w:tc>
          <w:tcPr>
            <w:tcW w:w="626" w:type="pct"/>
          </w:tcPr>
          <w:p w14:paraId="2559F94A" w14:textId="0F95A713" w:rsidR="00BA2C77" w:rsidRPr="00A52AEE" w:rsidRDefault="00BA2C77" w:rsidP="00053A52">
            <w:pPr>
              <w:jc w:val="right"/>
              <w:rPr>
                <w:lang w:eastAsia="en-GB"/>
              </w:rPr>
            </w:pPr>
            <w:r w:rsidRPr="00A52AEE">
              <w:rPr>
                <w:lang w:eastAsia="en-GB"/>
              </w:rPr>
              <w:t>72%</w:t>
            </w:r>
          </w:p>
        </w:tc>
        <w:tc>
          <w:tcPr>
            <w:tcW w:w="626" w:type="pct"/>
            <w:vAlign w:val="bottom"/>
          </w:tcPr>
          <w:p w14:paraId="25F60EAA" w14:textId="73D09E68" w:rsidR="00BA2C77" w:rsidRPr="00A52AEE" w:rsidRDefault="00BA2C77" w:rsidP="00053A52">
            <w:pPr>
              <w:jc w:val="right"/>
              <w:rPr>
                <w:lang w:eastAsia="en-GB"/>
              </w:rPr>
            </w:pPr>
            <w:r w:rsidRPr="00A52AEE">
              <w:rPr>
                <w:lang w:eastAsia="en-GB"/>
              </w:rPr>
              <w:t>27%</w:t>
            </w:r>
          </w:p>
        </w:tc>
      </w:tr>
      <w:tr w:rsidR="00AA1EE3" w:rsidRPr="00A52AEE" w14:paraId="52B3493F" w14:textId="6B9D55D0" w:rsidTr="00053A52">
        <w:trPr>
          <w:trHeight w:val="666"/>
        </w:trPr>
        <w:tc>
          <w:tcPr>
            <w:tcW w:w="5000" w:type="pct"/>
            <w:gridSpan w:val="6"/>
            <w:shd w:val="clear" w:color="auto" w:fill="BDD6EE" w:themeFill="accent1" w:themeFillTint="66"/>
            <w:vAlign w:val="center"/>
            <w:hideMark/>
          </w:tcPr>
          <w:p w14:paraId="0DF20666" w14:textId="770C70FC" w:rsidR="00AA1EE3" w:rsidRPr="00A52AEE" w:rsidRDefault="00AA1EE3" w:rsidP="00A52AEE">
            <w:pPr>
              <w:rPr>
                <w:lang w:eastAsia="en-GB"/>
              </w:rPr>
            </w:pPr>
            <w:r w:rsidRPr="00A52AEE">
              <w:rPr>
                <w:lang w:eastAsia="en-GB"/>
              </w:rPr>
              <w:t>National comparison - HEFCE Performance Indicators, Projected Outcomes of FT First Degree entrants (2008-09)</w:t>
            </w:r>
          </w:p>
        </w:tc>
      </w:tr>
      <w:tr w:rsidR="00BA2C77" w:rsidRPr="005D104D" w14:paraId="32570FB3" w14:textId="18EC3805" w:rsidTr="00053A52">
        <w:trPr>
          <w:trHeight w:val="300"/>
        </w:trPr>
        <w:tc>
          <w:tcPr>
            <w:tcW w:w="1213" w:type="pct"/>
            <w:shd w:val="clear" w:color="auto" w:fill="auto"/>
            <w:noWrap/>
            <w:vAlign w:val="bottom"/>
            <w:hideMark/>
          </w:tcPr>
          <w:p w14:paraId="430DE827" w14:textId="77777777" w:rsidR="00BA2C77" w:rsidRPr="005D104D" w:rsidRDefault="00BA2C77" w:rsidP="00A52AEE">
            <w:pPr>
              <w:rPr>
                <w:b/>
                <w:lang w:eastAsia="en-GB"/>
              </w:rPr>
            </w:pPr>
            <w:r w:rsidRPr="005D104D">
              <w:rPr>
                <w:b/>
                <w:lang w:eastAsia="en-GB"/>
              </w:rPr>
              <w:t>All England</w:t>
            </w:r>
          </w:p>
        </w:tc>
        <w:tc>
          <w:tcPr>
            <w:tcW w:w="1263" w:type="pct"/>
            <w:shd w:val="clear" w:color="auto" w:fill="FFFFFF" w:themeFill="background1"/>
            <w:noWrap/>
            <w:vAlign w:val="bottom"/>
            <w:hideMark/>
          </w:tcPr>
          <w:p w14:paraId="078FFA16" w14:textId="4AD83AE5" w:rsidR="00BA2C77" w:rsidRPr="005D104D" w:rsidRDefault="00BA2C77" w:rsidP="00A52AEE">
            <w:pPr>
              <w:rPr>
                <w:b/>
                <w:lang w:eastAsia="en-GB"/>
              </w:rPr>
            </w:pPr>
          </w:p>
        </w:tc>
        <w:tc>
          <w:tcPr>
            <w:tcW w:w="692" w:type="pct"/>
            <w:shd w:val="clear" w:color="auto" w:fill="FFFFFF" w:themeFill="background1"/>
            <w:noWrap/>
            <w:vAlign w:val="bottom"/>
            <w:hideMark/>
          </w:tcPr>
          <w:p w14:paraId="3979D045" w14:textId="2E3E1FF2" w:rsidR="00BA2C77" w:rsidRPr="005D104D" w:rsidRDefault="00BA2C77" w:rsidP="00053A52">
            <w:pPr>
              <w:jc w:val="right"/>
              <w:rPr>
                <w:b/>
                <w:lang w:eastAsia="en-GB"/>
              </w:rPr>
            </w:pPr>
            <w:r w:rsidRPr="005D104D">
              <w:rPr>
                <w:b/>
                <w:lang w:eastAsia="en-GB"/>
              </w:rPr>
              <w:t>79%</w:t>
            </w:r>
          </w:p>
        </w:tc>
        <w:tc>
          <w:tcPr>
            <w:tcW w:w="580" w:type="pct"/>
            <w:shd w:val="clear" w:color="auto" w:fill="FFFFFF" w:themeFill="background1"/>
            <w:noWrap/>
            <w:vAlign w:val="bottom"/>
            <w:hideMark/>
          </w:tcPr>
          <w:p w14:paraId="2240FDD8" w14:textId="77777777" w:rsidR="00BA2C77" w:rsidRPr="005D104D" w:rsidRDefault="00BA2C77" w:rsidP="00053A52">
            <w:pPr>
              <w:jc w:val="right"/>
              <w:rPr>
                <w:b/>
                <w:lang w:eastAsia="en-GB"/>
              </w:rPr>
            </w:pPr>
            <w:r w:rsidRPr="005D104D">
              <w:rPr>
                <w:b/>
                <w:lang w:eastAsia="en-GB"/>
              </w:rPr>
              <w:t>3%</w:t>
            </w:r>
          </w:p>
        </w:tc>
        <w:tc>
          <w:tcPr>
            <w:tcW w:w="626" w:type="pct"/>
            <w:shd w:val="clear" w:color="auto" w:fill="FFFFFF" w:themeFill="background1"/>
          </w:tcPr>
          <w:p w14:paraId="055B725B" w14:textId="7B372F5C" w:rsidR="00BA2C77" w:rsidRPr="005D104D" w:rsidRDefault="00BA2C77" w:rsidP="00053A52">
            <w:pPr>
              <w:jc w:val="right"/>
              <w:rPr>
                <w:b/>
                <w:lang w:eastAsia="en-GB"/>
              </w:rPr>
            </w:pPr>
            <w:r w:rsidRPr="005D104D">
              <w:rPr>
                <w:b/>
                <w:lang w:eastAsia="en-GB"/>
              </w:rPr>
              <w:t>82%</w:t>
            </w:r>
          </w:p>
        </w:tc>
        <w:tc>
          <w:tcPr>
            <w:tcW w:w="626" w:type="pct"/>
            <w:shd w:val="clear" w:color="auto" w:fill="FFFFFF" w:themeFill="background1"/>
            <w:vAlign w:val="bottom"/>
          </w:tcPr>
          <w:p w14:paraId="392DDDCD" w14:textId="560B2A1D" w:rsidR="00BA2C77" w:rsidRPr="005D104D" w:rsidRDefault="00BA2C77" w:rsidP="00053A52">
            <w:pPr>
              <w:jc w:val="right"/>
              <w:rPr>
                <w:b/>
                <w:lang w:eastAsia="en-GB"/>
              </w:rPr>
            </w:pPr>
            <w:r w:rsidRPr="005D104D">
              <w:rPr>
                <w:b/>
                <w:lang w:eastAsia="en-GB"/>
              </w:rPr>
              <w:t>14%</w:t>
            </w:r>
            <w:r w:rsidRPr="005D104D">
              <w:rPr>
                <w:b/>
                <w:i/>
                <w:iCs/>
                <w:lang w:eastAsia="en-GB"/>
              </w:rPr>
              <w:t> </w:t>
            </w:r>
          </w:p>
        </w:tc>
      </w:tr>
    </w:tbl>
    <w:p w14:paraId="6D1D2FC8" w14:textId="77777777" w:rsidR="00D42CFF" w:rsidRPr="00A52AEE" w:rsidRDefault="00D42CFF" w:rsidP="00A52AEE"/>
    <w:p w14:paraId="0C799BDD" w14:textId="4BEFA14B" w:rsidR="00736273" w:rsidRPr="00A52AEE" w:rsidRDefault="00D94110" w:rsidP="008D527A">
      <w:pPr>
        <w:pStyle w:val="Heading2"/>
      </w:pPr>
      <w:bookmarkStart w:id="131" w:name="_Toc429151347"/>
      <w:r w:rsidRPr="00A52AEE">
        <w:t>6.2</w:t>
      </w:r>
      <w:r w:rsidRPr="00A52AEE">
        <w:tab/>
      </w:r>
      <w:r w:rsidR="00A2412C" w:rsidRPr="00A52AEE">
        <w:t>C</w:t>
      </w:r>
      <w:r w:rsidR="00736273" w:rsidRPr="00A52AEE">
        <w:t>lassification of first degrees</w:t>
      </w:r>
      <w:bookmarkEnd w:id="131"/>
    </w:p>
    <w:p w14:paraId="20066D66" w14:textId="4DFAFB78" w:rsidR="00D42CFF" w:rsidRDefault="00736273" w:rsidP="00A52AEE">
      <w:r w:rsidRPr="00A52AEE">
        <w:t xml:space="preserve">52% of those who achieved a first degree attained a good degree, either a first class or 2:1. This compares to a national rate of 62% for FE college </w:t>
      </w:r>
      <w:r w:rsidR="00842186" w:rsidRPr="00A52AEE">
        <w:t>student</w:t>
      </w:r>
      <w:r w:rsidRPr="00A52AEE">
        <w:t xml:space="preserve">s across England.  A </w:t>
      </w:r>
      <w:r w:rsidR="0021637B" w:rsidRPr="00A52AEE">
        <w:t>Level</w:t>
      </w:r>
      <w:r w:rsidRPr="00A52AEE">
        <w:t xml:space="preserve"> </w:t>
      </w:r>
      <w:r w:rsidR="00842186" w:rsidRPr="00A52AEE">
        <w:t>student</w:t>
      </w:r>
      <w:r w:rsidRPr="00A52AEE">
        <w:t xml:space="preserve">s were more likely to attain a good degree </w:t>
      </w:r>
      <w:r w:rsidR="00053A52">
        <w:t>than</w:t>
      </w:r>
      <w:r w:rsidRPr="00A52AEE">
        <w:t xml:space="preserve"> BTEC </w:t>
      </w:r>
      <w:r w:rsidR="00842186" w:rsidRPr="00A52AEE">
        <w:t>student</w:t>
      </w:r>
      <w:r w:rsidRPr="00A52AEE">
        <w:t xml:space="preserve">s. </w:t>
      </w:r>
    </w:p>
    <w:p w14:paraId="1839C4C1" w14:textId="77777777" w:rsidR="00053A52" w:rsidRPr="00A52AEE" w:rsidRDefault="00053A52" w:rsidP="00A52AEE"/>
    <w:p w14:paraId="319FAF88" w14:textId="12A4ED70" w:rsidR="00D42CFF" w:rsidRDefault="00D42CFF" w:rsidP="00A52AEE">
      <w:pPr>
        <w:rPr>
          <w:b/>
        </w:rPr>
      </w:pPr>
      <w:r w:rsidRPr="00053A52">
        <w:rPr>
          <w:b/>
        </w:rPr>
        <w:t>Figure</w:t>
      </w:r>
      <w:r w:rsidR="007E698B" w:rsidRPr="00053A52">
        <w:rPr>
          <w:b/>
        </w:rPr>
        <w:t xml:space="preserve"> 9</w:t>
      </w:r>
      <w:r w:rsidR="00A2412C" w:rsidRPr="00053A52">
        <w:rPr>
          <w:b/>
        </w:rPr>
        <w:t>:  D</w:t>
      </w:r>
      <w:r w:rsidRPr="00053A52">
        <w:rPr>
          <w:b/>
        </w:rPr>
        <w:t xml:space="preserve">egree classification of full-time first degree entrants from </w:t>
      </w:r>
      <w:r w:rsidR="0076166E" w:rsidRPr="00053A52">
        <w:rPr>
          <w:b/>
        </w:rPr>
        <w:t>London</w:t>
      </w:r>
      <w:r w:rsidRPr="00053A52">
        <w:rPr>
          <w:b/>
        </w:rPr>
        <w:t xml:space="preserve"> colleges</w:t>
      </w:r>
    </w:p>
    <w:p w14:paraId="48BE3880" w14:textId="77777777" w:rsidR="009A2373" w:rsidRPr="00053A52" w:rsidRDefault="009A2373" w:rsidP="00A52AEE">
      <w:pPr>
        <w:rPr>
          <w:b/>
        </w:rPr>
      </w:pPr>
    </w:p>
    <w:p w14:paraId="5A79DC39" w14:textId="276D57C0" w:rsidR="00027430" w:rsidRPr="00A52AEE" w:rsidRDefault="00673C12" w:rsidP="00A52AEE">
      <w:r w:rsidRPr="00A52AEE">
        <w:rPr>
          <w:noProof/>
          <w:lang w:eastAsia="en-GB"/>
        </w:rPr>
        <w:drawing>
          <wp:inline distT="0" distB="0" distL="0" distR="0" wp14:anchorId="28CC1726" wp14:editId="76B80CE6">
            <wp:extent cx="5867400" cy="3162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91729" cy="3175412"/>
                    </a:xfrm>
                    <a:prstGeom prst="rect">
                      <a:avLst/>
                    </a:prstGeom>
                  </pic:spPr>
                </pic:pic>
              </a:graphicData>
            </a:graphic>
          </wp:inline>
        </w:drawing>
      </w:r>
      <w:r w:rsidR="00027430" w:rsidRPr="00A52AEE">
        <w:br w:type="page"/>
      </w:r>
    </w:p>
    <w:p w14:paraId="52564815" w14:textId="11E12D13" w:rsidR="00027430" w:rsidRPr="00A52AEE" w:rsidRDefault="00A2412C" w:rsidP="009443B2">
      <w:pPr>
        <w:pStyle w:val="Heading1"/>
      </w:pPr>
      <w:bookmarkStart w:id="132" w:name="_Toc429151348"/>
      <w:r w:rsidRPr="00A52AEE">
        <w:t>7.</w:t>
      </w:r>
      <w:r w:rsidRPr="00A52AEE">
        <w:tab/>
      </w:r>
      <w:r w:rsidR="00027430" w:rsidRPr="00A52AEE">
        <w:t>Prior Attainment at Key Stage 4 in School</w:t>
      </w:r>
      <w:bookmarkEnd w:id="132"/>
    </w:p>
    <w:p w14:paraId="59312696" w14:textId="77777777" w:rsidR="00413FF3" w:rsidRPr="00A52AEE" w:rsidRDefault="00413FF3" w:rsidP="00A52AEE"/>
    <w:p w14:paraId="15AAAF91" w14:textId="3DADA9B1" w:rsidR="00A2412C" w:rsidRPr="00A52AEE" w:rsidRDefault="00A2412C" w:rsidP="00A52AEE">
      <w:r w:rsidRPr="00A52AEE">
        <w:t>Key stage 4 (KS4) is measured by pupils in schools gaining GCSE qualifications.  GCSEs are at Level 2 and the main performance measure adopted by the DfE is determined by the achievement of 5 GCSEs graded between A* to C including English and Maths</w:t>
      </w:r>
      <w:sdt>
        <w:sdtPr>
          <w:id w:val="-1407145799"/>
          <w:citation/>
        </w:sdtPr>
        <w:sdtEndPr/>
        <w:sdtContent>
          <w:r w:rsidRPr="00A52AEE">
            <w:fldChar w:fldCharType="begin"/>
          </w:r>
          <w:r w:rsidR="005175E4" w:rsidRPr="00A52AEE">
            <w:instrText xml:space="preserve">CITATION DfE142 \l 2057 </w:instrText>
          </w:r>
          <w:r w:rsidRPr="00A52AEE">
            <w:fldChar w:fldCharType="separate"/>
          </w:r>
          <w:r w:rsidR="004E52FE">
            <w:rPr>
              <w:noProof/>
            </w:rPr>
            <w:t xml:space="preserve"> (DfE, 2014 a)</w:t>
          </w:r>
          <w:r w:rsidRPr="00A52AEE">
            <w:fldChar w:fldCharType="end"/>
          </w:r>
        </w:sdtContent>
      </w:sdt>
      <w:r w:rsidRPr="00A52AEE">
        <w:t>.  However the strict definition of a “full Level 2” is through the achievement of qualifications “equivalent to 5 or more GCSEs at grade A* to C</w:t>
      </w:r>
      <w:sdt>
        <w:sdtPr>
          <w:id w:val="-302779346"/>
          <w:citation/>
        </w:sdtPr>
        <w:sdtEndPr/>
        <w:sdtContent>
          <w:r w:rsidRPr="00A52AEE">
            <w:fldChar w:fldCharType="begin"/>
          </w:r>
          <w:r w:rsidRPr="00A52AEE">
            <w:instrText xml:space="preserve">CITATION BIS15 \l 2057 </w:instrText>
          </w:r>
          <w:r w:rsidRPr="00A52AEE">
            <w:fldChar w:fldCharType="separate"/>
          </w:r>
          <w:r w:rsidR="004E52FE">
            <w:rPr>
              <w:noProof/>
            </w:rPr>
            <w:t xml:space="preserve"> (BIS, 2015)</w:t>
          </w:r>
          <w:r w:rsidRPr="00A52AEE">
            <w:fldChar w:fldCharType="end"/>
          </w:r>
        </w:sdtContent>
      </w:sdt>
      <w:r w:rsidRPr="00A52AEE">
        <w:t xml:space="preserve">.  In this study we refer to both but differentiate according to the DfE definition which by including English and Maths, describes the group most likely to progress through Level 3 qualifications to higher education. </w:t>
      </w:r>
    </w:p>
    <w:p w14:paraId="5335582F" w14:textId="501E09B1" w:rsidR="00A2412C" w:rsidRPr="00A52AEE" w:rsidRDefault="00A2412C" w:rsidP="00A52AEE">
      <w:r w:rsidRPr="00A52AEE">
        <w:t xml:space="preserve"> </w:t>
      </w:r>
    </w:p>
    <w:p w14:paraId="4084D891" w14:textId="32D316EA" w:rsidR="00A2412C" w:rsidRPr="00A52AEE" w:rsidRDefault="00A2412C" w:rsidP="00A52AEE">
      <w:r w:rsidRPr="00A52AEE">
        <w:t xml:space="preserve">Pupils without the 5 GCSEs A*-C </w:t>
      </w:r>
      <w:r w:rsidR="00053A52">
        <w:t xml:space="preserve">including English and Maths </w:t>
      </w:r>
      <w:r w:rsidRPr="00A52AEE">
        <w:t>are considered to be “low attainers” at Key Stage 4.  Many without 5 GCSEs progress from school to colleges and undertake further Level 2 vocational programmes.  Others, often those who may have nearly achieved a full Level 2, are accepted on to vocational programmes at Level 3 including those who have not achieved A*-C grades in English and Maths.  The Government, following recommendations in the Wolf Report</w:t>
      </w:r>
      <w:sdt>
        <w:sdtPr>
          <w:id w:val="-1244565634"/>
          <w:citation/>
        </w:sdtPr>
        <w:sdtEndPr/>
        <w:sdtContent>
          <w:r w:rsidRPr="00A52AEE">
            <w:fldChar w:fldCharType="begin"/>
          </w:r>
          <w:r w:rsidRPr="00A52AEE">
            <w:instrText xml:space="preserve"> CITATION Wol11 \l 2057 </w:instrText>
          </w:r>
          <w:r w:rsidRPr="00A52AEE">
            <w:fldChar w:fldCharType="separate"/>
          </w:r>
          <w:r w:rsidR="004E52FE">
            <w:rPr>
              <w:noProof/>
            </w:rPr>
            <w:t xml:space="preserve"> (Wolf, 2011)</w:t>
          </w:r>
          <w:r w:rsidRPr="00A52AEE">
            <w:fldChar w:fldCharType="end"/>
          </w:r>
        </w:sdtContent>
      </w:sdt>
      <w:r w:rsidRPr="00A52AEE">
        <w:t>, has now introduced “Study Programmes”</w:t>
      </w:r>
      <w:sdt>
        <w:sdtPr>
          <w:id w:val="-1747334960"/>
          <w:citation/>
        </w:sdtPr>
        <w:sdtEndPr/>
        <w:sdtContent>
          <w:r w:rsidRPr="00A52AEE">
            <w:fldChar w:fldCharType="begin"/>
          </w:r>
          <w:r w:rsidR="005175E4" w:rsidRPr="00A52AEE">
            <w:instrText xml:space="preserve">CITATION Placeholder1 \l 2057 </w:instrText>
          </w:r>
          <w:r w:rsidRPr="00A52AEE">
            <w:fldChar w:fldCharType="separate"/>
          </w:r>
          <w:r w:rsidR="004E52FE">
            <w:rPr>
              <w:noProof/>
            </w:rPr>
            <w:t xml:space="preserve"> (DfE, 2014 )</w:t>
          </w:r>
          <w:r w:rsidRPr="00A52AEE">
            <w:fldChar w:fldCharType="end"/>
          </w:r>
        </w:sdtContent>
      </w:sdt>
      <w:r w:rsidRPr="00A52AEE">
        <w:t xml:space="preserve"> for all 16-19 students where English and Maths is compulsory for students yet to achieve an A*-C grade.  </w:t>
      </w:r>
    </w:p>
    <w:p w14:paraId="38B4ECA1" w14:textId="77777777" w:rsidR="00A2412C" w:rsidRPr="00A52AEE" w:rsidRDefault="00A2412C" w:rsidP="00A52AEE"/>
    <w:p w14:paraId="1582D43D" w14:textId="1A57E33A" w:rsidR="00F23342" w:rsidRPr="00A52AEE" w:rsidRDefault="00F23342" w:rsidP="008D527A">
      <w:pPr>
        <w:pStyle w:val="Heading2"/>
        <w:numPr>
          <w:ilvl w:val="1"/>
          <w:numId w:val="3"/>
        </w:numPr>
        <w:rPr>
          <w:szCs w:val="24"/>
        </w:rPr>
      </w:pPr>
      <w:bookmarkStart w:id="133" w:name="_Toc429151349"/>
      <w:bookmarkStart w:id="134" w:name="_Toc411437057"/>
      <w:r w:rsidRPr="00A52AEE">
        <w:t>The significance of Key Stage 4 for progression</w:t>
      </w:r>
      <w:bookmarkEnd w:id="133"/>
      <w:r w:rsidRPr="00A52AEE">
        <w:t xml:space="preserve"> </w:t>
      </w:r>
      <w:bookmarkEnd w:id="134"/>
    </w:p>
    <w:p w14:paraId="5714F76F" w14:textId="14662852" w:rsidR="00F23342" w:rsidRPr="00A52AEE" w:rsidRDefault="00F23342" w:rsidP="00A52AEE">
      <w:r w:rsidRPr="00A52AEE">
        <w:t>Prior attainment at KS4 is the most important predictor of successful progression to HE: underachievement in secondary school is a key barrier to progression</w:t>
      </w:r>
      <w:sdt>
        <w:sdtPr>
          <w:id w:val="-923496699"/>
          <w:citation/>
        </w:sdtPr>
        <w:sdtEndPr/>
        <w:sdtContent>
          <w:r w:rsidRPr="00A52AEE">
            <w:fldChar w:fldCharType="begin"/>
          </w:r>
          <w:r w:rsidRPr="00A52AEE">
            <w:instrText xml:space="preserve">CITATION Cho10 \l 2057 </w:instrText>
          </w:r>
          <w:r w:rsidRPr="00A52AEE">
            <w:fldChar w:fldCharType="separate"/>
          </w:r>
          <w:r w:rsidR="004E52FE">
            <w:rPr>
              <w:noProof/>
            </w:rPr>
            <w:t xml:space="preserve"> (Chowdry, 2010)</w:t>
          </w:r>
          <w:r w:rsidRPr="00A52AEE">
            <w:fldChar w:fldCharType="end"/>
          </w:r>
        </w:sdtContent>
      </w:sdt>
      <w:r w:rsidRPr="00A52AEE">
        <w:t xml:space="preserve">.  In order to understand </w:t>
      </w:r>
      <w:r w:rsidR="0021637B" w:rsidRPr="00A52AEE">
        <w:t>Level</w:t>
      </w:r>
      <w:r w:rsidRPr="00A52AEE">
        <w:t xml:space="preserve"> 3 </w:t>
      </w:r>
      <w:r w:rsidR="00053A52">
        <w:t>college student progression to higher e</w:t>
      </w:r>
      <w:r w:rsidRPr="00A52AEE">
        <w:t xml:space="preserve">ducation, it is helpful to examine prior attainment (KS4) of the </w:t>
      </w:r>
      <w:r w:rsidR="0021637B" w:rsidRPr="00A52AEE">
        <w:t>Level</w:t>
      </w:r>
      <w:r w:rsidRPr="00A52AEE">
        <w:t xml:space="preserve"> 3 cohort, especially in English and Maths, which are requisite qualifications for entry to many HE programmes. </w:t>
      </w:r>
    </w:p>
    <w:p w14:paraId="5A653DE8" w14:textId="77777777" w:rsidR="00F23342" w:rsidRPr="00A52AEE" w:rsidRDefault="00F23342" w:rsidP="00A52AEE"/>
    <w:p w14:paraId="7904CC4A" w14:textId="48CAD2B4" w:rsidR="00F23342" w:rsidRPr="00A52AEE" w:rsidRDefault="00F23342" w:rsidP="00A52AEE">
      <w:r w:rsidRPr="00A52AEE">
        <w:t xml:space="preserve">Progression through qualification levels is not straightforward and vertical for many students for a number of reasons; assumptions are often made that students who have achieved a </w:t>
      </w:r>
      <w:r w:rsidR="0021637B" w:rsidRPr="00A52AEE">
        <w:t>Level</w:t>
      </w:r>
      <w:r w:rsidRPr="00A52AEE">
        <w:t xml:space="preserve"> 3 qualification have achieved a minimum standard at GCSE or equivalent (</w:t>
      </w:r>
      <w:r w:rsidR="0021637B" w:rsidRPr="00A52AEE">
        <w:t>Level</w:t>
      </w:r>
      <w:r w:rsidRPr="00A52AEE">
        <w:t xml:space="preserve"> 2) but this is not necessarily the case for many students who are studying vocational programmes in FE.  Indeed, it is estimated that around 20% of adult students on a </w:t>
      </w:r>
      <w:r w:rsidR="0021637B" w:rsidRPr="00A52AEE">
        <w:t>Level</w:t>
      </w:r>
      <w:r w:rsidRPr="00A52AEE">
        <w:t xml:space="preserve"> 3 programme in FE did not have full </w:t>
      </w:r>
      <w:r w:rsidR="0021637B" w:rsidRPr="00A52AEE">
        <w:t>Level</w:t>
      </w:r>
      <w:r w:rsidRPr="00A52AEE">
        <w:t xml:space="preserve"> 2 qualifications (5 A*-C) at GCSE.</w:t>
      </w:r>
      <w:sdt>
        <w:sdtPr>
          <w:id w:val="-574516181"/>
          <w:citation/>
        </w:sdtPr>
        <w:sdtEndPr/>
        <w:sdtContent>
          <w:r w:rsidRPr="00A52AEE">
            <w:fldChar w:fldCharType="begin"/>
          </w:r>
          <w:r w:rsidRPr="00A52AEE">
            <w:instrText xml:space="preserve">CITATION BIS \l 2057 </w:instrText>
          </w:r>
          <w:r w:rsidRPr="00A52AEE">
            <w:fldChar w:fldCharType="separate"/>
          </w:r>
          <w:r w:rsidR="004E52FE">
            <w:rPr>
              <w:noProof/>
            </w:rPr>
            <w:t xml:space="preserve"> (IFF Research, 2014)</w:t>
          </w:r>
          <w:r w:rsidRPr="00A52AEE">
            <w:fldChar w:fldCharType="end"/>
          </w:r>
        </w:sdtContent>
      </w:sdt>
      <w:r w:rsidRPr="00A52AEE">
        <w:t>.</w:t>
      </w:r>
    </w:p>
    <w:p w14:paraId="481E1903" w14:textId="77777777" w:rsidR="00F23342" w:rsidRPr="00A52AEE" w:rsidRDefault="00F23342" w:rsidP="00A52AEE"/>
    <w:p w14:paraId="45B251BF" w14:textId="6F3D0178" w:rsidR="00F23342" w:rsidRPr="00A52AEE" w:rsidRDefault="00F23342" w:rsidP="00A52AEE">
      <w:r w:rsidRPr="00A52AEE">
        <w:t>FE colleges play a key part in providing a second chance for ma</w:t>
      </w:r>
      <w:r w:rsidR="00053A52">
        <w:t>ny students who did not achieve</w:t>
      </w:r>
      <w:r w:rsidRPr="00A52AEE">
        <w:t xml:space="preserve"> </w:t>
      </w:r>
      <w:r w:rsidR="0021637B" w:rsidRPr="00A52AEE">
        <w:t>Level</w:t>
      </w:r>
      <w:r w:rsidRPr="00A52AEE">
        <w:t xml:space="preserve"> 2 qualifications at age 16 in secondary schools. In addition, some students who have already achieved at </w:t>
      </w:r>
      <w:r w:rsidR="0021637B" w:rsidRPr="00A52AEE">
        <w:t>Level</w:t>
      </w:r>
      <w:r w:rsidRPr="00A52AEE">
        <w:t xml:space="preserve"> 2 will go on to an FE programme at this level because they are happier to do so and/or they wish to study a new subject. </w:t>
      </w:r>
    </w:p>
    <w:p w14:paraId="64F6D511" w14:textId="77777777" w:rsidR="00F23342" w:rsidRPr="00A52AEE" w:rsidRDefault="00F23342" w:rsidP="00A52AEE"/>
    <w:p w14:paraId="25F16974" w14:textId="3D4A9317" w:rsidR="00F23342" w:rsidRPr="00A52AEE" w:rsidRDefault="00F23342" w:rsidP="00A52AEE">
      <w:r w:rsidRPr="00A52AEE">
        <w:t xml:space="preserve">There is also group of students who may have completed and achieved a </w:t>
      </w:r>
      <w:r w:rsidR="0021637B" w:rsidRPr="00A52AEE">
        <w:t>Level</w:t>
      </w:r>
      <w:r w:rsidRPr="00A52AEE">
        <w:t xml:space="preserve"> 3 programme successfully but still lack their English and Maths at </w:t>
      </w:r>
      <w:r w:rsidR="0021637B" w:rsidRPr="00A52AEE">
        <w:t>Level</w:t>
      </w:r>
      <w:r w:rsidRPr="00A52AEE">
        <w:t xml:space="preserve"> 2 and this can be a barrier to HE entry. Many FE programmes at </w:t>
      </w:r>
      <w:r w:rsidR="0021637B" w:rsidRPr="00A52AEE">
        <w:t>Level</w:t>
      </w:r>
      <w:r w:rsidRPr="00A52AEE">
        <w:t xml:space="preserve"> 3 enable individuals to develop specific vocational skills and are not based on attainment of specific subjects at GCSE or </w:t>
      </w:r>
      <w:r w:rsidR="0021637B" w:rsidRPr="00A52AEE">
        <w:t>Level</w:t>
      </w:r>
      <w:r w:rsidRPr="00A52AEE">
        <w:t xml:space="preserve"> 2. The value of the </w:t>
      </w:r>
      <w:r w:rsidR="0021637B" w:rsidRPr="00A52AEE">
        <w:t>Level</w:t>
      </w:r>
      <w:r w:rsidRPr="00A52AEE">
        <w:t xml:space="preserve"> 3 programme studied in FE may be related to their job role or intended career path.</w:t>
      </w:r>
    </w:p>
    <w:p w14:paraId="39674C4D" w14:textId="77777777" w:rsidR="00F23342" w:rsidRPr="00A52AEE" w:rsidRDefault="00F23342" w:rsidP="00A52AEE"/>
    <w:p w14:paraId="4AE6F28D" w14:textId="5A9D6CD3" w:rsidR="00F23342" w:rsidRPr="00A52AEE" w:rsidRDefault="00F23342" w:rsidP="00A52AEE">
      <w:r w:rsidRPr="00A52AEE">
        <w:t xml:space="preserve">Contextualising prior attainment at age 16 for the </w:t>
      </w:r>
      <w:r w:rsidR="0021637B" w:rsidRPr="00A52AEE">
        <w:t>Level</w:t>
      </w:r>
      <w:r w:rsidRPr="00A52AEE">
        <w:t xml:space="preserve"> 3 cohort will </w:t>
      </w:r>
      <w:r w:rsidR="00053A52">
        <w:t>show the important role that c</w:t>
      </w:r>
      <w:r w:rsidRPr="00A52AEE">
        <w:t xml:space="preserve">olleges play in the progression of students with low attainment on entry; illustrating the extent to which </w:t>
      </w:r>
      <w:r w:rsidR="00053A52">
        <w:t>c</w:t>
      </w:r>
      <w:r w:rsidRPr="00A52AEE">
        <w:t xml:space="preserve">olleges prepare students who underachieve in school to subsequently achieve their FE </w:t>
      </w:r>
      <w:r w:rsidR="0021637B" w:rsidRPr="00A52AEE">
        <w:t>Level</w:t>
      </w:r>
      <w:r w:rsidRPr="00A52AEE">
        <w:t xml:space="preserve"> 3 qualification </w:t>
      </w:r>
      <w:r w:rsidRPr="00A52AEE">
        <w:rPr>
          <w:u w:val="single"/>
        </w:rPr>
        <w:t>and</w:t>
      </w:r>
      <w:r w:rsidRPr="00A52AEE">
        <w:t xml:space="preserve"> then progress onto HE.  Furthermore, the analysis will be able to show the extent to which HE programmes delivered by FE Colleges enable progression for this group of students (as well </w:t>
      </w:r>
      <w:r w:rsidR="00A54AE3">
        <w:t xml:space="preserve">as </w:t>
      </w:r>
      <w:r w:rsidRPr="00A52AEE">
        <w:t>the extent to which such students progress to universities).</w:t>
      </w:r>
    </w:p>
    <w:p w14:paraId="636388FA" w14:textId="77777777" w:rsidR="006078EF" w:rsidRPr="00A52AEE" w:rsidRDefault="006078EF" w:rsidP="00A52AEE"/>
    <w:p w14:paraId="74F70DBB" w14:textId="06834018" w:rsidR="006078EF" w:rsidRPr="00A52AEE" w:rsidRDefault="006078EF" w:rsidP="008D527A">
      <w:pPr>
        <w:pStyle w:val="Heading2"/>
        <w:numPr>
          <w:ilvl w:val="1"/>
          <w:numId w:val="3"/>
        </w:numPr>
        <w:rPr>
          <w:szCs w:val="24"/>
        </w:rPr>
      </w:pPr>
      <w:bookmarkStart w:id="135" w:name="_Toc429151350"/>
      <w:r w:rsidRPr="00A52AEE">
        <w:t xml:space="preserve">Key Stage 4 attainment of the London college </w:t>
      </w:r>
      <w:r w:rsidR="0021637B" w:rsidRPr="00A52AEE">
        <w:t>Level</w:t>
      </w:r>
      <w:r w:rsidRPr="00A52AEE">
        <w:t xml:space="preserve"> 3 cohort</w:t>
      </w:r>
      <w:bookmarkEnd w:id="135"/>
    </w:p>
    <w:p w14:paraId="5D90C08A" w14:textId="6B1473DB" w:rsidR="00F23342" w:rsidRPr="00A52AEE" w:rsidRDefault="00F23342" w:rsidP="00A52AEE">
      <w:r w:rsidRPr="00A52AEE">
        <w:t xml:space="preserve">In 2010-11, 20% of </w:t>
      </w:r>
      <w:r w:rsidR="00674896">
        <w:t xml:space="preserve">students eligible for free school meals (FSM) </w:t>
      </w:r>
      <w:r w:rsidRPr="00A52AEE">
        <w:t xml:space="preserve">at age 15 progressed to HE at age 19 and this is 18 percentage points lower than non FSM students. </w:t>
      </w:r>
      <w:r w:rsidR="00674896">
        <w:t>Within the</w:t>
      </w:r>
      <w:r w:rsidR="00BA4F56" w:rsidRPr="00A52AEE">
        <w:t xml:space="preserve"> </w:t>
      </w:r>
      <w:r w:rsidR="0021637B" w:rsidRPr="00A52AEE">
        <w:t>Level</w:t>
      </w:r>
      <w:r w:rsidR="00BA4F56" w:rsidRPr="00A52AEE">
        <w:t xml:space="preserve"> 3 cohort, there is a group of students who are identified as being eligible for Free School Meals and thus most disadvantaged. </w:t>
      </w:r>
      <w:r w:rsidRPr="00A52AEE">
        <w:t xml:space="preserve"> Prior attainment at 16 for students from the most disadvantaged neighbourhoods will be examined and their progression compared to less disadvantaged peers.</w:t>
      </w:r>
    </w:p>
    <w:p w14:paraId="753D5309" w14:textId="77777777" w:rsidR="00BA4F56" w:rsidRPr="00A52AEE" w:rsidRDefault="00BA4F56" w:rsidP="00A52AEE"/>
    <w:p w14:paraId="4CA76B6B" w14:textId="54084E5C" w:rsidR="00BA4F56" w:rsidRPr="00A52AEE" w:rsidRDefault="00BA4F56" w:rsidP="00A52AEE">
      <w:r w:rsidRPr="00A52AEE">
        <w:t xml:space="preserve">In order to link KS4 attainment data to as many of the </w:t>
      </w:r>
      <w:r w:rsidR="0021637B" w:rsidRPr="00A52AEE">
        <w:t>Level</w:t>
      </w:r>
      <w:r w:rsidRPr="00A52AEE">
        <w:t xml:space="preserve"> 3 cohort as possible and to ensure that the same KS4 metrics were available, the linked cohort was restricted to young students </w:t>
      </w:r>
      <w:r w:rsidR="00674896">
        <w:t>under</w:t>
      </w:r>
      <w:r w:rsidRPr="00A52AEE">
        <w:t xml:space="preserve"> 20 and three years of cohorts were linked back to school attainment datasets (2008,</w:t>
      </w:r>
      <w:r w:rsidR="00674896">
        <w:t xml:space="preserve"> </w:t>
      </w:r>
      <w:r w:rsidRPr="00A52AEE">
        <w:t xml:space="preserve">2009 and 2010).  Table </w:t>
      </w:r>
      <w:r w:rsidR="004E52FE">
        <w:t>40</w:t>
      </w:r>
      <w:r w:rsidRPr="00A52AEE">
        <w:t xml:space="preserve"> shows that 82% of KS4 records were obtained and 25% of this cohort were classified as FSM. 60% of the cohort attained Level 2 at KS4 in secondary school and 53% had achieved </w:t>
      </w:r>
      <w:r w:rsidR="0021637B" w:rsidRPr="00A52AEE">
        <w:t>Level</w:t>
      </w:r>
      <w:r w:rsidRPr="00A52AEE">
        <w:t xml:space="preserve"> 2 with English and Maths. This means that 47% of the </w:t>
      </w:r>
      <w:r w:rsidR="0021637B" w:rsidRPr="00A52AEE">
        <w:t>Level</w:t>
      </w:r>
      <w:r w:rsidRPr="00A52AEE">
        <w:t xml:space="preserve"> 3 cohort had not attained Level 2 KS4 with English and Maths when they left school.</w:t>
      </w:r>
    </w:p>
    <w:p w14:paraId="7FE3427C" w14:textId="77777777" w:rsidR="00F23342" w:rsidRPr="00A52AEE" w:rsidRDefault="00F23342" w:rsidP="00A52AEE"/>
    <w:p w14:paraId="5731DBE5" w14:textId="12F3A473" w:rsidR="00BA4F56" w:rsidRPr="00674896" w:rsidRDefault="00BA4F56" w:rsidP="00A52AEE">
      <w:pPr>
        <w:rPr>
          <w:b/>
        </w:rPr>
      </w:pPr>
      <w:r w:rsidRPr="00674896">
        <w:rPr>
          <w:b/>
        </w:rPr>
        <w:t xml:space="preserve">Table </w:t>
      </w:r>
      <w:r w:rsidR="0022142D">
        <w:rPr>
          <w:b/>
        </w:rPr>
        <w:t>40</w:t>
      </w:r>
      <w:r w:rsidR="00A2412C" w:rsidRPr="00674896">
        <w:rPr>
          <w:b/>
        </w:rPr>
        <w:t>: L</w:t>
      </w:r>
      <w:r w:rsidRPr="00674896">
        <w:rPr>
          <w:b/>
        </w:rPr>
        <w:t xml:space="preserve">inked KS4 data to three cohorts of young </w:t>
      </w:r>
      <w:r w:rsidR="0021637B" w:rsidRPr="00674896">
        <w:rPr>
          <w:b/>
        </w:rPr>
        <w:t>Level</w:t>
      </w:r>
      <w:r w:rsidRPr="00674896">
        <w:rPr>
          <w:b/>
        </w:rPr>
        <w:t xml:space="preserve"> 3 </w:t>
      </w:r>
      <w:r w:rsidR="0076166E" w:rsidRPr="00674896">
        <w:rPr>
          <w:b/>
        </w:rPr>
        <w:t>London</w:t>
      </w:r>
      <w:r w:rsidRPr="00674896">
        <w:rPr>
          <w:b/>
        </w:rPr>
        <w:t xml:space="preserve"> college </w:t>
      </w:r>
      <w:r w:rsidR="00842186" w:rsidRPr="00674896">
        <w:rPr>
          <w:b/>
        </w:rPr>
        <w:t>student</w:t>
      </w:r>
      <w:r w:rsidRPr="00674896">
        <w:rPr>
          <w:b/>
        </w:rPr>
        <w:t>s</w:t>
      </w:r>
    </w:p>
    <w:p w14:paraId="7BEE43FA" w14:textId="77777777" w:rsidR="00674896" w:rsidRPr="00A52AEE" w:rsidRDefault="00674896" w:rsidP="00A52AEE"/>
    <w:tbl>
      <w:tblPr>
        <w:tblW w:w="5000" w:type="pct"/>
        <w:tblLook w:val="04A0" w:firstRow="1" w:lastRow="0" w:firstColumn="1" w:lastColumn="0" w:noHBand="0" w:noVBand="1"/>
      </w:tblPr>
      <w:tblGrid>
        <w:gridCol w:w="1158"/>
        <w:gridCol w:w="993"/>
        <w:gridCol w:w="1345"/>
        <w:gridCol w:w="1051"/>
        <w:gridCol w:w="857"/>
        <w:gridCol w:w="732"/>
        <w:gridCol w:w="1082"/>
        <w:gridCol w:w="1346"/>
        <w:gridCol w:w="1007"/>
      </w:tblGrid>
      <w:tr w:rsidR="00674896" w:rsidRPr="00674896" w14:paraId="7409D5C4" w14:textId="77777777" w:rsidTr="00A2506E">
        <w:trPr>
          <w:trHeight w:val="1890"/>
        </w:trPr>
        <w:tc>
          <w:tcPr>
            <w:tcW w:w="608"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AB6FC50" w14:textId="2318F92D" w:rsidR="00B40CE3" w:rsidRPr="00674896" w:rsidRDefault="00B40CE3" w:rsidP="00674896">
            <w:pPr>
              <w:jc w:val="center"/>
              <w:rPr>
                <w:b/>
                <w:color w:val="FFFFFF" w:themeColor="background1"/>
                <w:lang w:eastAsia="en-GB"/>
              </w:rPr>
            </w:pPr>
            <w:r w:rsidRPr="00674896">
              <w:rPr>
                <w:b/>
                <w:color w:val="FFFFFF" w:themeColor="background1"/>
                <w:lang w:eastAsia="en-GB"/>
              </w:rPr>
              <w:t xml:space="preserve">2009-2011 </w:t>
            </w:r>
            <w:r w:rsidR="0076166E" w:rsidRPr="00674896">
              <w:rPr>
                <w:b/>
                <w:color w:val="FFFFFF" w:themeColor="background1"/>
                <w:lang w:eastAsia="en-GB"/>
              </w:rPr>
              <w:t>London</w:t>
            </w:r>
            <w:r w:rsidRPr="00674896">
              <w:rPr>
                <w:b/>
                <w:color w:val="FFFFFF" w:themeColor="background1"/>
                <w:lang w:eastAsia="en-GB"/>
              </w:rPr>
              <w:t xml:space="preserve"> </w:t>
            </w:r>
            <w:r w:rsidR="0021637B" w:rsidRPr="00674896">
              <w:rPr>
                <w:b/>
                <w:color w:val="FFFFFF" w:themeColor="background1"/>
                <w:lang w:eastAsia="en-GB"/>
              </w:rPr>
              <w:t>Level</w:t>
            </w:r>
            <w:r w:rsidRPr="00674896">
              <w:rPr>
                <w:b/>
                <w:color w:val="FFFFFF" w:themeColor="background1"/>
                <w:lang w:eastAsia="en-GB"/>
              </w:rPr>
              <w:t xml:space="preserve"> 3 cohort</w:t>
            </w:r>
          </w:p>
        </w:tc>
        <w:tc>
          <w:tcPr>
            <w:tcW w:w="522"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8FA6C7F" w14:textId="77777777" w:rsidR="00B40CE3" w:rsidRPr="00674896" w:rsidRDefault="00B40CE3" w:rsidP="00674896">
            <w:pPr>
              <w:jc w:val="center"/>
              <w:rPr>
                <w:b/>
                <w:color w:val="FFFFFF" w:themeColor="background1"/>
                <w:lang w:eastAsia="en-GB"/>
              </w:rPr>
            </w:pPr>
            <w:r w:rsidRPr="00674896">
              <w:rPr>
                <w:b/>
                <w:color w:val="FFFFFF" w:themeColor="background1"/>
                <w:lang w:eastAsia="en-GB"/>
              </w:rPr>
              <w:t>London cohort with linked KS4 data</w:t>
            </w:r>
          </w:p>
        </w:tc>
        <w:tc>
          <w:tcPr>
            <w:tcW w:w="706"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5A20F909" w14:textId="77777777" w:rsidR="00B40CE3" w:rsidRPr="00674896" w:rsidRDefault="00B40CE3" w:rsidP="00674896">
            <w:pPr>
              <w:jc w:val="center"/>
              <w:rPr>
                <w:b/>
                <w:color w:val="FFFFFF" w:themeColor="background1"/>
                <w:lang w:eastAsia="en-GB"/>
              </w:rPr>
            </w:pPr>
            <w:r w:rsidRPr="00674896">
              <w:rPr>
                <w:b/>
                <w:color w:val="FFFFFF" w:themeColor="background1"/>
                <w:lang w:eastAsia="en-GB"/>
              </w:rPr>
              <w:t>KS4 attainment captured</w:t>
            </w:r>
          </w:p>
        </w:tc>
        <w:tc>
          <w:tcPr>
            <w:tcW w:w="552"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3DFEB140" w14:textId="511231BC" w:rsidR="00B40CE3" w:rsidRPr="00674896" w:rsidRDefault="00B40CE3" w:rsidP="00674896">
            <w:pPr>
              <w:jc w:val="center"/>
              <w:rPr>
                <w:b/>
                <w:color w:val="FFFFFF" w:themeColor="background1"/>
                <w:lang w:eastAsia="en-GB"/>
              </w:rPr>
            </w:pPr>
            <w:r w:rsidRPr="00674896">
              <w:rPr>
                <w:b/>
                <w:color w:val="FFFFFF" w:themeColor="background1"/>
                <w:lang w:eastAsia="en-GB"/>
              </w:rPr>
              <w:t xml:space="preserve">% of cohort </w:t>
            </w:r>
            <w:r w:rsidR="00A2506E" w:rsidRPr="00674896">
              <w:rPr>
                <w:b/>
                <w:color w:val="FFFFFF" w:themeColor="background1"/>
                <w:lang w:eastAsia="en-GB"/>
              </w:rPr>
              <w:t>eligible for free school meals</w:t>
            </w:r>
          </w:p>
        </w:tc>
        <w:tc>
          <w:tcPr>
            <w:tcW w:w="451"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EE2BC10" w14:textId="5EEE77F7" w:rsidR="00B40CE3" w:rsidRPr="00674896" w:rsidRDefault="00BA4F56" w:rsidP="00674896">
            <w:pPr>
              <w:jc w:val="center"/>
              <w:rPr>
                <w:b/>
                <w:color w:val="FFFFFF" w:themeColor="background1"/>
                <w:lang w:eastAsia="en-GB"/>
              </w:rPr>
            </w:pPr>
            <w:r w:rsidRPr="00674896">
              <w:rPr>
                <w:b/>
                <w:color w:val="FFFFFF" w:themeColor="background1"/>
                <w:lang w:eastAsia="en-GB"/>
              </w:rPr>
              <w:t xml:space="preserve">KS4 </w:t>
            </w:r>
            <w:r w:rsidR="0021637B" w:rsidRPr="00674896">
              <w:rPr>
                <w:b/>
                <w:color w:val="FFFFFF" w:themeColor="background1"/>
                <w:lang w:eastAsia="en-GB"/>
              </w:rPr>
              <w:t>Level</w:t>
            </w:r>
            <w:r w:rsidR="00B40CE3" w:rsidRPr="00674896">
              <w:rPr>
                <w:b/>
                <w:color w:val="FFFFFF" w:themeColor="background1"/>
                <w:lang w:eastAsia="en-GB"/>
              </w:rPr>
              <w:t xml:space="preserve"> 2 (5 A*-C)</w:t>
            </w:r>
          </w:p>
        </w:tc>
        <w:tc>
          <w:tcPr>
            <w:tcW w:w="371" w:type="pct"/>
            <w:tcBorders>
              <w:top w:val="single" w:sz="4" w:space="0" w:color="auto"/>
              <w:left w:val="nil"/>
              <w:bottom w:val="single" w:sz="4" w:space="0" w:color="auto"/>
              <w:right w:val="single" w:sz="4" w:space="0" w:color="auto"/>
            </w:tcBorders>
            <w:shd w:val="clear" w:color="auto" w:fill="1F4E79" w:themeFill="accent1" w:themeFillShade="80"/>
            <w:vAlign w:val="center"/>
          </w:tcPr>
          <w:p w14:paraId="0B55AD86" w14:textId="449FD9A4" w:rsidR="00B40CE3" w:rsidRPr="00674896" w:rsidRDefault="00A2506E" w:rsidP="00674896">
            <w:pPr>
              <w:jc w:val="center"/>
              <w:rPr>
                <w:b/>
                <w:color w:val="FFFFFF" w:themeColor="background1"/>
                <w:lang w:eastAsia="en-GB"/>
              </w:rPr>
            </w:pPr>
            <w:r w:rsidRPr="00674896">
              <w:rPr>
                <w:b/>
                <w:color w:val="FFFFFF" w:themeColor="background1"/>
                <w:lang w:eastAsia="en-GB"/>
              </w:rPr>
              <w:t xml:space="preserve">% KS4 </w:t>
            </w:r>
            <w:r w:rsidR="0021637B" w:rsidRPr="00674896">
              <w:rPr>
                <w:b/>
                <w:color w:val="FFFFFF" w:themeColor="background1"/>
                <w:lang w:eastAsia="en-GB"/>
              </w:rPr>
              <w:t>Level</w:t>
            </w:r>
            <w:r w:rsidRPr="00674896">
              <w:rPr>
                <w:b/>
                <w:color w:val="FFFFFF" w:themeColor="background1"/>
                <w:lang w:eastAsia="en-GB"/>
              </w:rPr>
              <w:t xml:space="preserve"> 2 (5 A*-C)</w:t>
            </w:r>
          </w:p>
        </w:tc>
        <w:tc>
          <w:tcPr>
            <w:tcW w:w="568"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0EE9CF5" w14:textId="78331DB0" w:rsidR="00B40CE3" w:rsidRPr="00674896" w:rsidRDefault="00A2506E" w:rsidP="00674896">
            <w:pPr>
              <w:jc w:val="center"/>
              <w:rPr>
                <w:b/>
                <w:color w:val="FFFFFF" w:themeColor="background1"/>
                <w:lang w:eastAsia="en-GB"/>
              </w:rPr>
            </w:pPr>
            <w:r w:rsidRPr="00674896">
              <w:rPr>
                <w:b/>
                <w:color w:val="FFFFFF" w:themeColor="background1"/>
                <w:lang w:eastAsia="en-GB"/>
              </w:rPr>
              <w:t xml:space="preserve">KS4 </w:t>
            </w:r>
            <w:r w:rsidR="00B40CE3" w:rsidRPr="00674896">
              <w:rPr>
                <w:b/>
                <w:color w:val="FFFFFF" w:themeColor="background1"/>
                <w:lang w:eastAsia="en-GB"/>
              </w:rPr>
              <w:t>Level 2 with English and Maths</w:t>
            </w:r>
          </w:p>
        </w:tc>
        <w:tc>
          <w:tcPr>
            <w:tcW w:w="706"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D085473" w14:textId="5085E0F5" w:rsidR="00B40CE3" w:rsidRPr="00674896" w:rsidRDefault="00B40CE3" w:rsidP="00674896">
            <w:pPr>
              <w:jc w:val="center"/>
              <w:rPr>
                <w:b/>
                <w:color w:val="FFFFFF" w:themeColor="background1"/>
                <w:lang w:eastAsia="en-GB"/>
              </w:rPr>
            </w:pPr>
            <w:r w:rsidRPr="00674896">
              <w:rPr>
                <w:b/>
                <w:color w:val="FFFFFF" w:themeColor="background1"/>
                <w:lang w:eastAsia="en-GB"/>
              </w:rPr>
              <w:t xml:space="preserve">% </w:t>
            </w:r>
            <w:r w:rsidR="00A2506E" w:rsidRPr="00674896">
              <w:rPr>
                <w:b/>
                <w:color w:val="FFFFFF" w:themeColor="background1"/>
                <w:lang w:eastAsia="en-GB"/>
              </w:rPr>
              <w:t xml:space="preserve">KS4 </w:t>
            </w:r>
            <w:r w:rsidR="0021637B" w:rsidRPr="00674896">
              <w:rPr>
                <w:b/>
                <w:color w:val="FFFFFF" w:themeColor="background1"/>
                <w:lang w:eastAsia="en-GB"/>
              </w:rPr>
              <w:t>Level</w:t>
            </w:r>
            <w:r w:rsidRPr="00674896">
              <w:rPr>
                <w:b/>
                <w:color w:val="FFFFFF" w:themeColor="background1"/>
                <w:lang w:eastAsia="en-GB"/>
              </w:rPr>
              <w:t xml:space="preserve"> 2 with English and Maths</w:t>
            </w:r>
          </w:p>
        </w:tc>
        <w:tc>
          <w:tcPr>
            <w:tcW w:w="516"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39C738E" w14:textId="72D5DE23" w:rsidR="00B40CE3" w:rsidRPr="00674896" w:rsidRDefault="00B40CE3" w:rsidP="00674896">
            <w:pPr>
              <w:jc w:val="center"/>
              <w:rPr>
                <w:b/>
                <w:color w:val="FFFFFF" w:themeColor="background1"/>
                <w:lang w:eastAsia="en-GB"/>
              </w:rPr>
            </w:pPr>
            <w:r w:rsidRPr="00674896">
              <w:rPr>
                <w:b/>
                <w:color w:val="FFFFFF" w:themeColor="background1"/>
                <w:lang w:eastAsia="en-GB"/>
              </w:rPr>
              <w:t xml:space="preserve">% </w:t>
            </w:r>
            <w:r w:rsidR="00A2506E" w:rsidRPr="00674896">
              <w:rPr>
                <w:b/>
                <w:color w:val="FFFFFF" w:themeColor="background1"/>
                <w:lang w:eastAsia="en-GB"/>
              </w:rPr>
              <w:t xml:space="preserve">KS4 </w:t>
            </w:r>
            <w:r w:rsidR="0021637B" w:rsidRPr="00674896">
              <w:rPr>
                <w:b/>
                <w:color w:val="FFFFFF" w:themeColor="background1"/>
                <w:lang w:eastAsia="en-GB"/>
              </w:rPr>
              <w:t xml:space="preserve">Level </w:t>
            </w:r>
            <w:r w:rsidR="00A2506E" w:rsidRPr="00674896">
              <w:rPr>
                <w:b/>
                <w:color w:val="FFFFFF" w:themeColor="background1"/>
                <w:lang w:eastAsia="en-GB"/>
              </w:rPr>
              <w:t xml:space="preserve">2 </w:t>
            </w:r>
            <w:r w:rsidRPr="00674896">
              <w:rPr>
                <w:b/>
                <w:color w:val="FFFFFF" w:themeColor="background1"/>
                <w:lang w:eastAsia="en-GB"/>
              </w:rPr>
              <w:t>without English and Maths</w:t>
            </w:r>
          </w:p>
        </w:tc>
      </w:tr>
      <w:tr w:rsidR="00A2506E" w:rsidRPr="00A52AEE" w14:paraId="3F7669D0" w14:textId="77777777" w:rsidTr="00A2506E">
        <w:trPr>
          <w:trHeight w:val="300"/>
        </w:trPr>
        <w:tc>
          <w:tcPr>
            <w:tcW w:w="6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85AAF79" w14:textId="77777777" w:rsidR="00B40CE3" w:rsidRPr="00A52AEE" w:rsidRDefault="00B40CE3" w:rsidP="009A2373">
            <w:pPr>
              <w:jc w:val="right"/>
              <w:rPr>
                <w:lang w:eastAsia="en-GB"/>
              </w:rPr>
            </w:pPr>
            <w:r w:rsidRPr="00A52AEE">
              <w:rPr>
                <w:lang w:eastAsia="en-GB"/>
              </w:rPr>
              <w:t>77200</w:t>
            </w:r>
          </w:p>
        </w:tc>
        <w:tc>
          <w:tcPr>
            <w:tcW w:w="52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A0A84C2" w14:textId="77777777" w:rsidR="00B40CE3" w:rsidRPr="00A52AEE" w:rsidRDefault="00B40CE3" w:rsidP="009A2373">
            <w:pPr>
              <w:jc w:val="right"/>
              <w:rPr>
                <w:lang w:eastAsia="en-GB"/>
              </w:rPr>
            </w:pPr>
            <w:r w:rsidRPr="00A52AEE">
              <w:rPr>
                <w:lang w:eastAsia="en-GB"/>
              </w:rPr>
              <w:t>63215</w:t>
            </w:r>
          </w:p>
        </w:tc>
        <w:tc>
          <w:tcPr>
            <w:tcW w:w="70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093CB1C" w14:textId="77777777" w:rsidR="00B40CE3" w:rsidRPr="00A52AEE" w:rsidRDefault="00B40CE3" w:rsidP="009A2373">
            <w:pPr>
              <w:jc w:val="right"/>
              <w:rPr>
                <w:lang w:eastAsia="en-GB"/>
              </w:rPr>
            </w:pPr>
            <w:r w:rsidRPr="00A52AEE">
              <w:rPr>
                <w:lang w:eastAsia="en-GB"/>
              </w:rPr>
              <w:t>82%</w:t>
            </w:r>
          </w:p>
        </w:tc>
        <w:tc>
          <w:tcPr>
            <w:tcW w:w="55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0E3D9B2" w14:textId="77777777" w:rsidR="00B40CE3" w:rsidRPr="00A52AEE" w:rsidRDefault="00B40CE3" w:rsidP="009A2373">
            <w:pPr>
              <w:jc w:val="right"/>
              <w:rPr>
                <w:lang w:eastAsia="en-GB"/>
              </w:rPr>
            </w:pPr>
            <w:r w:rsidRPr="00A52AEE">
              <w:rPr>
                <w:lang w:eastAsia="en-GB"/>
              </w:rPr>
              <w:t>25%</w:t>
            </w:r>
          </w:p>
        </w:tc>
        <w:tc>
          <w:tcPr>
            <w:tcW w:w="4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0236A6A" w14:textId="77777777" w:rsidR="00B40CE3" w:rsidRPr="00A52AEE" w:rsidRDefault="00B40CE3" w:rsidP="009A2373">
            <w:pPr>
              <w:jc w:val="right"/>
              <w:rPr>
                <w:lang w:eastAsia="en-GB"/>
              </w:rPr>
            </w:pPr>
            <w:r w:rsidRPr="00A52AEE">
              <w:rPr>
                <w:lang w:eastAsia="en-GB"/>
              </w:rPr>
              <w:t>38175</w:t>
            </w:r>
          </w:p>
        </w:tc>
        <w:tc>
          <w:tcPr>
            <w:tcW w:w="3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9B63BCC" w14:textId="77777777" w:rsidR="00B40CE3" w:rsidRPr="00A52AEE" w:rsidRDefault="00B40CE3" w:rsidP="009A2373">
            <w:pPr>
              <w:jc w:val="right"/>
              <w:rPr>
                <w:lang w:eastAsia="en-GB"/>
              </w:rPr>
            </w:pPr>
            <w:r w:rsidRPr="00A52AEE">
              <w:rPr>
                <w:lang w:eastAsia="en-GB"/>
              </w:rPr>
              <w:t>60%</w:t>
            </w:r>
          </w:p>
        </w:tc>
        <w:tc>
          <w:tcPr>
            <w:tcW w:w="56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F20F266" w14:textId="77777777" w:rsidR="00B40CE3" w:rsidRPr="00A52AEE" w:rsidRDefault="00B40CE3" w:rsidP="009A2373">
            <w:pPr>
              <w:jc w:val="right"/>
              <w:rPr>
                <w:lang w:eastAsia="en-GB"/>
              </w:rPr>
            </w:pPr>
            <w:r w:rsidRPr="00A52AEE">
              <w:rPr>
                <w:lang w:eastAsia="en-GB"/>
              </w:rPr>
              <w:t>33455</w:t>
            </w:r>
          </w:p>
        </w:tc>
        <w:tc>
          <w:tcPr>
            <w:tcW w:w="70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E002579" w14:textId="77777777" w:rsidR="00B40CE3" w:rsidRPr="00A52AEE" w:rsidRDefault="00B40CE3" w:rsidP="009A2373">
            <w:pPr>
              <w:jc w:val="right"/>
              <w:rPr>
                <w:lang w:eastAsia="en-GB"/>
              </w:rPr>
            </w:pPr>
            <w:r w:rsidRPr="00A52AEE">
              <w:rPr>
                <w:lang w:eastAsia="en-GB"/>
              </w:rPr>
              <w:t>53%</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AA5472" w14:textId="77777777" w:rsidR="00B40CE3" w:rsidRPr="00A52AEE" w:rsidRDefault="00B40CE3" w:rsidP="009A2373">
            <w:pPr>
              <w:jc w:val="right"/>
              <w:rPr>
                <w:lang w:eastAsia="en-GB"/>
              </w:rPr>
            </w:pPr>
            <w:r w:rsidRPr="00A52AEE">
              <w:rPr>
                <w:lang w:eastAsia="en-GB"/>
              </w:rPr>
              <w:t>47%</w:t>
            </w:r>
          </w:p>
        </w:tc>
      </w:tr>
      <w:tr w:rsidR="00A2506E" w:rsidRPr="00A52AEE" w14:paraId="6DF174B8" w14:textId="77777777" w:rsidTr="00A2506E">
        <w:trPr>
          <w:trHeight w:val="300"/>
        </w:trPr>
        <w:tc>
          <w:tcPr>
            <w:tcW w:w="608" w:type="pct"/>
            <w:vMerge/>
            <w:tcBorders>
              <w:top w:val="nil"/>
              <w:left w:val="single" w:sz="4" w:space="0" w:color="auto"/>
              <w:bottom w:val="single" w:sz="4" w:space="0" w:color="auto"/>
              <w:right w:val="single" w:sz="4" w:space="0" w:color="auto"/>
            </w:tcBorders>
            <w:vAlign w:val="center"/>
            <w:hideMark/>
          </w:tcPr>
          <w:p w14:paraId="3CC62695" w14:textId="77777777" w:rsidR="00B40CE3" w:rsidRPr="00A52AEE" w:rsidRDefault="00B40CE3" w:rsidP="00A52AEE">
            <w:pPr>
              <w:rPr>
                <w:lang w:eastAsia="en-GB"/>
              </w:rPr>
            </w:pPr>
          </w:p>
        </w:tc>
        <w:tc>
          <w:tcPr>
            <w:tcW w:w="522" w:type="pct"/>
            <w:vMerge/>
            <w:tcBorders>
              <w:top w:val="nil"/>
              <w:left w:val="single" w:sz="4" w:space="0" w:color="auto"/>
              <w:bottom w:val="single" w:sz="4" w:space="0" w:color="auto"/>
              <w:right w:val="single" w:sz="4" w:space="0" w:color="auto"/>
            </w:tcBorders>
            <w:vAlign w:val="center"/>
            <w:hideMark/>
          </w:tcPr>
          <w:p w14:paraId="18C2E9B0" w14:textId="77777777" w:rsidR="00B40CE3" w:rsidRPr="00A52AEE" w:rsidRDefault="00B40CE3" w:rsidP="00A52AEE">
            <w:pPr>
              <w:rPr>
                <w:lang w:eastAsia="en-GB"/>
              </w:rPr>
            </w:pPr>
          </w:p>
        </w:tc>
        <w:tc>
          <w:tcPr>
            <w:tcW w:w="706" w:type="pct"/>
            <w:vMerge/>
            <w:tcBorders>
              <w:top w:val="nil"/>
              <w:left w:val="single" w:sz="4" w:space="0" w:color="auto"/>
              <w:bottom w:val="single" w:sz="4" w:space="0" w:color="auto"/>
              <w:right w:val="single" w:sz="4" w:space="0" w:color="auto"/>
            </w:tcBorders>
            <w:vAlign w:val="center"/>
            <w:hideMark/>
          </w:tcPr>
          <w:p w14:paraId="088BCA53" w14:textId="77777777" w:rsidR="00B40CE3" w:rsidRPr="00A52AEE" w:rsidRDefault="00B40CE3" w:rsidP="00A52AEE">
            <w:pPr>
              <w:rPr>
                <w:lang w:eastAsia="en-GB"/>
              </w:rPr>
            </w:pPr>
          </w:p>
        </w:tc>
        <w:tc>
          <w:tcPr>
            <w:tcW w:w="552" w:type="pct"/>
            <w:vMerge/>
            <w:tcBorders>
              <w:top w:val="nil"/>
              <w:left w:val="single" w:sz="4" w:space="0" w:color="auto"/>
              <w:bottom w:val="single" w:sz="4" w:space="0" w:color="auto"/>
              <w:right w:val="single" w:sz="4" w:space="0" w:color="auto"/>
            </w:tcBorders>
            <w:vAlign w:val="center"/>
            <w:hideMark/>
          </w:tcPr>
          <w:p w14:paraId="75DD8D45" w14:textId="77777777" w:rsidR="00B40CE3" w:rsidRPr="00A52AEE" w:rsidRDefault="00B40CE3" w:rsidP="00A52AEE">
            <w:pPr>
              <w:rPr>
                <w:lang w:eastAsia="en-GB"/>
              </w:rPr>
            </w:pPr>
          </w:p>
        </w:tc>
        <w:tc>
          <w:tcPr>
            <w:tcW w:w="451" w:type="pct"/>
            <w:vMerge/>
            <w:tcBorders>
              <w:top w:val="nil"/>
              <w:left w:val="single" w:sz="4" w:space="0" w:color="auto"/>
              <w:bottom w:val="single" w:sz="4" w:space="0" w:color="auto"/>
              <w:right w:val="single" w:sz="4" w:space="0" w:color="auto"/>
            </w:tcBorders>
            <w:vAlign w:val="center"/>
            <w:hideMark/>
          </w:tcPr>
          <w:p w14:paraId="4F8175F8" w14:textId="77777777" w:rsidR="00B40CE3" w:rsidRPr="00A52AEE" w:rsidRDefault="00B40CE3" w:rsidP="00A52AEE">
            <w:pPr>
              <w:rPr>
                <w:lang w:eastAsia="en-GB"/>
              </w:rPr>
            </w:pPr>
          </w:p>
        </w:tc>
        <w:tc>
          <w:tcPr>
            <w:tcW w:w="371" w:type="pct"/>
            <w:vMerge/>
            <w:tcBorders>
              <w:top w:val="nil"/>
              <w:left w:val="single" w:sz="4" w:space="0" w:color="auto"/>
              <w:bottom w:val="single" w:sz="4" w:space="0" w:color="auto"/>
              <w:right w:val="single" w:sz="4" w:space="0" w:color="auto"/>
            </w:tcBorders>
            <w:vAlign w:val="center"/>
            <w:hideMark/>
          </w:tcPr>
          <w:p w14:paraId="34978622" w14:textId="77777777" w:rsidR="00B40CE3" w:rsidRPr="00A52AEE" w:rsidRDefault="00B40CE3" w:rsidP="00A52AEE">
            <w:pPr>
              <w:rPr>
                <w:lang w:eastAsia="en-GB"/>
              </w:rPr>
            </w:pPr>
          </w:p>
        </w:tc>
        <w:tc>
          <w:tcPr>
            <w:tcW w:w="568" w:type="pct"/>
            <w:vMerge/>
            <w:tcBorders>
              <w:top w:val="nil"/>
              <w:left w:val="single" w:sz="4" w:space="0" w:color="auto"/>
              <w:bottom w:val="single" w:sz="4" w:space="0" w:color="auto"/>
              <w:right w:val="single" w:sz="4" w:space="0" w:color="auto"/>
            </w:tcBorders>
            <w:vAlign w:val="center"/>
            <w:hideMark/>
          </w:tcPr>
          <w:p w14:paraId="3401946E" w14:textId="77777777" w:rsidR="00B40CE3" w:rsidRPr="00A52AEE" w:rsidRDefault="00B40CE3" w:rsidP="00A52AEE">
            <w:pPr>
              <w:rPr>
                <w:lang w:eastAsia="en-GB"/>
              </w:rPr>
            </w:pPr>
          </w:p>
        </w:tc>
        <w:tc>
          <w:tcPr>
            <w:tcW w:w="706" w:type="pct"/>
            <w:vMerge/>
            <w:tcBorders>
              <w:top w:val="nil"/>
              <w:left w:val="single" w:sz="4" w:space="0" w:color="auto"/>
              <w:bottom w:val="single" w:sz="4" w:space="0" w:color="auto"/>
              <w:right w:val="single" w:sz="4" w:space="0" w:color="auto"/>
            </w:tcBorders>
            <w:vAlign w:val="center"/>
            <w:hideMark/>
          </w:tcPr>
          <w:p w14:paraId="3BA7FDC7" w14:textId="77777777" w:rsidR="00B40CE3" w:rsidRPr="00A52AEE" w:rsidRDefault="00B40CE3" w:rsidP="00A52AEE">
            <w:pPr>
              <w:rPr>
                <w:lang w:eastAsia="en-GB"/>
              </w:rPr>
            </w:pPr>
          </w:p>
        </w:tc>
        <w:tc>
          <w:tcPr>
            <w:tcW w:w="516" w:type="pct"/>
            <w:vMerge/>
            <w:tcBorders>
              <w:top w:val="nil"/>
              <w:left w:val="single" w:sz="4" w:space="0" w:color="auto"/>
              <w:bottom w:val="single" w:sz="4" w:space="0" w:color="auto"/>
              <w:right w:val="single" w:sz="4" w:space="0" w:color="auto"/>
            </w:tcBorders>
            <w:vAlign w:val="center"/>
            <w:hideMark/>
          </w:tcPr>
          <w:p w14:paraId="36BF8F83" w14:textId="77777777" w:rsidR="00B40CE3" w:rsidRPr="00A52AEE" w:rsidRDefault="00B40CE3" w:rsidP="00A52AEE">
            <w:pPr>
              <w:rPr>
                <w:lang w:eastAsia="en-GB"/>
              </w:rPr>
            </w:pPr>
          </w:p>
        </w:tc>
      </w:tr>
    </w:tbl>
    <w:p w14:paraId="00688083" w14:textId="77777777" w:rsidR="00B40CE3" w:rsidRPr="00A52AEE" w:rsidRDefault="00B40CE3" w:rsidP="00A52AEE"/>
    <w:p w14:paraId="258FA4CF" w14:textId="2F1FF597" w:rsidR="0068454F" w:rsidRPr="00A52AEE" w:rsidRDefault="00930339" w:rsidP="00A52AEE">
      <w:pPr>
        <w:rPr>
          <w:b/>
        </w:rPr>
      </w:pPr>
      <w:r w:rsidRPr="00A52AEE">
        <w:t xml:space="preserve">Not surprisingly, most of those students who studied A </w:t>
      </w:r>
      <w:r w:rsidR="0021637B" w:rsidRPr="00A52AEE">
        <w:t>Level</w:t>
      </w:r>
      <w:r w:rsidR="00A54AE3">
        <w:t>s</w:t>
      </w:r>
      <w:r w:rsidRPr="00A52AEE">
        <w:t xml:space="preserve"> in FE colleges had attained Level 2 including English and Maths but the chart in Figure </w:t>
      </w:r>
      <w:r w:rsidR="00A2506E" w:rsidRPr="00A52AEE">
        <w:t>10 shows that a considerable</w:t>
      </w:r>
      <w:r w:rsidRPr="00A52AEE">
        <w:t xml:space="preserve"> proportion of students studying other FE qualifications had not attained this level, for example, 62% of vocational </w:t>
      </w:r>
      <w:r w:rsidR="0021637B" w:rsidRPr="00A52AEE">
        <w:t>Level</w:t>
      </w:r>
      <w:r w:rsidRPr="00A52AEE">
        <w:t xml:space="preserve"> 3 students were low attainers at KS4 in secondary school.</w:t>
      </w:r>
      <w:r w:rsidR="0068454F" w:rsidRPr="00A52AEE">
        <w:rPr>
          <w:b/>
        </w:rPr>
        <w:br w:type="page"/>
      </w:r>
    </w:p>
    <w:p w14:paraId="515A5112" w14:textId="73B57766" w:rsidR="00930339" w:rsidRDefault="0068454F" w:rsidP="00A52AEE">
      <w:pPr>
        <w:rPr>
          <w:b/>
        </w:rPr>
      </w:pPr>
      <w:r w:rsidRPr="00674896">
        <w:rPr>
          <w:b/>
        </w:rPr>
        <w:t>Figure</w:t>
      </w:r>
      <w:r w:rsidR="007E698B" w:rsidRPr="00674896">
        <w:rPr>
          <w:b/>
        </w:rPr>
        <w:t xml:space="preserve"> 10</w:t>
      </w:r>
      <w:r w:rsidR="00A2506E" w:rsidRPr="00674896">
        <w:rPr>
          <w:b/>
        </w:rPr>
        <w:t>:</w:t>
      </w:r>
      <w:r w:rsidRPr="00674896">
        <w:rPr>
          <w:b/>
        </w:rPr>
        <w:t xml:space="preserve"> FE level qualification type for the cohort who </w:t>
      </w:r>
      <w:r w:rsidR="00045621" w:rsidRPr="00674896">
        <w:rPr>
          <w:b/>
        </w:rPr>
        <w:t xml:space="preserve">did </w:t>
      </w:r>
      <w:r w:rsidR="00045621" w:rsidRPr="00674896">
        <w:rPr>
          <w:b/>
          <w:u w:val="single"/>
        </w:rPr>
        <w:t xml:space="preserve">not </w:t>
      </w:r>
      <w:r w:rsidRPr="00674896">
        <w:rPr>
          <w:b/>
        </w:rPr>
        <w:t>achieve</w:t>
      </w:r>
      <w:r w:rsidR="00A2506E" w:rsidRPr="00674896">
        <w:rPr>
          <w:b/>
        </w:rPr>
        <w:t xml:space="preserve"> KS4 L</w:t>
      </w:r>
      <w:r w:rsidRPr="00674896">
        <w:rPr>
          <w:b/>
        </w:rPr>
        <w:t>evel 2 at KS4</w:t>
      </w:r>
      <w:r w:rsidR="00A2506E" w:rsidRPr="00674896">
        <w:rPr>
          <w:b/>
        </w:rPr>
        <w:t xml:space="preserve"> with English and Maths</w:t>
      </w:r>
      <w:r w:rsidRPr="00674896">
        <w:rPr>
          <w:b/>
        </w:rPr>
        <w:t xml:space="preserve"> </w:t>
      </w:r>
      <w:r w:rsidR="00045621" w:rsidRPr="00674896">
        <w:rPr>
          <w:b/>
        </w:rPr>
        <w:t>(low attaining)</w:t>
      </w:r>
    </w:p>
    <w:p w14:paraId="0D5B5A10" w14:textId="77777777" w:rsidR="00674896" w:rsidRPr="00674896" w:rsidRDefault="00674896" w:rsidP="00A52AEE">
      <w:pPr>
        <w:rPr>
          <w:b/>
        </w:rPr>
      </w:pPr>
    </w:p>
    <w:p w14:paraId="724A27F1" w14:textId="532A46E2" w:rsidR="00930339" w:rsidRPr="00A52AEE" w:rsidRDefault="00930339" w:rsidP="00A52AEE">
      <w:r w:rsidRPr="00A52AEE">
        <w:rPr>
          <w:noProof/>
          <w:lang w:eastAsia="en-GB"/>
        </w:rPr>
        <w:drawing>
          <wp:inline distT="0" distB="0" distL="0" distR="0" wp14:anchorId="17EE3CF2" wp14:editId="0DD3D5C9">
            <wp:extent cx="5905500" cy="3133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50473" cy="3157543"/>
                    </a:xfrm>
                    <a:prstGeom prst="rect">
                      <a:avLst/>
                    </a:prstGeom>
                  </pic:spPr>
                </pic:pic>
              </a:graphicData>
            </a:graphic>
          </wp:inline>
        </w:drawing>
      </w:r>
    </w:p>
    <w:p w14:paraId="52F8B73F" w14:textId="77777777" w:rsidR="00673C12" w:rsidRPr="00A52AEE" w:rsidRDefault="00673C12" w:rsidP="00A52AEE"/>
    <w:p w14:paraId="41A48499" w14:textId="05F9BB20" w:rsidR="00045621" w:rsidRPr="00A52AEE" w:rsidRDefault="00045621" w:rsidP="00A52AEE">
      <w:r w:rsidRPr="00A52AEE">
        <w:t xml:space="preserve">A different lens on FE </w:t>
      </w:r>
      <w:r w:rsidR="0021637B" w:rsidRPr="00A52AEE">
        <w:t>Level</w:t>
      </w:r>
      <w:r w:rsidRPr="00A52AEE">
        <w:t xml:space="preserve"> 3 qualifications and prior attainment in Figure </w:t>
      </w:r>
      <w:r w:rsidR="007E698B" w:rsidRPr="00A52AEE">
        <w:t>11</w:t>
      </w:r>
      <w:r w:rsidRPr="00A52AEE">
        <w:t xml:space="preserve"> allows us to see that a large proportion of low attaining students studied BTEC in FE at </w:t>
      </w:r>
      <w:r w:rsidR="0021637B" w:rsidRPr="00A52AEE">
        <w:t>Level</w:t>
      </w:r>
      <w:r w:rsidRPr="00A52AEE">
        <w:t xml:space="preserve"> 3, 69%. In contrast only 31% of high attaining students studied BTEC and the majority of this group studied A </w:t>
      </w:r>
      <w:r w:rsidR="0021637B" w:rsidRPr="00A52AEE">
        <w:t>Level</w:t>
      </w:r>
      <w:r w:rsidRPr="00A52AEE">
        <w:t>.</w:t>
      </w:r>
    </w:p>
    <w:p w14:paraId="0109DD6F" w14:textId="77777777" w:rsidR="00674896" w:rsidRDefault="00674896" w:rsidP="00A52AEE"/>
    <w:p w14:paraId="32D1E69A" w14:textId="1718D13A" w:rsidR="00A2506E" w:rsidRPr="00674896" w:rsidRDefault="00045621" w:rsidP="00A52AEE">
      <w:pPr>
        <w:rPr>
          <w:b/>
        </w:rPr>
      </w:pPr>
      <w:r w:rsidRPr="00674896">
        <w:rPr>
          <w:b/>
        </w:rPr>
        <w:t>Figure 1</w:t>
      </w:r>
      <w:r w:rsidR="007E698B" w:rsidRPr="00674896">
        <w:rPr>
          <w:b/>
        </w:rPr>
        <w:t>1</w:t>
      </w:r>
      <w:r w:rsidR="00A2506E" w:rsidRPr="00674896">
        <w:rPr>
          <w:b/>
        </w:rPr>
        <w:t>:</w:t>
      </w:r>
      <w:r w:rsidRPr="00674896">
        <w:rPr>
          <w:b/>
        </w:rPr>
        <w:t xml:space="preserve"> FE qualification breakdown by KS4 attainment group </w:t>
      </w:r>
    </w:p>
    <w:p w14:paraId="2E3FDA96" w14:textId="77777777" w:rsidR="00674896" w:rsidRPr="00A52AEE" w:rsidRDefault="00674896" w:rsidP="00A52AEE"/>
    <w:p w14:paraId="21196B94" w14:textId="39887F88" w:rsidR="00045621" w:rsidRPr="00A52AEE" w:rsidRDefault="00045621" w:rsidP="00A52AEE">
      <w:r w:rsidRPr="00A52AEE">
        <w:rPr>
          <w:noProof/>
          <w:lang w:eastAsia="en-GB"/>
        </w:rPr>
        <w:drawing>
          <wp:inline distT="0" distB="0" distL="0" distR="0" wp14:anchorId="6581EAF1" wp14:editId="12BD27CF">
            <wp:extent cx="5956945" cy="3276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80366" cy="3289483"/>
                    </a:xfrm>
                    <a:prstGeom prst="rect">
                      <a:avLst/>
                    </a:prstGeom>
                  </pic:spPr>
                </pic:pic>
              </a:graphicData>
            </a:graphic>
          </wp:inline>
        </w:drawing>
      </w:r>
    </w:p>
    <w:p w14:paraId="5F7FC310" w14:textId="77777777" w:rsidR="00045621" w:rsidRPr="00A52AEE" w:rsidRDefault="00045621" w:rsidP="00A52AEE"/>
    <w:p w14:paraId="796EE622" w14:textId="756AFB01" w:rsidR="006078EF" w:rsidRPr="00A52AEE" w:rsidRDefault="006078EF" w:rsidP="008D527A">
      <w:pPr>
        <w:pStyle w:val="Heading2"/>
        <w:numPr>
          <w:ilvl w:val="1"/>
          <w:numId w:val="3"/>
        </w:numPr>
        <w:rPr>
          <w:szCs w:val="24"/>
        </w:rPr>
      </w:pPr>
      <w:bookmarkStart w:id="136" w:name="_Toc429151351"/>
      <w:r w:rsidRPr="00A52AEE">
        <w:t>Key Stage 4 attainment and HE progression</w:t>
      </w:r>
      <w:bookmarkEnd w:id="136"/>
      <w:r w:rsidRPr="00A52AEE">
        <w:t xml:space="preserve"> </w:t>
      </w:r>
    </w:p>
    <w:p w14:paraId="3F750DEB" w14:textId="7894C720" w:rsidR="00930339" w:rsidRPr="00A52AEE" w:rsidRDefault="00930339" w:rsidP="00A52AEE">
      <w:r w:rsidRPr="00A52AEE">
        <w:t xml:space="preserve">Progression to HE is explored in Figure </w:t>
      </w:r>
      <w:r w:rsidR="007E698B" w:rsidRPr="00A52AEE">
        <w:t>12</w:t>
      </w:r>
      <w:r w:rsidRPr="00A52AEE">
        <w:t xml:space="preserve"> and shows that HE progression rates are considerably higher for the young cohort who achieved Level 2 with English &amp; Maths where 71% of the cohort progressed. A lower rate of 52% is seen for those who did not achieve Level 2 with English and Maths but nevertheless given the fact that this group were low attainers at 16, it still shows that following study of their Level 3 FE qualification in </w:t>
      </w:r>
      <w:r w:rsidR="0076166E" w:rsidRPr="00A52AEE">
        <w:t>London</w:t>
      </w:r>
      <w:r w:rsidRPr="00A52AEE">
        <w:t xml:space="preserve"> colleges, one in two progressed to HE.  The chart also shows the pr</w:t>
      </w:r>
      <w:r w:rsidR="00674896">
        <w:t>ogression rate to HE in FE and u</w:t>
      </w:r>
      <w:r w:rsidRPr="00A52AEE">
        <w:t xml:space="preserve">niversity for both groups.  </w:t>
      </w:r>
    </w:p>
    <w:p w14:paraId="1EA94BE0" w14:textId="77777777" w:rsidR="00930339" w:rsidRPr="00A52AEE" w:rsidRDefault="00930339" w:rsidP="00A52AEE"/>
    <w:p w14:paraId="4DA22E78" w14:textId="58CB3104" w:rsidR="00413FF3" w:rsidRDefault="00930339" w:rsidP="00A52AEE">
      <w:pPr>
        <w:rPr>
          <w:b/>
        </w:rPr>
      </w:pPr>
      <w:r w:rsidRPr="00674896">
        <w:rPr>
          <w:b/>
        </w:rPr>
        <w:t xml:space="preserve">Figure </w:t>
      </w:r>
      <w:r w:rsidR="007E698B" w:rsidRPr="00674896">
        <w:rPr>
          <w:b/>
        </w:rPr>
        <w:t>12</w:t>
      </w:r>
      <w:r w:rsidR="00A2506E" w:rsidRPr="00674896">
        <w:rPr>
          <w:b/>
        </w:rPr>
        <w:t>: P</w:t>
      </w:r>
      <w:r w:rsidRPr="00674896">
        <w:rPr>
          <w:b/>
        </w:rPr>
        <w:t>rogression rates of the linked KS4 cohort by KS4 attainment</w:t>
      </w:r>
    </w:p>
    <w:p w14:paraId="7EA80DFB" w14:textId="77777777" w:rsidR="00674896" w:rsidRPr="00674896" w:rsidRDefault="00674896" w:rsidP="00A52AEE">
      <w:pPr>
        <w:rPr>
          <w:b/>
        </w:rPr>
      </w:pPr>
    </w:p>
    <w:p w14:paraId="3E3A9A6F" w14:textId="3770A226" w:rsidR="00413FF3" w:rsidRPr="00A52AEE" w:rsidRDefault="00045621" w:rsidP="00A52AEE">
      <w:r w:rsidRPr="00A52AEE">
        <w:rPr>
          <w:noProof/>
          <w:lang w:eastAsia="en-GB"/>
        </w:rPr>
        <w:drawing>
          <wp:inline distT="0" distB="0" distL="0" distR="0" wp14:anchorId="770965A4" wp14:editId="7DACF4FB">
            <wp:extent cx="5895975" cy="3038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28603" cy="3055290"/>
                    </a:xfrm>
                    <a:prstGeom prst="rect">
                      <a:avLst/>
                    </a:prstGeom>
                  </pic:spPr>
                </pic:pic>
              </a:graphicData>
            </a:graphic>
          </wp:inline>
        </w:drawing>
      </w:r>
    </w:p>
    <w:p w14:paraId="4C4B72AB" w14:textId="77777777" w:rsidR="00045621" w:rsidRPr="00A52AEE" w:rsidRDefault="00045621" w:rsidP="00A52AEE"/>
    <w:p w14:paraId="588BF7A4" w14:textId="0E7B7B99" w:rsidR="00413FF3" w:rsidRPr="00A52AEE" w:rsidRDefault="00673C12" w:rsidP="00A52AEE">
      <w:r w:rsidRPr="00A52AEE">
        <w:t xml:space="preserve">The fact that so many vocational </w:t>
      </w:r>
      <w:r w:rsidR="0021637B" w:rsidRPr="00A52AEE">
        <w:t>Level</w:t>
      </w:r>
      <w:r w:rsidRPr="00A52AEE">
        <w:t xml:space="preserve"> 3 students had not attained KS4 </w:t>
      </w:r>
      <w:r w:rsidR="0021637B" w:rsidRPr="00A52AEE">
        <w:t>Level</w:t>
      </w:r>
      <w:r w:rsidRPr="00A52AEE">
        <w:t xml:space="preserve"> 2 with English and Maths at 16 may contribute to lower HE progression rates and those that do progress are more likel</w:t>
      </w:r>
      <w:r w:rsidR="00674896">
        <w:t>y to continue to HE in FE than u</w:t>
      </w:r>
      <w:r w:rsidRPr="00A52AEE">
        <w:t xml:space="preserve">niversity.  Table </w:t>
      </w:r>
      <w:r w:rsidR="004E52FE">
        <w:t>41</w:t>
      </w:r>
      <w:r w:rsidRPr="00A52AEE">
        <w:t xml:space="preserve"> shows that despite low attainment at KS4, progressing onto A </w:t>
      </w:r>
      <w:r w:rsidR="0021637B" w:rsidRPr="00A52AEE">
        <w:t>Level</w:t>
      </w:r>
      <w:r w:rsidRPr="00A52AEE">
        <w:t xml:space="preserve"> study still increases your chances of entering HE as do Access to HE programmes. The role of BTEC programmes as currency for HE is also evident. Even though around 50% of the BTEC cohort were low attainers at 16, 43% of this group still progressed onto HE and 71% </w:t>
      </w:r>
      <w:r w:rsidR="00674896">
        <w:t xml:space="preserve">of these </w:t>
      </w:r>
      <w:r w:rsidRPr="00A52AEE">
        <w:t xml:space="preserve">to </w:t>
      </w:r>
      <w:r w:rsidR="00674896">
        <w:t>u</w:t>
      </w:r>
      <w:r w:rsidRPr="00A52AEE">
        <w:t>niversity, evidence of the role that FE colleges have to play in helping students with low attainment at 16, move onto higher level study.</w:t>
      </w:r>
    </w:p>
    <w:p w14:paraId="18777243" w14:textId="77777777" w:rsidR="00A2506E" w:rsidRPr="00A52AEE" w:rsidRDefault="00A2506E" w:rsidP="00A52AEE"/>
    <w:p w14:paraId="0CA840B3" w14:textId="69D1734E" w:rsidR="00930339" w:rsidRPr="00674896" w:rsidRDefault="00930339" w:rsidP="00A52AEE">
      <w:pPr>
        <w:rPr>
          <w:b/>
        </w:rPr>
      </w:pPr>
      <w:r w:rsidRPr="00674896">
        <w:rPr>
          <w:b/>
        </w:rPr>
        <w:t xml:space="preserve">Table </w:t>
      </w:r>
      <w:r w:rsidR="0022142D">
        <w:rPr>
          <w:b/>
        </w:rPr>
        <w:t>41</w:t>
      </w:r>
      <w:r w:rsidR="00A2506E" w:rsidRPr="00674896">
        <w:rPr>
          <w:b/>
        </w:rPr>
        <w:t>:</w:t>
      </w:r>
      <w:r w:rsidR="007E698B" w:rsidRPr="00674896">
        <w:rPr>
          <w:b/>
        </w:rPr>
        <w:t xml:space="preserve"> </w:t>
      </w:r>
      <w:r w:rsidR="00674896">
        <w:rPr>
          <w:b/>
        </w:rPr>
        <w:t>Progression b</w:t>
      </w:r>
      <w:r w:rsidRPr="00674896">
        <w:rPr>
          <w:b/>
        </w:rPr>
        <w:t xml:space="preserve">reakdown by </w:t>
      </w:r>
      <w:r w:rsidR="0021637B" w:rsidRPr="00674896">
        <w:rPr>
          <w:b/>
        </w:rPr>
        <w:t>Level</w:t>
      </w:r>
      <w:r w:rsidRPr="00674896">
        <w:rPr>
          <w:b/>
        </w:rPr>
        <w:t xml:space="preserve"> 3 qualification type and KS4 attainment group</w:t>
      </w:r>
    </w:p>
    <w:p w14:paraId="4B34A1EC" w14:textId="77777777" w:rsidR="00674896" w:rsidRPr="00A52AEE" w:rsidRDefault="00674896" w:rsidP="00A52AEE"/>
    <w:tbl>
      <w:tblPr>
        <w:tblW w:w="5000" w:type="pct"/>
        <w:tblLook w:val="04A0" w:firstRow="1" w:lastRow="0" w:firstColumn="1" w:lastColumn="0" w:noHBand="0" w:noVBand="1"/>
      </w:tblPr>
      <w:tblGrid>
        <w:gridCol w:w="1918"/>
        <w:gridCol w:w="1311"/>
        <w:gridCol w:w="1085"/>
        <w:gridCol w:w="1448"/>
        <w:gridCol w:w="1292"/>
        <w:gridCol w:w="1068"/>
        <w:gridCol w:w="1449"/>
      </w:tblGrid>
      <w:tr w:rsidR="00674896" w:rsidRPr="00674896" w14:paraId="3B9B5273" w14:textId="77777777" w:rsidTr="006D199F">
        <w:trPr>
          <w:trHeight w:val="169"/>
        </w:trPr>
        <w:tc>
          <w:tcPr>
            <w:tcW w:w="821" w:type="pct"/>
            <w:vMerge w:val="restart"/>
            <w:tcBorders>
              <w:top w:val="single" w:sz="4" w:space="0" w:color="auto"/>
              <w:left w:val="single" w:sz="4" w:space="0" w:color="auto"/>
              <w:bottom w:val="single" w:sz="4" w:space="0" w:color="000000"/>
              <w:right w:val="single" w:sz="4" w:space="0" w:color="auto"/>
            </w:tcBorders>
            <w:shd w:val="clear" w:color="auto" w:fill="1F4E79" w:themeFill="accent1" w:themeFillShade="80"/>
            <w:noWrap/>
            <w:vAlign w:val="center"/>
            <w:hideMark/>
          </w:tcPr>
          <w:p w14:paraId="5F220240" w14:textId="32C74965" w:rsidR="00930339" w:rsidRPr="00674896" w:rsidRDefault="00A2506E" w:rsidP="00674896">
            <w:pPr>
              <w:rPr>
                <w:b/>
                <w:color w:val="FFFFFF" w:themeColor="background1"/>
                <w:lang w:eastAsia="en-GB"/>
              </w:rPr>
            </w:pPr>
            <w:r w:rsidRPr="00674896">
              <w:rPr>
                <w:b/>
                <w:color w:val="FFFFFF" w:themeColor="background1"/>
                <w:lang w:eastAsia="en-GB"/>
              </w:rPr>
              <w:t>Qual</w:t>
            </w:r>
            <w:r w:rsidR="00674896">
              <w:rPr>
                <w:b/>
                <w:color w:val="FFFFFF" w:themeColor="background1"/>
                <w:lang w:eastAsia="en-GB"/>
              </w:rPr>
              <w:t>ification</w:t>
            </w:r>
          </w:p>
        </w:tc>
        <w:tc>
          <w:tcPr>
            <w:tcW w:w="2099" w:type="pct"/>
            <w:gridSpan w:val="3"/>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6BD2E29"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Low attaining KS4</w:t>
            </w:r>
          </w:p>
        </w:tc>
        <w:tc>
          <w:tcPr>
            <w:tcW w:w="2080" w:type="pct"/>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12A0BDBA"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High attaining KS4</w:t>
            </w:r>
          </w:p>
        </w:tc>
      </w:tr>
      <w:tr w:rsidR="00A2506E" w:rsidRPr="00A52AEE" w14:paraId="2E020D86" w14:textId="77777777" w:rsidTr="006D199F">
        <w:trPr>
          <w:trHeight w:val="600"/>
        </w:trPr>
        <w:tc>
          <w:tcPr>
            <w:tcW w:w="821"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14:paraId="50B6E35D" w14:textId="77777777" w:rsidR="00930339" w:rsidRPr="00A52AEE" w:rsidRDefault="00930339" w:rsidP="00A52AEE">
            <w:pPr>
              <w:rPr>
                <w:lang w:eastAsia="en-GB"/>
              </w:rPr>
            </w:pPr>
          </w:p>
        </w:tc>
        <w:tc>
          <w:tcPr>
            <w:tcW w:w="715" w:type="pct"/>
            <w:tcBorders>
              <w:top w:val="nil"/>
              <w:left w:val="nil"/>
              <w:bottom w:val="single" w:sz="4" w:space="0" w:color="auto"/>
              <w:right w:val="single" w:sz="4" w:space="0" w:color="auto"/>
            </w:tcBorders>
            <w:shd w:val="clear" w:color="auto" w:fill="1F4E79" w:themeFill="accent1" w:themeFillShade="80"/>
            <w:noWrap/>
            <w:vAlign w:val="center"/>
            <w:hideMark/>
          </w:tcPr>
          <w:p w14:paraId="133D3B9B"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 HE rate</w:t>
            </w:r>
          </w:p>
        </w:tc>
        <w:tc>
          <w:tcPr>
            <w:tcW w:w="597" w:type="pct"/>
            <w:tcBorders>
              <w:top w:val="nil"/>
              <w:left w:val="nil"/>
              <w:bottom w:val="single" w:sz="4" w:space="0" w:color="auto"/>
              <w:right w:val="single" w:sz="4" w:space="0" w:color="auto"/>
            </w:tcBorders>
            <w:shd w:val="clear" w:color="auto" w:fill="1F4E79" w:themeFill="accent1" w:themeFillShade="80"/>
            <w:noWrap/>
            <w:vAlign w:val="center"/>
            <w:hideMark/>
          </w:tcPr>
          <w:p w14:paraId="2F247477" w14:textId="204B0FB5" w:rsidR="00930339" w:rsidRPr="00674896" w:rsidRDefault="00930339" w:rsidP="00674896">
            <w:pPr>
              <w:jc w:val="center"/>
              <w:rPr>
                <w:b/>
                <w:color w:val="FFFFFF" w:themeColor="background1"/>
                <w:lang w:eastAsia="en-GB"/>
              </w:rPr>
            </w:pPr>
            <w:r w:rsidRPr="00674896">
              <w:rPr>
                <w:b/>
                <w:color w:val="FFFFFF" w:themeColor="background1"/>
                <w:lang w:eastAsia="en-GB"/>
              </w:rPr>
              <w:t>HE in FE</w:t>
            </w:r>
          </w:p>
        </w:tc>
        <w:tc>
          <w:tcPr>
            <w:tcW w:w="787" w:type="pct"/>
            <w:tcBorders>
              <w:top w:val="nil"/>
              <w:left w:val="nil"/>
              <w:bottom w:val="single" w:sz="4" w:space="0" w:color="auto"/>
              <w:right w:val="single" w:sz="4" w:space="0" w:color="auto"/>
            </w:tcBorders>
            <w:shd w:val="clear" w:color="auto" w:fill="1F4E79" w:themeFill="accent1" w:themeFillShade="80"/>
            <w:noWrap/>
            <w:vAlign w:val="center"/>
            <w:hideMark/>
          </w:tcPr>
          <w:p w14:paraId="2494B3D4"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University</w:t>
            </w:r>
          </w:p>
        </w:tc>
        <w:tc>
          <w:tcPr>
            <w:tcW w:w="705" w:type="pct"/>
            <w:tcBorders>
              <w:top w:val="nil"/>
              <w:left w:val="nil"/>
              <w:bottom w:val="single" w:sz="4" w:space="0" w:color="auto"/>
              <w:right w:val="single" w:sz="4" w:space="0" w:color="auto"/>
            </w:tcBorders>
            <w:shd w:val="clear" w:color="auto" w:fill="1F4E79" w:themeFill="accent1" w:themeFillShade="80"/>
            <w:noWrap/>
            <w:vAlign w:val="center"/>
            <w:hideMark/>
          </w:tcPr>
          <w:p w14:paraId="77C38123"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 HE rate</w:t>
            </w:r>
          </w:p>
        </w:tc>
        <w:tc>
          <w:tcPr>
            <w:tcW w:w="588" w:type="pct"/>
            <w:tcBorders>
              <w:top w:val="nil"/>
              <w:left w:val="nil"/>
              <w:bottom w:val="single" w:sz="4" w:space="0" w:color="auto"/>
              <w:right w:val="single" w:sz="4" w:space="0" w:color="auto"/>
            </w:tcBorders>
            <w:shd w:val="clear" w:color="auto" w:fill="1F4E79" w:themeFill="accent1" w:themeFillShade="80"/>
            <w:noWrap/>
            <w:vAlign w:val="center"/>
            <w:hideMark/>
          </w:tcPr>
          <w:p w14:paraId="223E139A" w14:textId="7AA64674" w:rsidR="00930339" w:rsidRPr="00674896" w:rsidRDefault="00930339" w:rsidP="00674896">
            <w:pPr>
              <w:jc w:val="center"/>
              <w:rPr>
                <w:b/>
                <w:color w:val="FFFFFF" w:themeColor="background1"/>
                <w:lang w:eastAsia="en-GB"/>
              </w:rPr>
            </w:pPr>
            <w:r w:rsidRPr="00674896">
              <w:rPr>
                <w:b/>
                <w:color w:val="FFFFFF" w:themeColor="background1"/>
                <w:lang w:eastAsia="en-GB"/>
              </w:rPr>
              <w:t>HE in FE</w:t>
            </w:r>
          </w:p>
        </w:tc>
        <w:tc>
          <w:tcPr>
            <w:tcW w:w="787" w:type="pct"/>
            <w:tcBorders>
              <w:top w:val="nil"/>
              <w:left w:val="nil"/>
              <w:bottom w:val="single" w:sz="4" w:space="0" w:color="auto"/>
              <w:right w:val="single" w:sz="4" w:space="0" w:color="auto"/>
            </w:tcBorders>
            <w:shd w:val="clear" w:color="auto" w:fill="1F4E79" w:themeFill="accent1" w:themeFillShade="80"/>
            <w:noWrap/>
            <w:vAlign w:val="center"/>
            <w:hideMark/>
          </w:tcPr>
          <w:p w14:paraId="4282C666" w14:textId="77777777" w:rsidR="00930339" w:rsidRPr="00674896" w:rsidRDefault="00930339" w:rsidP="00674896">
            <w:pPr>
              <w:jc w:val="center"/>
              <w:rPr>
                <w:b/>
                <w:color w:val="FFFFFF" w:themeColor="background1"/>
                <w:lang w:eastAsia="en-GB"/>
              </w:rPr>
            </w:pPr>
            <w:r w:rsidRPr="00674896">
              <w:rPr>
                <w:b/>
                <w:color w:val="FFFFFF" w:themeColor="background1"/>
                <w:lang w:eastAsia="en-GB"/>
              </w:rPr>
              <w:t>University</w:t>
            </w:r>
          </w:p>
        </w:tc>
      </w:tr>
      <w:tr w:rsidR="00930339" w:rsidRPr="00A52AEE" w14:paraId="7479D805" w14:textId="77777777" w:rsidTr="00930339">
        <w:trPr>
          <w:trHeight w:val="300"/>
        </w:trPr>
        <w:tc>
          <w:tcPr>
            <w:tcW w:w="821" w:type="pct"/>
            <w:tcBorders>
              <w:top w:val="nil"/>
              <w:left w:val="single" w:sz="4" w:space="0" w:color="auto"/>
              <w:bottom w:val="single" w:sz="4" w:space="0" w:color="auto"/>
              <w:right w:val="single" w:sz="4" w:space="0" w:color="auto"/>
            </w:tcBorders>
            <w:shd w:val="clear" w:color="000000" w:fill="FFFFFF"/>
            <w:noWrap/>
            <w:vAlign w:val="bottom"/>
            <w:hideMark/>
          </w:tcPr>
          <w:p w14:paraId="1FCD98AF" w14:textId="77777777" w:rsidR="00930339" w:rsidRPr="0022142D" w:rsidRDefault="00930339" w:rsidP="00A52AEE">
            <w:pPr>
              <w:rPr>
                <w:b/>
                <w:lang w:eastAsia="en-GB"/>
              </w:rPr>
            </w:pPr>
            <w:r w:rsidRPr="0022142D">
              <w:rPr>
                <w:b/>
                <w:lang w:eastAsia="en-GB"/>
              </w:rPr>
              <w:t xml:space="preserve">Access </w:t>
            </w:r>
          </w:p>
        </w:tc>
        <w:tc>
          <w:tcPr>
            <w:tcW w:w="715" w:type="pct"/>
            <w:tcBorders>
              <w:top w:val="nil"/>
              <w:left w:val="nil"/>
              <w:bottom w:val="single" w:sz="4" w:space="0" w:color="auto"/>
              <w:right w:val="single" w:sz="4" w:space="0" w:color="auto"/>
            </w:tcBorders>
            <w:shd w:val="clear" w:color="000000" w:fill="FFFFFF"/>
            <w:noWrap/>
            <w:vAlign w:val="bottom"/>
            <w:hideMark/>
          </w:tcPr>
          <w:p w14:paraId="2D674499" w14:textId="77777777" w:rsidR="00930339" w:rsidRPr="00A52AEE" w:rsidRDefault="00930339" w:rsidP="00674896">
            <w:pPr>
              <w:jc w:val="right"/>
              <w:rPr>
                <w:lang w:eastAsia="en-GB"/>
              </w:rPr>
            </w:pPr>
            <w:r w:rsidRPr="00A52AEE">
              <w:rPr>
                <w:lang w:eastAsia="en-GB"/>
              </w:rPr>
              <w:t>77%</w:t>
            </w:r>
          </w:p>
        </w:tc>
        <w:tc>
          <w:tcPr>
            <w:tcW w:w="597" w:type="pct"/>
            <w:tcBorders>
              <w:top w:val="nil"/>
              <w:left w:val="nil"/>
              <w:bottom w:val="single" w:sz="4" w:space="0" w:color="auto"/>
              <w:right w:val="single" w:sz="4" w:space="0" w:color="auto"/>
            </w:tcBorders>
            <w:shd w:val="clear" w:color="000000" w:fill="FFFFFF"/>
            <w:noWrap/>
            <w:vAlign w:val="bottom"/>
            <w:hideMark/>
          </w:tcPr>
          <w:p w14:paraId="6DBF5EF2" w14:textId="77777777" w:rsidR="00930339" w:rsidRPr="00A52AEE" w:rsidRDefault="00930339" w:rsidP="00674896">
            <w:pPr>
              <w:jc w:val="right"/>
              <w:rPr>
                <w:lang w:eastAsia="en-GB"/>
              </w:rPr>
            </w:pPr>
            <w:r w:rsidRPr="00A52AEE">
              <w:rPr>
                <w:lang w:eastAsia="en-GB"/>
              </w:rPr>
              <w:t>7%</w:t>
            </w:r>
          </w:p>
        </w:tc>
        <w:tc>
          <w:tcPr>
            <w:tcW w:w="787" w:type="pct"/>
            <w:tcBorders>
              <w:top w:val="nil"/>
              <w:left w:val="nil"/>
              <w:bottom w:val="single" w:sz="4" w:space="0" w:color="auto"/>
              <w:right w:val="single" w:sz="4" w:space="0" w:color="auto"/>
            </w:tcBorders>
            <w:shd w:val="clear" w:color="000000" w:fill="FFFFFF"/>
            <w:noWrap/>
            <w:vAlign w:val="bottom"/>
            <w:hideMark/>
          </w:tcPr>
          <w:p w14:paraId="61AA610C" w14:textId="77777777" w:rsidR="00930339" w:rsidRPr="00A52AEE" w:rsidRDefault="00930339" w:rsidP="00674896">
            <w:pPr>
              <w:jc w:val="right"/>
              <w:rPr>
                <w:lang w:eastAsia="en-GB"/>
              </w:rPr>
            </w:pPr>
            <w:r w:rsidRPr="00A52AEE">
              <w:rPr>
                <w:lang w:eastAsia="en-GB"/>
              </w:rPr>
              <w:t>93%</w:t>
            </w:r>
          </w:p>
        </w:tc>
        <w:tc>
          <w:tcPr>
            <w:tcW w:w="705" w:type="pct"/>
            <w:tcBorders>
              <w:top w:val="nil"/>
              <w:left w:val="nil"/>
              <w:bottom w:val="single" w:sz="4" w:space="0" w:color="auto"/>
              <w:right w:val="single" w:sz="4" w:space="0" w:color="auto"/>
            </w:tcBorders>
            <w:shd w:val="clear" w:color="000000" w:fill="FFFFFF"/>
            <w:noWrap/>
            <w:vAlign w:val="bottom"/>
            <w:hideMark/>
          </w:tcPr>
          <w:p w14:paraId="605A025E" w14:textId="77777777" w:rsidR="00930339" w:rsidRPr="00A52AEE" w:rsidRDefault="00930339" w:rsidP="00674896">
            <w:pPr>
              <w:jc w:val="right"/>
              <w:rPr>
                <w:lang w:eastAsia="en-GB"/>
              </w:rPr>
            </w:pPr>
            <w:r w:rsidRPr="00A52AEE">
              <w:rPr>
                <w:lang w:eastAsia="en-GB"/>
              </w:rPr>
              <w:t>81%</w:t>
            </w:r>
          </w:p>
        </w:tc>
        <w:tc>
          <w:tcPr>
            <w:tcW w:w="588" w:type="pct"/>
            <w:tcBorders>
              <w:top w:val="nil"/>
              <w:left w:val="nil"/>
              <w:bottom w:val="single" w:sz="4" w:space="0" w:color="auto"/>
              <w:right w:val="single" w:sz="4" w:space="0" w:color="auto"/>
            </w:tcBorders>
            <w:shd w:val="clear" w:color="000000" w:fill="FFFFFF"/>
            <w:noWrap/>
            <w:vAlign w:val="bottom"/>
            <w:hideMark/>
          </w:tcPr>
          <w:p w14:paraId="7819B766" w14:textId="77777777" w:rsidR="00930339" w:rsidRPr="00A52AEE" w:rsidRDefault="00930339" w:rsidP="00674896">
            <w:pPr>
              <w:jc w:val="right"/>
              <w:rPr>
                <w:lang w:eastAsia="en-GB"/>
              </w:rPr>
            </w:pPr>
            <w:r w:rsidRPr="00A52AEE">
              <w:rPr>
                <w:lang w:eastAsia="en-GB"/>
              </w:rPr>
              <w:t>7%</w:t>
            </w:r>
          </w:p>
        </w:tc>
        <w:tc>
          <w:tcPr>
            <w:tcW w:w="787" w:type="pct"/>
            <w:tcBorders>
              <w:top w:val="nil"/>
              <w:left w:val="nil"/>
              <w:bottom w:val="single" w:sz="4" w:space="0" w:color="auto"/>
              <w:right w:val="single" w:sz="4" w:space="0" w:color="auto"/>
            </w:tcBorders>
            <w:shd w:val="clear" w:color="000000" w:fill="FFFFFF"/>
            <w:noWrap/>
            <w:vAlign w:val="bottom"/>
            <w:hideMark/>
          </w:tcPr>
          <w:p w14:paraId="0D9DA970" w14:textId="77777777" w:rsidR="00930339" w:rsidRPr="00A52AEE" w:rsidRDefault="00930339" w:rsidP="00674896">
            <w:pPr>
              <w:jc w:val="right"/>
              <w:rPr>
                <w:lang w:eastAsia="en-GB"/>
              </w:rPr>
            </w:pPr>
            <w:r w:rsidRPr="00A52AEE">
              <w:rPr>
                <w:lang w:eastAsia="en-GB"/>
              </w:rPr>
              <w:t>93%</w:t>
            </w:r>
          </w:p>
        </w:tc>
      </w:tr>
      <w:tr w:rsidR="00930339" w:rsidRPr="00A52AEE" w14:paraId="011897E6" w14:textId="77777777" w:rsidTr="00930339">
        <w:trPr>
          <w:trHeight w:val="333"/>
        </w:trPr>
        <w:tc>
          <w:tcPr>
            <w:tcW w:w="821" w:type="pct"/>
            <w:tcBorders>
              <w:top w:val="nil"/>
              <w:left w:val="single" w:sz="4" w:space="0" w:color="auto"/>
              <w:bottom w:val="single" w:sz="4" w:space="0" w:color="auto"/>
              <w:right w:val="single" w:sz="4" w:space="0" w:color="auto"/>
            </w:tcBorders>
            <w:shd w:val="clear" w:color="000000" w:fill="FFFFFF"/>
            <w:noWrap/>
            <w:vAlign w:val="bottom"/>
            <w:hideMark/>
          </w:tcPr>
          <w:p w14:paraId="016129B6" w14:textId="77777777" w:rsidR="00930339" w:rsidRPr="0022142D" w:rsidRDefault="00930339" w:rsidP="00A52AEE">
            <w:pPr>
              <w:rPr>
                <w:b/>
                <w:lang w:eastAsia="en-GB"/>
              </w:rPr>
            </w:pPr>
            <w:r w:rsidRPr="0022142D">
              <w:rPr>
                <w:b/>
                <w:lang w:eastAsia="en-GB"/>
              </w:rPr>
              <w:t>BTEC</w:t>
            </w:r>
          </w:p>
        </w:tc>
        <w:tc>
          <w:tcPr>
            <w:tcW w:w="715" w:type="pct"/>
            <w:tcBorders>
              <w:top w:val="nil"/>
              <w:left w:val="nil"/>
              <w:bottom w:val="single" w:sz="4" w:space="0" w:color="auto"/>
              <w:right w:val="single" w:sz="4" w:space="0" w:color="auto"/>
            </w:tcBorders>
            <w:shd w:val="clear" w:color="000000" w:fill="FFFFFF"/>
            <w:noWrap/>
            <w:vAlign w:val="bottom"/>
            <w:hideMark/>
          </w:tcPr>
          <w:p w14:paraId="0789E231" w14:textId="77777777" w:rsidR="00930339" w:rsidRPr="00A52AEE" w:rsidRDefault="00930339" w:rsidP="00674896">
            <w:pPr>
              <w:jc w:val="right"/>
              <w:rPr>
                <w:lang w:eastAsia="en-GB"/>
              </w:rPr>
            </w:pPr>
            <w:r w:rsidRPr="00A52AEE">
              <w:rPr>
                <w:lang w:eastAsia="en-GB"/>
              </w:rPr>
              <w:t>43%</w:t>
            </w:r>
          </w:p>
        </w:tc>
        <w:tc>
          <w:tcPr>
            <w:tcW w:w="597" w:type="pct"/>
            <w:tcBorders>
              <w:top w:val="nil"/>
              <w:left w:val="nil"/>
              <w:bottom w:val="single" w:sz="4" w:space="0" w:color="auto"/>
              <w:right w:val="single" w:sz="4" w:space="0" w:color="auto"/>
            </w:tcBorders>
            <w:shd w:val="clear" w:color="000000" w:fill="FFFFFF"/>
            <w:noWrap/>
            <w:vAlign w:val="bottom"/>
            <w:hideMark/>
          </w:tcPr>
          <w:p w14:paraId="4FB738AF" w14:textId="77777777" w:rsidR="00930339" w:rsidRPr="00A52AEE" w:rsidRDefault="00930339" w:rsidP="00674896">
            <w:pPr>
              <w:jc w:val="right"/>
              <w:rPr>
                <w:lang w:eastAsia="en-GB"/>
              </w:rPr>
            </w:pPr>
            <w:r w:rsidRPr="00A52AEE">
              <w:rPr>
                <w:lang w:eastAsia="en-GB"/>
              </w:rPr>
              <w:t>29%</w:t>
            </w:r>
          </w:p>
        </w:tc>
        <w:tc>
          <w:tcPr>
            <w:tcW w:w="787" w:type="pct"/>
            <w:tcBorders>
              <w:top w:val="nil"/>
              <w:left w:val="nil"/>
              <w:bottom w:val="single" w:sz="4" w:space="0" w:color="auto"/>
              <w:right w:val="single" w:sz="4" w:space="0" w:color="auto"/>
            </w:tcBorders>
            <w:shd w:val="clear" w:color="000000" w:fill="FFFFFF"/>
            <w:noWrap/>
            <w:vAlign w:val="bottom"/>
            <w:hideMark/>
          </w:tcPr>
          <w:p w14:paraId="43067079" w14:textId="77777777" w:rsidR="00930339" w:rsidRPr="00A52AEE" w:rsidRDefault="00930339" w:rsidP="00674896">
            <w:pPr>
              <w:jc w:val="right"/>
              <w:rPr>
                <w:lang w:eastAsia="en-GB"/>
              </w:rPr>
            </w:pPr>
            <w:r w:rsidRPr="00A52AEE">
              <w:rPr>
                <w:lang w:eastAsia="en-GB"/>
              </w:rPr>
              <w:t>71%</w:t>
            </w:r>
          </w:p>
        </w:tc>
        <w:tc>
          <w:tcPr>
            <w:tcW w:w="705" w:type="pct"/>
            <w:tcBorders>
              <w:top w:val="nil"/>
              <w:left w:val="nil"/>
              <w:bottom w:val="single" w:sz="4" w:space="0" w:color="auto"/>
              <w:right w:val="single" w:sz="4" w:space="0" w:color="auto"/>
            </w:tcBorders>
            <w:shd w:val="clear" w:color="000000" w:fill="FFFFFF"/>
            <w:noWrap/>
            <w:vAlign w:val="bottom"/>
            <w:hideMark/>
          </w:tcPr>
          <w:p w14:paraId="69159A7C" w14:textId="77777777" w:rsidR="00930339" w:rsidRPr="00A52AEE" w:rsidRDefault="00930339" w:rsidP="00674896">
            <w:pPr>
              <w:jc w:val="right"/>
              <w:rPr>
                <w:lang w:eastAsia="en-GB"/>
              </w:rPr>
            </w:pPr>
            <w:r w:rsidRPr="00A52AEE">
              <w:rPr>
                <w:lang w:eastAsia="en-GB"/>
              </w:rPr>
              <w:t>53%</w:t>
            </w:r>
          </w:p>
        </w:tc>
        <w:tc>
          <w:tcPr>
            <w:tcW w:w="588" w:type="pct"/>
            <w:tcBorders>
              <w:top w:val="nil"/>
              <w:left w:val="nil"/>
              <w:bottom w:val="single" w:sz="4" w:space="0" w:color="auto"/>
              <w:right w:val="single" w:sz="4" w:space="0" w:color="auto"/>
            </w:tcBorders>
            <w:shd w:val="clear" w:color="000000" w:fill="FFFFFF"/>
            <w:noWrap/>
            <w:vAlign w:val="bottom"/>
            <w:hideMark/>
          </w:tcPr>
          <w:p w14:paraId="7CD480A7" w14:textId="77777777" w:rsidR="00930339" w:rsidRPr="00A52AEE" w:rsidRDefault="00930339" w:rsidP="00674896">
            <w:pPr>
              <w:jc w:val="right"/>
              <w:rPr>
                <w:lang w:eastAsia="en-GB"/>
              </w:rPr>
            </w:pPr>
            <w:r w:rsidRPr="00A52AEE">
              <w:rPr>
                <w:lang w:eastAsia="en-GB"/>
              </w:rPr>
              <w:t>23%</w:t>
            </w:r>
          </w:p>
        </w:tc>
        <w:tc>
          <w:tcPr>
            <w:tcW w:w="787" w:type="pct"/>
            <w:tcBorders>
              <w:top w:val="nil"/>
              <w:left w:val="nil"/>
              <w:bottom w:val="single" w:sz="4" w:space="0" w:color="auto"/>
              <w:right w:val="single" w:sz="4" w:space="0" w:color="auto"/>
            </w:tcBorders>
            <w:shd w:val="clear" w:color="000000" w:fill="FFFFFF"/>
            <w:noWrap/>
            <w:vAlign w:val="bottom"/>
            <w:hideMark/>
          </w:tcPr>
          <w:p w14:paraId="7F587F4D" w14:textId="77777777" w:rsidR="00930339" w:rsidRPr="00A52AEE" w:rsidRDefault="00930339" w:rsidP="00674896">
            <w:pPr>
              <w:jc w:val="right"/>
              <w:rPr>
                <w:lang w:eastAsia="en-GB"/>
              </w:rPr>
            </w:pPr>
            <w:r w:rsidRPr="00A52AEE">
              <w:rPr>
                <w:lang w:eastAsia="en-GB"/>
              </w:rPr>
              <w:t>77%</w:t>
            </w:r>
          </w:p>
        </w:tc>
      </w:tr>
      <w:tr w:rsidR="00930339" w:rsidRPr="00A52AEE" w14:paraId="040139FA" w14:textId="77777777" w:rsidTr="00930339">
        <w:trPr>
          <w:trHeight w:val="281"/>
        </w:trPr>
        <w:tc>
          <w:tcPr>
            <w:tcW w:w="821" w:type="pct"/>
            <w:tcBorders>
              <w:top w:val="nil"/>
              <w:left w:val="single" w:sz="4" w:space="0" w:color="auto"/>
              <w:bottom w:val="single" w:sz="4" w:space="0" w:color="auto"/>
              <w:right w:val="single" w:sz="4" w:space="0" w:color="auto"/>
            </w:tcBorders>
            <w:shd w:val="clear" w:color="000000" w:fill="FFFFFF"/>
            <w:noWrap/>
            <w:vAlign w:val="bottom"/>
            <w:hideMark/>
          </w:tcPr>
          <w:p w14:paraId="27880DD3" w14:textId="77777777" w:rsidR="00930339" w:rsidRPr="0022142D" w:rsidRDefault="00930339" w:rsidP="00A52AEE">
            <w:pPr>
              <w:rPr>
                <w:b/>
                <w:lang w:eastAsia="en-GB"/>
              </w:rPr>
            </w:pPr>
            <w:r w:rsidRPr="0022142D">
              <w:rPr>
                <w:b/>
                <w:lang w:eastAsia="en-GB"/>
              </w:rPr>
              <w:t>A Level</w:t>
            </w:r>
          </w:p>
        </w:tc>
        <w:tc>
          <w:tcPr>
            <w:tcW w:w="715" w:type="pct"/>
            <w:tcBorders>
              <w:top w:val="nil"/>
              <w:left w:val="nil"/>
              <w:bottom w:val="single" w:sz="4" w:space="0" w:color="auto"/>
              <w:right w:val="single" w:sz="4" w:space="0" w:color="auto"/>
            </w:tcBorders>
            <w:shd w:val="clear" w:color="000000" w:fill="FFFFFF"/>
            <w:noWrap/>
            <w:vAlign w:val="bottom"/>
            <w:hideMark/>
          </w:tcPr>
          <w:p w14:paraId="29872522" w14:textId="77777777" w:rsidR="00930339" w:rsidRPr="00A52AEE" w:rsidRDefault="00930339" w:rsidP="00674896">
            <w:pPr>
              <w:jc w:val="right"/>
              <w:rPr>
                <w:lang w:eastAsia="en-GB"/>
              </w:rPr>
            </w:pPr>
            <w:r w:rsidRPr="00A52AEE">
              <w:rPr>
                <w:lang w:eastAsia="en-GB"/>
              </w:rPr>
              <w:t>69%</w:t>
            </w:r>
          </w:p>
        </w:tc>
        <w:tc>
          <w:tcPr>
            <w:tcW w:w="597" w:type="pct"/>
            <w:tcBorders>
              <w:top w:val="nil"/>
              <w:left w:val="nil"/>
              <w:bottom w:val="single" w:sz="4" w:space="0" w:color="auto"/>
              <w:right w:val="single" w:sz="4" w:space="0" w:color="auto"/>
            </w:tcBorders>
            <w:shd w:val="clear" w:color="000000" w:fill="FFFFFF"/>
            <w:noWrap/>
            <w:vAlign w:val="bottom"/>
            <w:hideMark/>
          </w:tcPr>
          <w:p w14:paraId="40A84149" w14:textId="77777777" w:rsidR="00930339" w:rsidRPr="00A52AEE" w:rsidRDefault="00930339" w:rsidP="00674896">
            <w:pPr>
              <w:jc w:val="right"/>
              <w:rPr>
                <w:lang w:eastAsia="en-GB"/>
              </w:rPr>
            </w:pPr>
            <w:r w:rsidRPr="00A52AEE">
              <w:rPr>
                <w:lang w:eastAsia="en-GB"/>
              </w:rPr>
              <w:t>10%</w:t>
            </w:r>
          </w:p>
        </w:tc>
        <w:tc>
          <w:tcPr>
            <w:tcW w:w="787" w:type="pct"/>
            <w:tcBorders>
              <w:top w:val="nil"/>
              <w:left w:val="nil"/>
              <w:bottom w:val="single" w:sz="4" w:space="0" w:color="auto"/>
              <w:right w:val="single" w:sz="4" w:space="0" w:color="auto"/>
            </w:tcBorders>
            <w:shd w:val="clear" w:color="000000" w:fill="FFFFFF"/>
            <w:noWrap/>
            <w:vAlign w:val="bottom"/>
            <w:hideMark/>
          </w:tcPr>
          <w:p w14:paraId="11DD6AFF" w14:textId="77777777" w:rsidR="00930339" w:rsidRPr="00A52AEE" w:rsidRDefault="00930339" w:rsidP="00674896">
            <w:pPr>
              <w:jc w:val="right"/>
              <w:rPr>
                <w:lang w:eastAsia="en-GB"/>
              </w:rPr>
            </w:pPr>
            <w:r w:rsidRPr="00A52AEE">
              <w:rPr>
                <w:lang w:eastAsia="en-GB"/>
              </w:rPr>
              <w:t>90%</w:t>
            </w:r>
          </w:p>
        </w:tc>
        <w:tc>
          <w:tcPr>
            <w:tcW w:w="705" w:type="pct"/>
            <w:tcBorders>
              <w:top w:val="nil"/>
              <w:left w:val="nil"/>
              <w:bottom w:val="single" w:sz="4" w:space="0" w:color="auto"/>
              <w:right w:val="single" w:sz="4" w:space="0" w:color="auto"/>
            </w:tcBorders>
            <w:shd w:val="clear" w:color="000000" w:fill="FFFFFF"/>
            <w:noWrap/>
            <w:vAlign w:val="bottom"/>
            <w:hideMark/>
          </w:tcPr>
          <w:p w14:paraId="765E6FC8" w14:textId="77777777" w:rsidR="00930339" w:rsidRPr="00A52AEE" w:rsidRDefault="00930339" w:rsidP="00674896">
            <w:pPr>
              <w:jc w:val="right"/>
              <w:rPr>
                <w:lang w:eastAsia="en-GB"/>
              </w:rPr>
            </w:pPr>
            <w:r w:rsidRPr="00A52AEE">
              <w:rPr>
                <w:lang w:eastAsia="en-GB"/>
              </w:rPr>
              <w:t>78%</w:t>
            </w:r>
          </w:p>
        </w:tc>
        <w:tc>
          <w:tcPr>
            <w:tcW w:w="588" w:type="pct"/>
            <w:tcBorders>
              <w:top w:val="nil"/>
              <w:left w:val="nil"/>
              <w:bottom w:val="single" w:sz="4" w:space="0" w:color="auto"/>
              <w:right w:val="single" w:sz="4" w:space="0" w:color="auto"/>
            </w:tcBorders>
            <w:shd w:val="clear" w:color="000000" w:fill="FFFFFF"/>
            <w:noWrap/>
            <w:vAlign w:val="bottom"/>
            <w:hideMark/>
          </w:tcPr>
          <w:p w14:paraId="1FF33FDF" w14:textId="77777777" w:rsidR="00930339" w:rsidRPr="00A52AEE" w:rsidRDefault="00930339" w:rsidP="00674896">
            <w:pPr>
              <w:jc w:val="right"/>
              <w:rPr>
                <w:lang w:eastAsia="en-GB"/>
              </w:rPr>
            </w:pPr>
            <w:r w:rsidRPr="00A52AEE">
              <w:rPr>
                <w:lang w:eastAsia="en-GB"/>
              </w:rPr>
              <w:t>6%</w:t>
            </w:r>
          </w:p>
        </w:tc>
        <w:tc>
          <w:tcPr>
            <w:tcW w:w="787" w:type="pct"/>
            <w:tcBorders>
              <w:top w:val="nil"/>
              <w:left w:val="nil"/>
              <w:bottom w:val="single" w:sz="4" w:space="0" w:color="auto"/>
              <w:right w:val="single" w:sz="4" w:space="0" w:color="auto"/>
            </w:tcBorders>
            <w:shd w:val="clear" w:color="000000" w:fill="FFFFFF"/>
            <w:noWrap/>
            <w:vAlign w:val="bottom"/>
            <w:hideMark/>
          </w:tcPr>
          <w:p w14:paraId="51E61D5C" w14:textId="77777777" w:rsidR="00930339" w:rsidRPr="00A52AEE" w:rsidRDefault="00930339" w:rsidP="00674896">
            <w:pPr>
              <w:jc w:val="right"/>
              <w:rPr>
                <w:lang w:eastAsia="en-GB"/>
              </w:rPr>
            </w:pPr>
            <w:r w:rsidRPr="00A52AEE">
              <w:rPr>
                <w:lang w:eastAsia="en-GB"/>
              </w:rPr>
              <w:t>94%</w:t>
            </w:r>
          </w:p>
        </w:tc>
      </w:tr>
      <w:tr w:rsidR="00930339" w:rsidRPr="00A52AEE" w14:paraId="4F5795D0" w14:textId="77777777" w:rsidTr="00930339">
        <w:trPr>
          <w:trHeight w:val="300"/>
        </w:trPr>
        <w:tc>
          <w:tcPr>
            <w:tcW w:w="821" w:type="pct"/>
            <w:tcBorders>
              <w:top w:val="nil"/>
              <w:left w:val="single" w:sz="4" w:space="0" w:color="auto"/>
              <w:bottom w:val="single" w:sz="4" w:space="0" w:color="auto"/>
              <w:right w:val="single" w:sz="4" w:space="0" w:color="auto"/>
            </w:tcBorders>
            <w:shd w:val="clear" w:color="000000" w:fill="FFFFFF"/>
            <w:noWrap/>
            <w:vAlign w:val="bottom"/>
            <w:hideMark/>
          </w:tcPr>
          <w:p w14:paraId="3E19E058" w14:textId="77777777" w:rsidR="00930339" w:rsidRPr="0022142D" w:rsidRDefault="00930339" w:rsidP="00A52AEE">
            <w:pPr>
              <w:rPr>
                <w:b/>
                <w:lang w:eastAsia="en-GB"/>
              </w:rPr>
            </w:pPr>
            <w:r w:rsidRPr="0022142D">
              <w:rPr>
                <w:b/>
                <w:lang w:eastAsia="en-GB"/>
              </w:rPr>
              <w:t>NVQ</w:t>
            </w:r>
          </w:p>
        </w:tc>
        <w:tc>
          <w:tcPr>
            <w:tcW w:w="715" w:type="pct"/>
            <w:tcBorders>
              <w:top w:val="nil"/>
              <w:left w:val="nil"/>
              <w:bottom w:val="single" w:sz="4" w:space="0" w:color="auto"/>
              <w:right w:val="single" w:sz="4" w:space="0" w:color="auto"/>
            </w:tcBorders>
            <w:shd w:val="clear" w:color="000000" w:fill="FFFFFF"/>
            <w:noWrap/>
            <w:vAlign w:val="bottom"/>
            <w:hideMark/>
          </w:tcPr>
          <w:p w14:paraId="01C0767A" w14:textId="77777777" w:rsidR="00930339" w:rsidRPr="00A52AEE" w:rsidRDefault="00930339" w:rsidP="00674896">
            <w:pPr>
              <w:jc w:val="right"/>
              <w:rPr>
                <w:lang w:eastAsia="en-GB"/>
              </w:rPr>
            </w:pPr>
            <w:r w:rsidRPr="00A52AEE">
              <w:rPr>
                <w:lang w:eastAsia="en-GB"/>
              </w:rPr>
              <w:t>11%</w:t>
            </w:r>
          </w:p>
        </w:tc>
        <w:tc>
          <w:tcPr>
            <w:tcW w:w="597" w:type="pct"/>
            <w:tcBorders>
              <w:top w:val="nil"/>
              <w:left w:val="nil"/>
              <w:bottom w:val="single" w:sz="4" w:space="0" w:color="auto"/>
              <w:right w:val="single" w:sz="4" w:space="0" w:color="auto"/>
            </w:tcBorders>
            <w:shd w:val="clear" w:color="000000" w:fill="FFFFFF"/>
            <w:noWrap/>
            <w:vAlign w:val="bottom"/>
            <w:hideMark/>
          </w:tcPr>
          <w:p w14:paraId="4F8DC604" w14:textId="77777777" w:rsidR="00930339" w:rsidRPr="00A52AEE" w:rsidRDefault="00930339" w:rsidP="00674896">
            <w:pPr>
              <w:jc w:val="right"/>
              <w:rPr>
                <w:lang w:eastAsia="en-GB"/>
              </w:rPr>
            </w:pPr>
            <w:r w:rsidRPr="00A52AEE">
              <w:rPr>
                <w:lang w:eastAsia="en-GB"/>
              </w:rPr>
              <w:t>76%</w:t>
            </w:r>
          </w:p>
        </w:tc>
        <w:tc>
          <w:tcPr>
            <w:tcW w:w="787" w:type="pct"/>
            <w:tcBorders>
              <w:top w:val="nil"/>
              <w:left w:val="nil"/>
              <w:bottom w:val="single" w:sz="4" w:space="0" w:color="auto"/>
              <w:right w:val="single" w:sz="4" w:space="0" w:color="auto"/>
            </w:tcBorders>
            <w:shd w:val="clear" w:color="000000" w:fill="FFFFFF"/>
            <w:noWrap/>
            <w:vAlign w:val="bottom"/>
            <w:hideMark/>
          </w:tcPr>
          <w:p w14:paraId="0CF25AEE" w14:textId="77777777" w:rsidR="00930339" w:rsidRPr="00A52AEE" w:rsidRDefault="00930339" w:rsidP="00674896">
            <w:pPr>
              <w:jc w:val="right"/>
              <w:rPr>
                <w:lang w:eastAsia="en-GB"/>
              </w:rPr>
            </w:pPr>
            <w:r w:rsidRPr="00A52AEE">
              <w:rPr>
                <w:lang w:eastAsia="en-GB"/>
              </w:rPr>
              <w:t>24%</w:t>
            </w:r>
          </w:p>
        </w:tc>
        <w:tc>
          <w:tcPr>
            <w:tcW w:w="705" w:type="pct"/>
            <w:tcBorders>
              <w:top w:val="nil"/>
              <w:left w:val="nil"/>
              <w:bottom w:val="single" w:sz="4" w:space="0" w:color="auto"/>
              <w:right w:val="single" w:sz="4" w:space="0" w:color="auto"/>
            </w:tcBorders>
            <w:shd w:val="clear" w:color="000000" w:fill="FFFFFF"/>
            <w:noWrap/>
            <w:vAlign w:val="bottom"/>
            <w:hideMark/>
          </w:tcPr>
          <w:p w14:paraId="48970DEA" w14:textId="77777777" w:rsidR="00930339" w:rsidRPr="00A52AEE" w:rsidRDefault="00930339" w:rsidP="00674896">
            <w:pPr>
              <w:jc w:val="right"/>
              <w:rPr>
                <w:lang w:eastAsia="en-GB"/>
              </w:rPr>
            </w:pPr>
            <w:r w:rsidRPr="00A52AEE">
              <w:rPr>
                <w:lang w:eastAsia="en-GB"/>
              </w:rPr>
              <w:t>21%</w:t>
            </w:r>
          </w:p>
        </w:tc>
        <w:tc>
          <w:tcPr>
            <w:tcW w:w="588" w:type="pct"/>
            <w:tcBorders>
              <w:top w:val="nil"/>
              <w:left w:val="nil"/>
              <w:bottom w:val="single" w:sz="4" w:space="0" w:color="auto"/>
              <w:right w:val="single" w:sz="4" w:space="0" w:color="auto"/>
            </w:tcBorders>
            <w:shd w:val="clear" w:color="000000" w:fill="FFFFFF"/>
            <w:noWrap/>
            <w:vAlign w:val="bottom"/>
            <w:hideMark/>
          </w:tcPr>
          <w:p w14:paraId="65FD9F59" w14:textId="77777777" w:rsidR="00930339" w:rsidRPr="00A52AEE" w:rsidRDefault="00930339" w:rsidP="00674896">
            <w:pPr>
              <w:jc w:val="right"/>
              <w:rPr>
                <w:lang w:eastAsia="en-GB"/>
              </w:rPr>
            </w:pPr>
            <w:r w:rsidRPr="00A52AEE">
              <w:rPr>
                <w:lang w:eastAsia="en-GB"/>
              </w:rPr>
              <w:t>65%</w:t>
            </w:r>
          </w:p>
        </w:tc>
        <w:tc>
          <w:tcPr>
            <w:tcW w:w="787" w:type="pct"/>
            <w:tcBorders>
              <w:top w:val="nil"/>
              <w:left w:val="nil"/>
              <w:bottom w:val="single" w:sz="4" w:space="0" w:color="auto"/>
              <w:right w:val="single" w:sz="4" w:space="0" w:color="auto"/>
            </w:tcBorders>
            <w:shd w:val="clear" w:color="000000" w:fill="FFFFFF"/>
            <w:noWrap/>
            <w:vAlign w:val="bottom"/>
            <w:hideMark/>
          </w:tcPr>
          <w:p w14:paraId="4DD71543" w14:textId="77777777" w:rsidR="00930339" w:rsidRPr="00A52AEE" w:rsidRDefault="00930339" w:rsidP="00674896">
            <w:pPr>
              <w:jc w:val="right"/>
              <w:rPr>
                <w:lang w:eastAsia="en-GB"/>
              </w:rPr>
            </w:pPr>
            <w:r w:rsidRPr="00A52AEE">
              <w:rPr>
                <w:lang w:eastAsia="en-GB"/>
              </w:rPr>
              <w:t>35%</w:t>
            </w:r>
          </w:p>
        </w:tc>
      </w:tr>
      <w:tr w:rsidR="00930339" w:rsidRPr="00A52AEE" w14:paraId="7467EBE1" w14:textId="77777777" w:rsidTr="00930339">
        <w:trPr>
          <w:trHeight w:val="300"/>
        </w:trPr>
        <w:tc>
          <w:tcPr>
            <w:tcW w:w="821" w:type="pct"/>
            <w:tcBorders>
              <w:top w:val="nil"/>
              <w:left w:val="single" w:sz="4" w:space="0" w:color="auto"/>
              <w:bottom w:val="single" w:sz="4" w:space="0" w:color="auto"/>
              <w:right w:val="single" w:sz="4" w:space="0" w:color="auto"/>
            </w:tcBorders>
            <w:shd w:val="clear" w:color="000000" w:fill="FFFFFF"/>
            <w:noWrap/>
            <w:vAlign w:val="bottom"/>
            <w:hideMark/>
          </w:tcPr>
          <w:p w14:paraId="6E1B2AAC" w14:textId="3ADCDEE7" w:rsidR="00930339" w:rsidRPr="0022142D" w:rsidRDefault="00674896" w:rsidP="00A52AEE">
            <w:pPr>
              <w:rPr>
                <w:b/>
                <w:lang w:eastAsia="en-GB"/>
              </w:rPr>
            </w:pPr>
            <w:r w:rsidRPr="0022142D">
              <w:rPr>
                <w:b/>
                <w:lang w:eastAsia="en-GB"/>
              </w:rPr>
              <w:t xml:space="preserve">Other </w:t>
            </w:r>
            <w:r w:rsidR="00930339" w:rsidRPr="0022142D">
              <w:rPr>
                <w:b/>
                <w:lang w:eastAsia="en-GB"/>
              </w:rPr>
              <w:t>Vocational</w:t>
            </w:r>
          </w:p>
        </w:tc>
        <w:tc>
          <w:tcPr>
            <w:tcW w:w="715" w:type="pct"/>
            <w:tcBorders>
              <w:top w:val="nil"/>
              <w:left w:val="nil"/>
              <w:bottom w:val="single" w:sz="4" w:space="0" w:color="auto"/>
              <w:right w:val="single" w:sz="4" w:space="0" w:color="auto"/>
            </w:tcBorders>
            <w:shd w:val="clear" w:color="000000" w:fill="FFFFFF"/>
            <w:noWrap/>
            <w:vAlign w:val="bottom"/>
            <w:hideMark/>
          </w:tcPr>
          <w:p w14:paraId="2340E7B8" w14:textId="77777777" w:rsidR="00930339" w:rsidRPr="00A52AEE" w:rsidRDefault="00930339" w:rsidP="00674896">
            <w:pPr>
              <w:jc w:val="right"/>
              <w:rPr>
                <w:lang w:eastAsia="en-GB"/>
              </w:rPr>
            </w:pPr>
            <w:r w:rsidRPr="00A52AEE">
              <w:rPr>
                <w:lang w:eastAsia="en-GB"/>
              </w:rPr>
              <w:t>18%</w:t>
            </w:r>
          </w:p>
        </w:tc>
        <w:tc>
          <w:tcPr>
            <w:tcW w:w="597" w:type="pct"/>
            <w:tcBorders>
              <w:top w:val="nil"/>
              <w:left w:val="nil"/>
              <w:bottom w:val="single" w:sz="4" w:space="0" w:color="auto"/>
              <w:right w:val="single" w:sz="4" w:space="0" w:color="auto"/>
            </w:tcBorders>
            <w:shd w:val="clear" w:color="000000" w:fill="FFFFFF"/>
            <w:noWrap/>
            <w:vAlign w:val="bottom"/>
            <w:hideMark/>
          </w:tcPr>
          <w:p w14:paraId="0C065297" w14:textId="77777777" w:rsidR="00930339" w:rsidRPr="00A52AEE" w:rsidRDefault="00930339" w:rsidP="00674896">
            <w:pPr>
              <w:jc w:val="right"/>
              <w:rPr>
                <w:lang w:eastAsia="en-GB"/>
              </w:rPr>
            </w:pPr>
            <w:r w:rsidRPr="00A52AEE">
              <w:rPr>
                <w:lang w:eastAsia="en-GB"/>
              </w:rPr>
              <w:t>63%</w:t>
            </w:r>
          </w:p>
        </w:tc>
        <w:tc>
          <w:tcPr>
            <w:tcW w:w="787" w:type="pct"/>
            <w:tcBorders>
              <w:top w:val="nil"/>
              <w:left w:val="nil"/>
              <w:bottom w:val="single" w:sz="4" w:space="0" w:color="auto"/>
              <w:right w:val="single" w:sz="4" w:space="0" w:color="auto"/>
            </w:tcBorders>
            <w:shd w:val="clear" w:color="000000" w:fill="FFFFFF"/>
            <w:noWrap/>
            <w:vAlign w:val="bottom"/>
            <w:hideMark/>
          </w:tcPr>
          <w:p w14:paraId="699B2F0A" w14:textId="77777777" w:rsidR="00930339" w:rsidRPr="00A52AEE" w:rsidRDefault="00930339" w:rsidP="00674896">
            <w:pPr>
              <w:jc w:val="right"/>
              <w:rPr>
                <w:lang w:eastAsia="en-GB"/>
              </w:rPr>
            </w:pPr>
            <w:r w:rsidRPr="00A52AEE">
              <w:rPr>
                <w:lang w:eastAsia="en-GB"/>
              </w:rPr>
              <w:t>42%</w:t>
            </w:r>
          </w:p>
        </w:tc>
        <w:tc>
          <w:tcPr>
            <w:tcW w:w="705" w:type="pct"/>
            <w:tcBorders>
              <w:top w:val="nil"/>
              <w:left w:val="nil"/>
              <w:bottom w:val="single" w:sz="4" w:space="0" w:color="auto"/>
              <w:right w:val="single" w:sz="4" w:space="0" w:color="auto"/>
            </w:tcBorders>
            <w:shd w:val="clear" w:color="000000" w:fill="FFFFFF"/>
            <w:noWrap/>
            <w:vAlign w:val="bottom"/>
            <w:hideMark/>
          </w:tcPr>
          <w:p w14:paraId="016877B7" w14:textId="77777777" w:rsidR="00930339" w:rsidRPr="00A52AEE" w:rsidRDefault="00930339" w:rsidP="00674896">
            <w:pPr>
              <w:jc w:val="right"/>
              <w:rPr>
                <w:lang w:eastAsia="en-GB"/>
              </w:rPr>
            </w:pPr>
            <w:r w:rsidRPr="00A52AEE">
              <w:rPr>
                <w:lang w:eastAsia="en-GB"/>
              </w:rPr>
              <w:t>30%</w:t>
            </w:r>
          </w:p>
        </w:tc>
        <w:tc>
          <w:tcPr>
            <w:tcW w:w="588" w:type="pct"/>
            <w:tcBorders>
              <w:top w:val="nil"/>
              <w:left w:val="nil"/>
              <w:bottom w:val="single" w:sz="4" w:space="0" w:color="auto"/>
              <w:right w:val="single" w:sz="4" w:space="0" w:color="auto"/>
            </w:tcBorders>
            <w:shd w:val="clear" w:color="000000" w:fill="FFFFFF"/>
            <w:noWrap/>
            <w:vAlign w:val="bottom"/>
            <w:hideMark/>
          </w:tcPr>
          <w:p w14:paraId="1FC55C3B" w14:textId="77777777" w:rsidR="00930339" w:rsidRPr="00A52AEE" w:rsidRDefault="00930339" w:rsidP="00674896">
            <w:pPr>
              <w:jc w:val="right"/>
              <w:rPr>
                <w:lang w:eastAsia="en-GB"/>
              </w:rPr>
            </w:pPr>
            <w:r w:rsidRPr="00A52AEE">
              <w:rPr>
                <w:lang w:eastAsia="en-GB"/>
              </w:rPr>
              <w:t>32%</w:t>
            </w:r>
          </w:p>
        </w:tc>
        <w:tc>
          <w:tcPr>
            <w:tcW w:w="787" w:type="pct"/>
            <w:tcBorders>
              <w:top w:val="nil"/>
              <w:left w:val="nil"/>
              <w:bottom w:val="single" w:sz="4" w:space="0" w:color="auto"/>
              <w:right w:val="single" w:sz="4" w:space="0" w:color="auto"/>
            </w:tcBorders>
            <w:shd w:val="clear" w:color="000000" w:fill="FFFFFF"/>
            <w:noWrap/>
            <w:vAlign w:val="bottom"/>
            <w:hideMark/>
          </w:tcPr>
          <w:p w14:paraId="7170187A" w14:textId="77777777" w:rsidR="00930339" w:rsidRPr="00A52AEE" w:rsidRDefault="00930339" w:rsidP="00674896">
            <w:pPr>
              <w:jc w:val="right"/>
              <w:rPr>
                <w:lang w:eastAsia="en-GB"/>
              </w:rPr>
            </w:pPr>
            <w:r w:rsidRPr="00A52AEE">
              <w:rPr>
                <w:lang w:eastAsia="en-GB"/>
              </w:rPr>
              <w:t>68%</w:t>
            </w:r>
          </w:p>
        </w:tc>
      </w:tr>
    </w:tbl>
    <w:p w14:paraId="19641515" w14:textId="2F8D2914" w:rsidR="006078EF" w:rsidRPr="00A52AEE" w:rsidRDefault="006078EF" w:rsidP="008D527A">
      <w:pPr>
        <w:pStyle w:val="Heading2"/>
        <w:numPr>
          <w:ilvl w:val="1"/>
          <w:numId w:val="3"/>
        </w:numPr>
        <w:rPr>
          <w:szCs w:val="24"/>
        </w:rPr>
      </w:pPr>
      <w:bookmarkStart w:id="137" w:name="_Toc429151352"/>
      <w:r w:rsidRPr="00A52AEE">
        <w:t xml:space="preserve">HE achievement </w:t>
      </w:r>
      <w:r w:rsidR="006D199F" w:rsidRPr="00A52AEE">
        <w:t xml:space="preserve">related to </w:t>
      </w:r>
      <w:r w:rsidRPr="00A52AEE">
        <w:t>Key Stage 4 attainment</w:t>
      </w:r>
      <w:bookmarkEnd w:id="137"/>
      <w:r w:rsidRPr="00A52AEE">
        <w:t xml:space="preserve"> </w:t>
      </w:r>
    </w:p>
    <w:p w14:paraId="1068A3E4" w14:textId="396D4B53" w:rsidR="00C944A3" w:rsidRDefault="006078EF" w:rsidP="00A52AEE">
      <w:r w:rsidRPr="00A52AEE">
        <w:t>Clearly attainment at KS4 is a pred</w:t>
      </w:r>
      <w:r w:rsidR="00674896">
        <w:t>ictor of progression to HE and T</w:t>
      </w:r>
      <w:r w:rsidRPr="00A52AEE">
        <w:t xml:space="preserve">able </w:t>
      </w:r>
      <w:r w:rsidR="004E52FE">
        <w:t>42</w:t>
      </w:r>
      <w:r w:rsidR="005152F4" w:rsidRPr="00A52AEE">
        <w:t xml:space="preserve"> </w:t>
      </w:r>
      <w:r w:rsidRPr="00A52AEE">
        <w:t xml:space="preserve">also shows its importance in relation to achievement in HE for entrants.  The figures show much higher success rates for the group who achieved </w:t>
      </w:r>
      <w:r w:rsidR="0021637B" w:rsidRPr="00A52AEE">
        <w:t>Level</w:t>
      </w:r>
      <w:r w:rsidRPr="00A52AEE">
        <w:t xml:space="preserve"> 2 at KS4 including English and Maths at 16, where 76% achieved their first degree and 61% attained a good degree classification. In contrast, 59% of the low attaining KS4 group achieved their first degree and just 34% attained a good degree.  Nevertheless, it could be argued that this comparison </w:t>
      </w:r>
      <w:r w:rsidR="00C944A3" w:rsidRPr="00A52AEE">
        <w:t xml:space="preserve">between attainment groups </w:t>
      </w:r>
      <w:r w:rsidRPr="00A52AEE">
        <w:t xml:space="preserve">should not detract from the journey that the group of low attainers have made, having left school at 16 without their English and Maths GCSE, they </w:t>
      </w:r>
      <w:r w:rsidR="00C944A3" w:rsidRPr="00A52AEE">
        <w:t xml:space="preserve">eventually leave </w:t>
      </w:r>
      <w:r w:rsidRPr="00A52AEE">
        <w:t xml:space="preserve">FE with a </w:t>
      </w:r>
      <w:r w:rsidR="0021637B" w:rsidRPr="00A52AEE">
        <w:t>Level</w:t>
      </w:r>
      <w:r w:rsidRPr="00A52AEE">
        <w:t xml:space="preserve"> 3 qualification which enables them to p</w:t>
      </w:r>
      <w:r w:rsidR="00C944A3" w:rsidRPr="00A52AEE">
        <w:t>ro</w:t>
      </w:r>
      <w:r w:rsidR="00674896">
        <w:t>gress onto higher l</w:t>
      </w:r>
      <w:r w:rsidR="00A2101B" w:rsidRPr="00A52AEE">
        <w:t>evel study having travelled a further distance than their high attaining peers at KS4. This provides f</w:t>
      </w:r>
      <w:r w:rsidR="00C944A3" w:rsidRPr="00A52AEE">
        <w:t xml:space="preserve">urther evidence of the role that FE played in the educational trajectory of this group of </w:t>
      </w:r>
      <w:r w:rsidR="00842186" w:rsidRPr="00A52AEE">
        <w:t>student</w:t>
      </w:r>
      <w:r w:rsidR="00C944A3" w:rsidRPr="00A52AEE">
        <w:t>s.</w:t>
      </w:r>
    </w:p>
    <w:p w14:paraId="1627ED63" w14:textId="77777777" w:rsidR="00674896" w:rsidRPr="00A52AEE" w:rsidRDefault="00674896" w:rsidP="00A52AEE"/>
    <w:p w14:paraId="1589F80A" w14:textId="0EBEE172" w:rsidR="006078EF" w:rsidRPr="0022142D" w:rsidRDefault="006078EF" w:rsidP="00A52AEE">
      <w:pPr>
        <w:rPr>
          <w:b/>
        </w:rPr>
      </w:pPr>
      <w:r w:rsidRPr="0022142D">
        <w:rPr>
          <w:b/>
        </w:rPr>
        <w:t xml:space="preserve">Table </w:t>
      </w:r>
      <w:r w:rsidR="0022142D" w:rsidRPr="0022142D">
        <w:rPr>
          <w:b/>
        </w:rPr>
        <w:t>42</w:t>
      </w:r>
      <w:r w:rsidR="006D199F" w:rsidRPr="0022142D">
        <w:rPr>
          <w:b/>
        </w:rPr>
        <w:t>:</w:t>
      </w:r>
      <w:r w:rsidR="00674896" w:rsidRPr="0022142D">
        <w:rPr>
          <w:b/>
        </w:rPr>
        <w:t xml:space="preserve"> Progression b</w:t>
      </w:r>
      <w:r w:rsidRPr="0022142D">
        <w:rPr>
          <w:b/>
        </w:rPr>
        <w:t xml:space="preserve">reakdown by </w:t>
      </w:r>
      <w:r w:rsidR="0021637B" w:rsidRPr="0022142D">
        <w:rPr>
          <w:b/>
        </w:rPr>
        <w:t>Level</w:t>
      </w:r>
      <w:r w:rsidRPr="0022142D">
        <w:rPr>
          <w:b/>
        </w:rPr>
        <w:t xml:space="preserve"> 3 qualification type and KS4 attainment group</w:t>
      </w:r>
    </w:p>
    <w:p w14:paraId="556417AA" w14:textId="77777777" w:rsidR="00674896" w:rsidRPr="00A52AEE" w:rsidRDefault="00674896" w:rsidP="00A52AEE"/>
    <w:tbl>
      <w:tblPr>
        <w:tblW w:w="5000" w:type="pct"/>
        <w:tblLook w:val="04A0" w:firstRow="1" w:lastRow="0" w:firstColumn="1" w:lastColumn="0" w:noHBand="0" w:noVBand="1"/>
      </w:tblPr>
      <w:tblGrid>
        <w:gridCol w:w="5448"/>
        <w:gridCol w:w="1603"/>
        <w:gridCol w:w="978"/>
        <w:gridCol w:w="1532"/>
      </w:tblGrid>
      <w:tr w:rsidR="006D199F" w:rsidRPr="00674896" w14:paraId="4DBFE1B6" w14:textId="77777777" w:rsidTr="006D199F">
        <w:trPr>
          <w:trHeight w:val="300"/>
        </w:trPr>
        <w:tc>
          <w:tcPr>
            <w:tcW w:w="2757"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noWrap/>
            <w:vAlign w:val="center"/>
            <w:hideMark/>
          </w:tcPr>
          <w:p w14:paraId="69E89A19" w14:textId="1E4E96C2" w:rsidR="006078EF" w:rsidRPr="00674896" w:rsidRDefault="006078EF" w:rsidP="00674896">
            <w:pPr>
              <w:rPr>
                <w:b/>
                <w:color w:val="FFFFFF" w:themeColor="background1"/>
                <w:lang w:eastAsia="en-GB"/>
              </w:rPr>
            </w:pPr>
            <w:r w:rsidRPr="00674896">
              <w:rPr>
                <w:b/>
                <w:color w:val="FFFFFF" w:themeColor="background1"/>
                <w:lang w:eastAsia="en-GB"/>
              </w:rPr>
              <w:t>KS4 attainment group of ent</w:t>
            </w:r>
            <w:r w:rsidR="00A2101B" w:rsidRPr="00674896">
              <w:rPr>
                <w:b/>
                <w:color w:val="FFFFFF" w:themeColor="background1"/>
                <w:lang w:eastAsia="en-GB"/>
              </w:rPr>
              <w:t>r</w:t>
            </w:r>
            <w:r w:rsidRPr="00674896">
              <w:rPr>
                <w:b/>
                <w:color w:val="FFFFFF" w:themeColor="background1"/>
                <w:lang w:eastAsia="en-GB"/>
              </w:rPr>
              <w:t>ants</w:t>
            </w:r>
          </w:p>
        </w:tc>
        <w:tc>
          <w:tcPr>
            <w:tcW w:w="869"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1B6CAE37" w14:textId="77777777" w:rsidR="006078EF" w:rsidRPr="00674896" w:rsidRDefault="006078EF" w:rsidP="00674896">
            <w:pPr>
              <w:jc w:val="center"/>
              <w:rPr>
                <w:b/>
                <w:color w:val="FFFFFF" w:themeColor="background1"/>
                <w:lang w:eastAsia="en-GB"/>
              </w:rPr>
            </w:pPr>
            <w:r w:rsidRPr="00674896">
              <w:rPr>
                <w:b/>
                <w:color w:val="FFFFFF" w:themeColor="background1"/>
                <w:lang w:eastAsia="en-GB"/>
              </w:rPr>
              <w:t>% achieve First Degree</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3364347F" w14:textId="77777777" w:rsidR="006078EF" w:rsidRPr="00674896" w:rsidRDefault="006078EF" w:rsidP="00674896">
            <w:pPr>
              <w:jc w:val="center"/>
              <w:rPr>
                <w:b/>
                <w:color w:val="FFFFFF" w:themeColor="background1"/>
                <w:lang w:eastAsia="en-GB"/>
              </w:rPr>
            </w:pPr>
            <w:r w:rsidRPr="00674896">
              <w:rPr>
                <w:b/>
                <w:color w:val="FFFFFF" w:themeColor="background1"/>
                <w:lang w:eastAsia="en-GB"/>
              </w:rPr>
              <w:t>% achieve lower award</w:t>
            </w:r>
          </w:p>
        </w:tc>
        <w:tc>
          <w:tcPr>
            <w:tcW w:w="852" w:type="pct"/>
            <w:vMerge w:val="restart"/>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263EAEAD" w14:textId="77777777" w:rsidR="006078EF" w:rsidRPr="00674896" w:rsidRDefault="006078EF" w:rsidP="00674896">
            <w:pPr>
              <w:jc w:val="center"/>
              <w:rPr>
                <w:b/>
                <w:color w:val="FFFFFF" w:themeColor="background1"/>
                <w:lang w:eastAsia="en-GB"/>
              </w:rPr>
            </w:pPr>
            <w:r w:rsidRPr="00674896">
              <w:rPr>
                <w:b/>
                <w:color w:val="FFFFFF" w:themeColor="background1"/>
                <w:lang w:eastAsia="en-GB"/>
              </w:rPr>
              <w:t>% attainment of Good Degree  (1st or 2:1)</w:t>
            </w:r>
          </w:p>
        </w:tc>
      </w:tr>
      <w:tr w:rsidR="006078EF" w:rsidRPr="00A52AEE" w14:paraId="757C0D9F" w14:textId="77777777" w:rsidTr="006D199F">
        <w:trPr>
          <w:trHeight w:val="1395"/>
        </w:trPr>
        <w:tc>
          <w:tcPr>
            <w:tcW w:w="2757"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5542EC2A" w14:textId="77777777" w:rsidR="006078EF" w:rsidRPr="00A52AEE" w:rsidRDefault="006078EF" w:rsidP="00A52AEE">
            <w:pPr>
              <w:rPr>
                <w:lang w:eastAsia="en-GB"/>
              </w:rPr>
            </w:pPr>
          </w:p>
        </w:tc>
        <w:tc>
          <w:tcPr>
            <w:tcW w:w="869"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036AFA6D" w14:textId="77777777" w:rsidR="006078EF" w:rsidRPr="00A52AEE" w:rsidRDefault="006078EF" w:rsidP="00A52AEE">
            <w:pPr>
              <w:rPr>
                <w:lang w:eastAsia="en-GB"/>
              </w:rPr>
            </w:pPr>
          </w:p>
        </w:tc>
        <w:tc>
          <w:tcPr>
            <w:tcW w:w="523"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3A15E20B" w14:textId="77777777" w:rsidR="006078EF" w:rsidRPr="00A52AEE" w:rsidRDefault="006078EF" w:rsidP="00A52AEE">
            <w:pPr>
              <w:rPr>
                <w:lang w:eastAsia="en-GB"/>
              </w:rPr>
            </w:pPr>
          </w:p>
        </w:tc>
        <w:tc>
          <w:tcPr>
            <w:tcW w:w="852" w:type="pct"/>
            <w:vMerge/>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748D8D8B" w14:textId="77777777" w:rsidR="006078EF" w:rsidRPr="00A52AEE" w:rsidRDefault="006078EF" w:rsidP="00A52AEE">
            <w:pPr>
              <w:rPr>
                <w:lang w:eastAsia="en-GB"/>
              </w:rPr>
            </w:pPr>
          </w:p>
        </w:tc>
      </w:tr>
      <w:tr w:rsidR="006078EF" w:rsidRPr="00A52AEE" w14:paraId="461B937F" w14:textId="77777777" w:rsidTr="00A2101B">
        <w:trPr>
          <w:trHeight w:val="330"/>
        </w:trPr>
        <w:tc>
          <w:tcPr>
            <w:tcW w:w="2757" w:type="pct"/>
            <w:tcBorders>
              <w:top w:val="nil"/>
              <w:left w:val="single" w:sz="8" w:space="0" w:color="auto"/>
              <w:bottom w:val="single" w:sz="8" w:space="0" w:color="auto"/>
              <w:right w:val="single" w:sz="8" w:space="0" w:color="auto"/>
            </w:tcBorders>
            <w:shd w:val="clear" w:color="auto" w:fill="auto"/>
            <w:noWrap/>
            <w:vAlign w:val="center"/>
            <w:hideMark/>
          </w:tcPr>
          <w:p w14:paraId="33237DFB" w14:textId="4DDFBA44" w:rsidR="006078EF" w:rsidRPr="00A52AEE" w:rsidRDefault="006078EF" w:rsidP="00A52AEE">
            <w:pPr>
              <w:rPr>
                <w:lang w:eastAsia="en-GB"/>
              </w:rPr>
            </w:pPr>
            <w:r w:rsidRPr="00A52AEE">
              <w:rPr>
                <w:lang w:eastAsia="en-GB"/>
              </w:rPr>
              <w:t xml:space="preserve">Achieved </w:t>
            </w:r>
            <w:r w:rsidR="0021637B" w:rsidRPr="00A52AEE">
              <w:rPr>
                <w:lang w:eastAsia="en-GB"/>
              </w:rPr>
              <w:t>Level</w:t>
            </w:r>
            <w:r w:rsidRPr="00A52AEE">
              <w:rPr>
                <w:lang w:eastAsia="en-GB"/>
              </w:rPr>
              <w:t xml:space="preserve"> 2 KS4 including English &amp; Maths</w:t>
            </w:r>
          </w:p>
        </w:tc>
        <w:tc>
          <w:tcPr>
            <w:tcW w:w="869" w:type="pct"/>
            <w:tcBorders>
              <w:top w:val="nil"/>
              <w:left w:val="nil"/>
              <w:bottom w:val="single" w:sz="8" w:space="0" w:color="auto"/>
              <w:right w:val="single" w:sz="8" w:space="0" w:color="auto"/>
            </w:tcBorders>
            <w:shd w:val="clear" w:color="auto" w:fill="auto"/>
            <w:noWrap/>
            <w:vAlign w:val="center"/>
            <w:hideMark/>
          </w:tcPr>
          <w:p w14:paraId="73A4CB57" w14:textId="77777777" w:rsidR="006078EF" w:rsidRPr="00A52AEE" w:rsidRDefault="006078EF" w:rsidP="00674896">
            <w:pPr>
              <w:jc w:val="right"/>
              <w:rPr>
                <w:lang w:eastAsia="en-GB"/>
              </w:rPr>
            </w:pPr>
            <w:r w:rsidRPr="00A52AEE">
              <w:rPr>
                <w:lang w:eastAsia="en-GB"/>
              </w:rPr>
              <w:t>76%</w:t>
            </w:r>
          </w:p>
        </w:tc>
        <w:tc>
          <w:tcPr>
            <w:tcW w:w="523" w:type="pct"/>
            <w:tcBorders>
              <w:top w:val="nil"/>
              <w:left w:val="nil"/>
              <w:bottom w:val="single" w:sz="8" w:space="0" w:color="auto"/>
              <w:right w:val="single" w:sz="8" w:space="0" w:color="auto"/>
            </w:tcBorders>
            <w:shd w:val="clear" w:color="auto" w:fill="auto"/>
            <w:noWrap/>
            <w:vAlign w:val="center"/>
            <w:hideMark/>
          </w:tcPr>
          <w:p w14:paraId="1419BB8C" w14:textId="77777777" w:rsidR="006078EF" w:rsidRPr="00A52AEE" w:rsidRDefault="006078EF" w:rsidP="00674896">
            <w:pPr>
              <w:jc w:val="right"/>
              <w:rPr>
                <w:lang w:eastAsia="en-GB"/>
              </w:rPr>
            </w:pPr>
            <w:r w:rsidRPr="00A52AEE">
              <w:rPr>
                <w:lang w:eastAsia="en-GB"/>
              </w:rPr>
              <w:t>14%</w:t>
            </w:r>
          </w:p>
        </w:tc>
        <w:tc>
          <w:tcPr>
            <w:tcW w:w="852" w:type="pct"/>
            <w:tcBorders>
              <w:top w:val="nil"/>
              <w:left w:val="nil"/>
              <w:bottom w:val="single" w:sz="8" w:space="0" w:color="auto"/>
              <w:right w:val="single" w:sz="8" w:space="0" w:color="auto"/>
            </w:tcBorders>
            <w:shd w:val="clear" w:color="auto" w:fill="auto"/>
            <w:noWrap/>
            <w:vAlign w:val="center"/>
            <w:hideMark/>
          </w:tcPr>
          <w:p w14:paraId="3A3CB5EA" w14:textId="77777777" w:rsidR="006078EF" w:rsidRPr="00A52AEE" w:rsidRDefault="006078EF" w:rsidP="00674896">
            <w:pPr>
              <w:jc w:val="right"/>
              <w:rPr>
                <w:lang w:eastAsia="en-GB"/>
              </w:rPr>
            </w:pPr>
            <w:r w:rsidRPr="00A52AEE">
              <w:rPr>
                <w:lang w:eastAsia="en-GB"/>
              </w:rPr>
              <w:t>61%</w:t>
            </w:r>
          </w:p>
        </w:tc>
      </w:tr>
      <w:tr w:rsidR="006078EF" w:rsidRPr="00A52AEE" w14:paraId="13D87875" w14:textId="77777777" w:rsidTr="00A2101B">
        <w:trPr>
          <w:trHeight w:val="330"/>
        </w:trPr>
        <w:tc>
          <w:tcPr>
            <w:tcW w:w="2757" w:type="pct"/>
            <w:tcBorders>
              <w:top w:val="nil"/>
              <w:left w:val="single" w:sz="8" w:space="0" w:color="auto"/>
              <w:bottom w:val="single" w:sz="8" w:space="0" w:color="auto"/>
              <w:right w:val="single" w:sz="8" w:space="0" w:color="auto"/>
            </w:tcBorders>
            <w:shd w:val="clear" w:color="auto" w:fill="auto"/>
            <w:noWrap/>
            <w:vAlign w:val="center"/>
            <w:hideMark/>
          </w:tcPr>
          <w:p w14:paraId="2AF63F89" w14:textId="784A2BE2" w:rsidR="006078EF" w:rsidRPr="00A52AEE" w:rsidRDefault="006078EF" w:rsidP="00A52AEE">
            <w:pPr>
              <w:rPr>
                <w:lang w:eastAsia="en-GB"/>
              </w:rPr>
            </w:pPr>
            <w:r w:rsidRPr="00A52AEE">
              <w:rPr>
                <w:lang w:eastAsia="en-GB"/>
              </w:rPr>
              <w:t xml:space="preserve">Did not achieve </w:t>
            </w:r>
            <w:r w:rsidR="0021637B" w:rsidRPr="00A52AEE">
              <w:rPr>
                <w:lang w:eastAsia="en-GB"/>
              </w:rPr>
              <w:t>Level</w:t>
            </w:r>
            <w:r w:rsidRPr="00A52AEE">
              <w:rPr>
                <w:lang w:eastAsia="en-GB"/>
              </w:rPr>
              <w:t xml:space="preserve"> 2 KS4 including English &amp; Maths</w:t>
            </w:r>
          </w:p>
        </w:tc>
        <w:tc>
          <w:tcPr>
            <w:tcW w:w="869" w:type="pct"/>
            <w:tcBorders>
              <w:top w:val="nil"/>
              <w:left w:val="nil"/>
              <w:bottom w:val="single" w:sz="8" w:space="0" w:color="auto"/>
              <w:right w:val="single" w:sz="8" w:space="0" w:color="auto"/>
            </w:tcBorders>
            <w:shd w:val="clear" w:color="auto" w:fill="auto"/>
            <w:noWrap/>
            <w:vAlign w:val="center"/>
            <w:hideMark/>
          </w:tcPr>
          <w:p w14:paraId="43F040CA" w14:textId="77777777" w:rsidR="006078EF" w:rsidRPr="00A52AEE" w:rsidRDefault="006078EF" w:rsidP="00674896">
            <w:pPr>
              <w:jc w:val="right"/>
              <w:rPr>
                <w:lang w:eastAsia="en-GB"/>
              </w:rPr>
            </w:pPr>
            <w:r w:rsidRPr="00A52AEE">
              <w:rPr>
                <w:lang w:eastAsia="en-GB"/>
              </w:rPr>
              <w:t>59%</w:t>
            </w:r>
          </w:p>
        </w:tc>
        <w:tc>
          <w:tcPr>
            <w:tcW w:w="523" w:type="pct"/>
            <w:tcBorders>
              <w:top w:val="nil"/>
              <w:left w:val="nil"/>
              <w:bottom w:val="single" w:sz="8" w:space="0" w:color="auto"/>
              <w:right w:val="single" w:sz="8" w:space="0" w:color="auto"/>
            </w:tcBorders>
            <w:shd w:val="clear" w:color="auto" w:fill="auto"/>
            <w:noWrap/>
            <w:vAlign w:val="center"/>
            <w:hideMark/>
          </w:tcPr>
          <w:p w14:paraId="72F24CF0" w14:textId="77777777" w:rsidR="006078EF" w:rsidRPr="00A52AEE" w:rsidRDefault="006078EF" w:rsidP="00674896">
            <w:pPr>
              <w:jc w:val="right"/>
              <w:rPr>
                <w:lang w:eastAsia="en-GB"/>
              </w:rPr>
            </w:pPr>
            <w:r w:rsidRPr="00A52AEE">
              <w:rPr>
                <w:lang w:eastAsia="en-GB"/>
              </w:rPr>
              <w:t>8%</w:t>
            </w:r>
          </w:p>
        </w:tc>
        <w:tc>
          <w:tcPr>
            <w:tcW w:w="852" w:type="pct"/>
            <w:tcBorders>
              <w:top w:val="nil"/>
              <w:left w:val="nil"/>
              <w:bottom w:val="single" w:sz="8" w:space="0" w:color="auto"/>
              <w:right w:val="single" w:sz="8" w:space="0" w:color="auto"/>
            </w:tcBorders>
            <w:shd w:val="clear" w:color="auto" w:fill="auto"/>
            <w:noWrap/>
            <w:vAlign w:val="center"/>
            <w:hideMark/>
          </w:tcPr>
          <w:p w14:paraId="547E7EEF" w14:textId="77777777" w:rsidR="006078EF" w:rsidRPr="00A52AEE" w:rsidRDefault="006078EF" w:rsidP="00674896">
            <w:pPr>
              <w:jc w:val="right"/>
              <w:rPr>
                <w:lang w:eastAsia="en-GB"/>
              </w:rPr>
            </w:pPr>
            <w:r w:rsidRPr="00A52AEE">
              <w:rPr>
                <w:lang w:eastAsia="en-GB"/>
              </w:rPr>
              <w:t>34%</w:t>
            </w:r>
          </w:p>
        </w:tc>
      </w:tr>
    </w:tbl>
    <w:p w14:paraId="5776FAB3" w14:textId="5D303615" w:rsidR="00325251" w:rsidRPr="00A52AEE" w:rsidRDefault="00325251" w:rsidP="00A52AEE"/>
    <w:p w14:paraId="1D979993" w14:textId="77777777" w:rsidR="00325251" w:rsidRPr="00A52AEE" w:rsidRDefault="00325251" w:rsidP="00A52AEE">
      <w:r w:rsidRPr="00A52AEE">
        <w:br w:type="page"/>
      </w:r>
    </w:p>
    <w:p w14:paraId="534D728C" w14:textId="24A4451F" w:rsidR="006078EF" w:rsidRPr="00A52AEE" w:rsidRDefault="00674896" w:rsidP="009443B2">
      <w:pPr>
        <w:pStyle w:val="Heading1"/>
      </w:pPr>
      <w:bookmarkStart w:id="138" w:name="_Toc429151353"/>
      <w:r>
        <w:t>8.</w:t>
      </w:r>
      <w:r>
        <w:tab/>
      </w:r>
      <w:r w:rsidR="00CC757B">
        <w:t>London p</w:t>
      </w:r>
      <w:r>
        <w:t>rogression summaries</w:t>
      </w:r>
      <w:bookmarkEnd w:id="138"/>
    </w:p>
    <w:p w14:paraId="015954E4" w14:textId="77777777" w:rsidR="00325251" w:rsidRPr="00A52AEE" w:rsidRDefault="00325251" w:rsidP="00A52AEE"/>
    <w:p w14:paraId="1AC3444E" w14:textId="378D8158" w:rsidR="005B04D0" w:rsidRPr="00A52AEE" w:rsidRDefault="00674896" w:rsidP="00A52AEE">
      <w:r>
        <w:t xml:space="preserve">In this section, </w:t>
      </w:r>
      <w:r w:rsidR="005B04D0" w:rsidRPr="00A52AEE">
        <w:t xml:space="preserve">summary charts are provided to pick out the main progression flows, achievements and </w:t>
      </w:r>
      <w:r w:rsidR="00A54AE3">
        <w:t>key</w:t>
      </w:r>
      <w:r w:rsidR="005B04D0" w:rsidRPr="00A52AEE">
        <w:t xml:space="preserve"> factors relating to the progression of FE and Sixth Form College students in London.  </w:t>
      </w:r>
    </w:p>
    <w:p w14:paraId="36A1A286" w14:textId="161E5C26" w:rsidR="005B04D0" w:rsidRPr="00A52AEE" w:rsidRDefault="005B04D0" w:rsidP="00A52AEE"/>
    <w:p w14:paraId="5BEB5CFD" w14:textId="623BF229" w:rsidR="00325251" w:rsidRPr="00A52AEE" w:rsidRDefault="00325251" w:rsidP="008D527A">
      <w:pPr>
        <w:pStyle w:val="Heading2"/>
        <w:numPr>
          <w:ilvl w:val="1"/>
          <w:numId w:val="19"/>
        </w:numPr>
      </w:pPr>
      <w:bookmarkStart w:id="139" w:name="_Toc429151354"/>
      <w:r w:rsidRPr="00A52AEE">
        <w:t xml:space="preserve">Progression </w:t>
      </w:r>
      <w:r w:rsidR="006D199F" w:rsidRPr="00A52AEE">
        <w:t>m</w:t>
      </w:r>
      <w:r w:rsidR="00757B2C" w:rsidRPr="00A52AEE">
        <w:t xml:space="preserve">ap </w:t>
      </w:r>
      <w:r w:rsidRPr="00A52AEE">
        <w:t>by FE qualification type</w:t>
      </w:r>
      <w:bookmarkEnd w:id="139"/>
    </w:p>
    <w:p w14:paraId="4C7713E2" w14:textId="48B832EB" w:rsidR="005B04D0" w:rsidRDefault="005B04D0" w:rsidP="00A52AEE">
      <w:r w:rsidRPr="00A52AEE">
        <w:t>In Figure 13, universities are categorised as follows:</w:t>
      </w:r>
      <w:r w:rsidR="00674896">
        <w:t xml:space="preserve">  </w:t>
      </w:r>
      <w:r w:rsidRPr="00A52AEE">
        <w:rPr>
          <w:b/>
        </w:rPr>
        <w:t>Russell Group</w:t>
      </w:r>
      <w:r w:rsidRPr="00A52AEE">
        <w:t xml:space="preserve"> – Universities that are current members of the “Russell Group”;</w:t>
      </w:r>
      <w:r w:rsidR="00DF759E" w:rsidRPr="00A52AEE">
        <w:t xml:space="preserve"> </w:t>
      </w:r>
      <w:r w:rsidRPr="00A52AEE">
        <w:rPr>
          <w:b/>
        </w:rPr>
        <w:t>Old Universities</w:t>
      </w:r>
      <w:r w:rsidRPr="00A52AEE">
        <w:t xml:space="preserve"> – Universities established pre 1992 that are not members of the Russell Group</w:t>
      </w:r>
      <w:r w:rsidR="00DF759E" w:rsidRPr="00A52AEE">
        <w:t xml:space="preserve"> and </w:t>
      </w:r>
      <w:r w:rsidRPr="00A52AEE">
        <w:rPr>
          <w:b/>
        </w:rPr>
        <w:t>New Universities</w:t>
      </w:r>
      <w:r w:rsidRPr="00A52AEE">
        <w:t xml:space="preserve"> – Universities that have been established since 1992</w:t>
      </w:r>
      <w:r w:rsidR="00DF759E" w:rsidRPr="00A52AEE">
        <w:t xml:space="preserve">.  </w:t>
      </w:r>
      <w:r w:rsidR="00B73561" w:rsidRPr="00A52AEE">
        <w:t>England progression figures for college students are given in brackets for reference.</w:t>
      </w:r>
    </w:p>
    <w:p w14:paraId="16EBE427" w14:textId="77777777" w:rsidR="0022142D" w:rsidRPr="00A52AEE" w:rsidRDefault="0022142D" w:rsidP="00A52AEE"/>
    <w:tbl>
      <w:tblPr>
        <w:tblW w:w="5000" w:type="pct"/>
        <w:tblCellMar>
          <w:left w:w="30" w:type="dxa"/>
          <w:right w:w="30" w:type="dxa"/>
        </w:tblCellMar>
        <w:tblLook w:val="0000" w:firstRow="0" w:lastRow="0" w:firstColumn="0" w:lastColumn="0" w:noHBand="0" w:noVBand="0"/>
      </w:tblPr>
      <w:tblGrid>
        <w:gridCol w:w="1189"/>
        <w:gridCol w:w="644"/>
        <w:gridCol w:w="1045"/>
        <w:gridCol w:w="1121"/>
        <w:gridCol w:w="557"/>
        <w:gridCol w:w="1963"/>
        <w:gridCol w:w="557"/>
        <w:gridCol w:w="561"/>
        <w:gridCol w:w="1399"/>
        <w:gridCol w:w="530"/>
      </w:tblGrid>
      <w:tr w:rsidR="00B73561" w:rsidRPr="00674896" w14:paraId="7D862D49" w14:textId="77777777" w:rsidTr="00674896">
        <w:trPr>
          <w:trHeight w:val="569"/>
        </w:trPr>
        <w:tc>
          <w:tcPr>
            <w:tcW w:w="3992" w:type="pct"/>
            <w:gridSpan w:val="8"/>
            <w:tcBorders>
              <w:top w:val="nil"/>
              <w:left w:val="nil"/>
              <w:bottom w:val="nil"/>
              <w:right w:val="nil"/>
            </w:tcBorders>
          </w:tcPr>
          <w:p w14:paraId="5165A1C7" w14:textId="77777777" w:rsidR="00B73561" w:rsidRPr="00674896" w:rsidRDefault="00B73561" w:rsidP="00A52AEE">
            <w:pPr>
              <w:rPr>
                <w:sz w:val="20"/>
              </w:rPr>
            </w:pPr>
          </w:p>
          <w:p w14:paraId="258BEDE6" w14:textId="7F661335" w:rsidR="00B73561" w:rsidRDefault="00B73561" w:rsidP="00A52AEE">
            <w:pPr>
              <w:rPr>
                <w:b/>
              </w:rPr>
            </w:pPr>
            <w:r w:rsidRPr="00674896">
              <w:rPr>
                <w:b/>
              </w:rPr>
              <w:t xml:space="preserve">Figure 13: 2008 and 2009 First Degree entrant progression flow </w:t>
            </w:r>
          </w:p>
          <w:p w14:paraId="7FF3BF60" w14:textId="29D5BF94" w:rsidR="00A54AE3" w:rsidRDefault="00A54AE3" w:rsidP="00A54AE3">
            <w:r>
              <w:t xml:space="preserve">Percentages have been rounded </w:t>
            </w:r>
          </w:p>
          <w:p w14:paraId="3B8EC7CA" w14:textId="77777777" w:rsidR="00A54AE3" w:rsidRPr="00674896" w:rsidRDefault="00A54AE3" w:rsidP="00A52AEE">
            <w:pPr>
              <w:rPr>
                <w:b/>
                <w:color w:val="000000"/>
              </w:rPr>
            </w:pPr>
          </w:p>
          <w:p w14:paraId="50CEA3D1" w14:textId="43D034F2" w:rsidR="00B73561" w:rsidRPr="00674896" w:rsidRDefault="00B73561" w:rsidP="00A52AEE">
            <w:pPr>
              <w:rPr>
                <w:sz w:val="20"/>
              </w:rPr>
            </w:pPr>
            <w:r w:rsidRPr="00674896">
              <w:rPr>
                <w:sz w:val="20"/>
              </w:rPr>
              <w:t xml:space="preserve"> </w:t>
            </w:r>
          </w:p>
        </w:tc>
        <w:tc>
          <w:tcPr>
            <w:tcW w:w="731"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14:paraId="226F743A" w14:textId="77777777" w:rsidR="00B73561" w:rsidRPr="00674896" w:rsidRDefault="00B73561" w:rsidP="00674896">
            <w:pPr>
              <w:rPr>
                <w:sz w:val="20"/>
              </w:rPr>
            </w:pPr>
            <w:r w:rsidRPr="00674896">
              <w:rPr>
                <w:sz w:val="20"/>
              </w:rPr>
              <w:t>Russell Group</w:t>
            </w:r>
          </w:p>
        </w:tc>
        <w:tc>
          <w:tcPr>
            <w:tcW w:w="277" w:type="pct"/>
            <w:tcBorders>
              <w:top w:val="single" w:sz="12" w:space="0" w:color="auto"/>
              <w:left w:val="nil"/>
              <w:bottom w:val="single" w:sz="12" w:space="0" w:color="auto"/>
              <w:right w:val="single" w:sz="12" w:space="0" w:color="auto"/>
            </w:tcBorders>
            <w:vAlign w:val="bottom"/>
          </w:tcPr>
          <w:p w14:paraId="28CA8CBE" w14:textId="185B16D9" w:rsidR="00B73561" w:rsidRPr="00674896" w:rsidRDefault="00B73561" w:rsidP="009A2373">
            <w:pPr>
              <w:jc w:val="right"/>
              <w:rPr>
                <w:sz w:val="20"/>
              </w:rPr>
            </w:pPr>
            <w:r w:rsidRPr="00674896">
              <w:rPr>
                <w:sz w:val="20"/>
              </w:rPr>
              <w:t>4%</w:t>
            </w:r>
          </w:p>
        </w:tc>
      </w:tr>
      <w:tr w:rsidR="00B73561" w:rsidRPr="00674896" w14:paraId="7406EF15" w14:textId="77777777" w:rsidTr="00B73561">
        <w:trPr>
          <w:trHeight w:val="305"/>
        </w:trPr>
        <w:tc>
          <w:tcPr>
            <w:tcW w:w="959" w:type="pct"/>
            <w:gridSpan w:val="2"/>
            <w:tcBorders>
              <w:top w:val="nil"/>
              <w:left w:val="nil"/>
              <w:bottom w:val="nil"/>
              <w:right w:val="nil"/>
            </w:tcBorders>
          </w:tcPr>
          <w:p w14:paraId="30E4D1C4" w14:textId="440A7A25" w:rsidR="00B73561" w:rsidRPr="00CC757B" w:rsidRDefault="00B73561" w:rsidP="00A52AEE">
            <w:pPr>
              <w:rPr>
                <w:color w:val="000000"/>
                <w:szCs w:val="24"/>
              </w:rPr>
            </w:pPr>
            <w:r w:rsidRPr="00CC757B">
              <w:rPr>
                <w:color w:val="FFFFFF" w:themeColor="background1"/>
                <w:szCs w:val="24"/>
                <w:shd w:val="clear" w:color="auto" w:fill="1F4E79" w:themeFill="accent1" w:themeFillShade="80"/>
              </w:rPr>
              <w:t>PROGRESSION</w:t>
            </w:r>
          </w:p>
        </w:tc>
        <w:tc>
          <w:tcPr>
            <w:tcW w:w="546" w:type="pct"/>
            <w:tcBorders>
              <w:top w:val="nil"/>
              <w:left w:val="nil"/>
              <w:bottom w:val="nil"/>
              <w:right w:val="nil"/>
            </w:tcBorders>
          </w:tcPr>
          <w:p w14:paraId="55501987" w14:textId="77777777" w:rsidR="00B73561" w:rsidRPr="00674896" w:rsidRDefault="00B73561" w:rsidP="00A52AEE">
            <w:pPr>
              <w:rPr>
                <w:sz w:val="20"/>
              </w:rPr>
            </w:pPr>
          </w:p>
        </w:tc>
        <w:tc>
          <w:tcPr>
            <w:tcW w:w="586" w:type="pct"/>
            <w:tcBorders>
              <w:top w:val="nil"/>
              <w:left w:val="nil"/>
              <w:bottom w:val="nil"/>
              <w:right w:val="nil"/>
            </w:tcBorders>
          </w:tcPr>
          <w:p w14:paraId="7CF03B43" w14:textId="77777777" w:rsidR="00B73561" w:rsidRPr="00674896" w:rsidRDefault="00B73561" w:rsidP="00A52AEE">
            <w:pPr>
              <w:rPr>
                <w:sz w:val="20"/>
              </w:rPr>
            </w:pPr>
          </w:p>
        </w:tc>
        <w:tc>
          <w:tcPr>
            <w:tcW w:w="291" w:type="pct"/>
            <w:tcBorders>
              <w:top w:val="nil"/>
              <w:left w:val="nil"/>
              <w:bottom w:val="nil"/>
              <w:right w:val="nil"/>
            </w:tcBorders>
          </w:tcPr>
          <w:p w14:paraId="271E76C6" w14:textId="77777777" w:rsidR="00B73561" w:rsidRPr="00674896" w:rsidRDefault="00B73561" w:rsidP="00A52AEE">
            <w:pPr>
              <w:rPr>
                <w:sz w:val="20"/>
              </w:rPr>
            </w:pPr>
          </w:p>
        </w:tc>
        <w:tc>
          <w:tcPr>
            <w:tcW w:w="1026" w:type="pct"/>
            <w:tcBorders>
              <w:top w:val="nil"/>
              <w:left w:val="nil"/>
              <w:bottom w:val="nil"/>
              <w:right w:val="nil"/>
            </w:tcBorders>
          </w:tcPr>
          <w:p w14:paraId="56BF401A" w14:textId="77777777" w:rsidR="00B73561" w:rsidRPr="00674896" w:rsidRDefault="00B73561" w:rsidP="00A52AEE">
            <w:pPr>
              <w:rPr>
                <w:sz w:val="20"/>
              </w:rPr>
            </w:pPr>
          </w:p>
        </w:tc>
        <w:tc>
          <w:tcPr>
            <w:tcW w:w="291" w:type="pct"/>
            <w:tcBorders>
              <w:top w:val="nil"/>
              <w:left w:val="nil"/>
              <w:bottom w:val="nil"/>
              <w:right w:val="nil"/>
            </w:tcBorders>
          </w:tcPr>
          <w:p w14:paraId="020B0BCD" w14:textId="77777777" w:rsidR="00B73561" w:rsidRPr="00674896" w:rsidRDefault="00B73561" w:rsidP="009A2373">
            <w:pPr>
              <w:jc w:val="right"/>
              <w:rPr>
                <w:sz w:val="20"/>
              </w:rPr>
            </w:pPr>
          </w:p>
        </w:tc>
        <w:tc>
          <w:tcPr>
            <w:tcW w:w="293" w:type="pct"/>
            <w:tcBorders>
              <w:top w:val="nil"/>
              <w:left w:val="nil"/>
              <w:bottom w:val="nil"/>
              <w:right w:val="nil"/>
            </w:tcBorders>
          </w:tcPr>
          <w:p w14:paraId="7CD06F97" w14:textId="77777777" w:rsidR="00B73561" w:rsidRPr="00674896" w:rsidRDefault="00B73561"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6355F5EE" w14:textId="77777777" w:rsidR="00B73561" w:rsidRPr="00674896" w:rsidRDefault="00B73561" w:rsidP="00A52AEE">
            <w:pPr>
              <w:rPr>
                <w:sz w:val="20"/>
              </w:rPr>
            </w:pPr>
            <w:r w:rsidRPr="00674896">
              <w:rPr>
                <w:sz w:val="20"/>
              </w:rPr>
              <w:t>Old University</w:t>
            </w:r>
          </w:p>
        </w:tc>
        <w:tc>
          <w:tcPr>
            <w:tcW w:w="277" w:type="pct"/>
            <w:tcBorders>
              <w:top w:val="nil"/>
              <w:left w:val="nil"/>
              <w:bottom w:val="single" w:sz="12" w:space="0" w:color="auto"/>
              <w:right w:val="single" w:sz="12" w:space="0" w:color="auto"/>
            </w:tcBorders>
          </w:tcPr>
          <w:p w14:paraId="73C8A8F7" w14:textId="7BB4AE0E" w:rsidR="00B73561" w:rsidRPr="00674896" w:rsidRDefault="00B73561" w:rsidP="009A2373">
            <w:pPr>
              <w:jc w:val="right"/>
              <w:rPr>
                <w:sz w:val="20"/>
              </w:rPr>
            </w:pPr>
            <w:r w:rsidRPr="00674896">
              <w:rPr>
                <w:sz w:val="20"/>
              </w:rPr>
              <w:t>11%</w:t>
            </w:r>
          </w:p>
        </w:tc>
      </w:tr>
      <w:tr w:rsidR="00DF759E" w:rsidRPr="00674896" w14:paraId="2F7D249A" w14:textId="77777777" w:rsidTr="00B73561">
        <w:trPr>
          <w:trHeight w:val="305"/>
        </w:trPr>
        <w:tc>
          <w:tcPr>
            <w:tcW w:w="622" w:type="pct"/>
            <w:tcBorders>
              <w:top w:val="nil"/>
              <w:left w:val="nil"/>
              <w:bottom w:val="nil"/>
              <w:right w:val="nil"/>
            </w:tcBorders>
          </w:tcPr>
          <w:p w14:paraId="490EF370" w14:textId="77777777" w:rsidR="006D199F" w:rsidRPr="00674896" w:rsidRDefault="006D199F" w:rsidP="00A52AEE">
            <w:pPr>
              <w:rPr>
                <w:sz w:val="20"/>
              </w:rPr>
            </w:pPr>
          </w:p>
        </w:tc>
        <w:tc>
          <w:tcPr>
            <w:tcW w:w="337" w:type="pct"/>
            <w:tcBorders>
              <w:top w:val="nil"/>
              <w:left w:val="nil"/>
              <w:bottom w:val="nil"/>
              <w:right w:val="nil"/>
            </w:tcBorders>
          </w:tcPr>
          <w:p w14:paraId="5D9DDE70" w14:textId="77777777" w:rsidR="006D199F" w:rsidRPr="00674896" w:rsidRDefault="006D199F" w:rsidP="00A52AEE">
            <w:pPr>
              <w:rPr>
                <w:sz w:val="20"/>
              </w:rPr>
            </w:pPr>
          </w:p>
        </w:tc>
        <w:tc>
          <w:tcPr>
            <w:tcW w:w="546" w:type="pct"/>
            <w:tcBorders>
              <w:top w:val="nil"/>
              <w:left w:val="nil"/>
              <w:bottom w:val="nil"/>
              <w:right w:val="nil"/>
            </w:tcBorders>
          </w:tcPr>
          <w:p w14:paraId="0C6B44DC" w14:textId="77777777" w:rsidR="006D199F" w:rsidRPr="00674896" w:rsidRDefault="006D199F" w:rsidP="00A52AEE">
            <w:pPr>
              <w:rPr>
                <w:sz w:val="20"/>
              </w:rPr>
            </w:pPr>
          </w:p>
        </w:tc>
        <w:tc>
          <w:tcPr>
            <w:tcW w:w="586" w:type="pct"/>
            <w:tcBorders>
              <w:top w:val="nil"/>
              <w:left w:val="nil"/>
              <w:bottom w:val="nil"/>
              <w:right w:val="nil"/>
            </w:tcBorders>
          </w:tcPr>
          <w:p w14:paraId="0A3D5B0E" w14:textId="77777777" w:rsidR="006D199F" w:rsidRPr="00674896" w:rsidRDefault="006D199F" w:rsidP="00A52AEE">
            <w:pPr>
              <w:rPr>
                <w:sz w:val="20"/>
              </w:rPr>
            </w:pPr>
          </w:p>
        </w:tc>
        <w:tc>
          <w:tcPr>
            <w:tcW w:w="291" w:type="pct"/>
            <w:tcBorders>
              <w:top w:val="nil"/>
              <w:left w:val="nil"/>
              <w:bottom w:val="nil"/>
              <w:right w:val="nil"/>
            </w:tcBorders>
          </w:tcPr>
          <w:p w14:paraId="6EDAE53A" w14:textId="77777777" w:rsidR="006D199F" w:rsidRPr="00674896" w:rsidRDefault="006D199F" w:rsidP="00A52AEE">
            <w:pPr>
              <w:rPr>
                <w:sz w:val="20"/>
              </w:rPr>
            </w:pPr>
          </w:p>
        </w:tc>
        <w:tc>
          <w:tcPr>
            <w:tcW w:w="102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E98C44D" w14:textId="77777777" w:rsidR="006D199F" w:rsidRPr="00674896" w:rsidRDefault="006D199F" w:rsidP="00A52AEE">
            <w:pPr>
              <w:rPr>
                <w:sz w:val="20"/>
              </w:rPr>
            </w:pPr>
            <w:r w:rsidRPr="00674896">
              <w:rPr>
                <w:sz w:val="20"/>
              </w:rPr>
              <w:t>First degree</w:t>
            </w:r>
          </w:p>
        </w:tc>
        <w:tc>
          <w:tcPr>
            <w:tcW w:w="291" w:type="pct"/>
            <w:tcBorders>
              <w:top w:val="single" w:sz="12" w:space="0" w:color="auto"/>
              <w:left w:val="nil"/>
              <w:bottom w:val="single" w:sz="12" w:space="0" w:color="auto"/>
              <w:right w:val="single" w:sz="12" w:space="0" w:color="auto"/>
            </w:tcBorders>
          </w:tcPr>
          <w:p w14:paraId="25AF9CE9" w14:textId="3B2D187F" w:rsidR="006D199F" w:rsidRPr="00674896" w:rsidRDefault="00811E3A" w:rsidP="009A2373">
            <w:pPr>
              <w:jc w:val="right"/>
              <w:rPr>
                <w:sz w:val="20"/>
              </w:rPr>
            </w:pPr>
            <w:r w:rsidRPr="00674896">
              <w:rPr>
                <w:sz w:val="20"/>
              </w:rPr>
              <w:t>59</w:t>
            </w:r>
            <w:r w:rsidR="006D199F" w:rsidRPr="00674896">
              <w:rPr>
                <w:sz w:val="20"/>
              </w:rPr>
              <w:t>%</w:t>
            </w:r>
          </w:p>
        </w:tc>
        <w:tc>
          <w:tcPr>
            <w:tcW w:w="293" w:type="pct"/>
            <w:tcBorders>
              <w:top w:val="nil"/>
              <w:left w:val="nil"/>
              <w:bottom w:val="nil"/>
              <w:right w:val="nil"/>
            </w:tcBorders>
          </w:tcPr>
          <w:p w14:paraId="5D234F70"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6976" behindDoc="0" locked="0" layoutInCell="1" allowOverlap="1" wp14:anchorId="1A481EFD" wp14:editId="6F3F37A5">
                      <wp:simplePos x="0" y="0"/>
                      <wp:positionH relativeFrom="column">
                        <wp:posOffset>33655</wp:posOffset>
                      </wp:positionH>
                      <wp:positionV relativeFrom="paragraph">
                        <wp:posOffset>6985</wp:posOffset>
                      </wp:positionV>
                      <wp:extent cx="342900" cy="85725"/>
                      <wp:effectExtent l="19050" t="76200" r="0" b="47625"/>
                      <wp:wrapNone/>
                      <wp:docPr id="34" name="Straight Arrow Connector 34"/>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00D64F" id="_x0000_t32" coordsize="21600,21600" o:spt="32" o:oned="t" path="m,l21600,21600e" filled="f">
                      <v:path arrowok="t" fillok="f" o:connecttype="none"/>
                      <o:lock v:ext="edit" shapetype="t"/>
                    </v:shapetype>
                    <v:shape id="Straight Arrow Connector 34" o:spid="_x0000_s1026" type="#_x0000_t32" style="position:absolute;margin-left:2.65pt;margin-top:.55pt;width:27pt;height:6.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" strokecolor="#4a7ebb" strokeweight="2.25pt">
                      <v:stroke endarrow="block"/>
                    </v:shape>
                  </w:pict>
                </mc:Fallback>
              </mc:AlternateContent>
            </w: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EAB6FC1" w14:textId="77777777" w:rsidR="006D199F" w:rsidRPr="00674896" w:rsidRDefault="006D199F" w:rsidP="00A52AEE">
            <w:pPr>
              <w:rPr>
                <w:sz w:val="20"/>
              </w:rPr>
            </w:pPr>
            <w:r w:rsidRPr="00674896">
              <w:rPr>
                <w:sz w:val="20"/>
              </w:rPr>
              <w:t>New University</w:t>
            </w:r>
          </w:p>
        </w:tc>
        <w:tc>
          <w:tcPr>
            <w:tcW w:w="277" w:type="pct"/>
            <w:tcBorders>
              <w:top w:val="nil"/>
              <w:left w:val="nil"/>
              <w:bottom w:val="single" w:sz="12" w:space="0" w:color="auto"/>
              <w:right w:val="single" w:sz="12" w:space="0" w:color="auto"/>
            </w:tcBorders>
          </w:tcPr>
          <w:p w14:paraId="01EB0074" w14:textId="0371A915" w:rsidR="006D199F" w:rsidRPr="00674896" w:rsidRDefault="00811E3A" w:rsidP="009A2373">
            <w:pPr>
              <w:jc w:val="right"/>
              <w:rPr>
                <w:sz w:val="20"/>
              </w:rPr>
            </w:pPr>
            <w:r w:rsidRPr="00674896">
              <w:rPr>
                <w:sz w:val="20"/>
              </w:rPr>
              <w:t>44</w:t>
            </w:r>
            <w:r w:rsidR="006D199F" w:rsidRPr="00674896">
              <w:rPr>
                <w:sz w:val="20"/>
              </w:rPr>
              <w:t>%</w:t>
            </w:r>
          </w:p>
        </w:tc>
      </w:tr>
      <w:tr w:rsidR="00DF759E" w:rsidRPr="00674896" w14:paraId="14083765" w14:textId="77777777" w:rsidTr="00B73561">
        <w:trPr>
          <w:trHeight w:val="305"/>
        </w:trPr>
        <w:tc>
          <w:tcPr>
            <w:tcW w:w="622" w:type="pct"/>
            <w:tcBorders>
              <w:top w:val="nil"/>
              <w:left w:val="nil"/>
              <w:bottom w:val="nil"/>
              <w:right w:val="nil"/>
            </w:tcBorders>
          </w:tcPr>
          <w:p w14:paraId="6EF20634" w14:textId="77777777" w:rsidR="006D199F" w:rsidRPr="00674896" w:rsidRDefault="006D199F" w:rsidP="00A52AEE">
            <w:pPr>
              <w:rPr>
                <w:sz w:val="20"/>
              </w:rPr>
            </w:pPr>
          </w:p>
        </w:tc>
        <w:tc>
          <w:tcPr>
            <w:tcW w:w="337" w:type="pct"/>
            <w:tcBorders>
              <w:top w:val="nil"/>
              <w:left w:val="nil"/>
              <w:bottom w:val="nil"/>
              <w:right w:val="nil"/>
            </w:tcBorders>
          </w:tcPr>
          <w:p w14:paraId="55E4FD10" w14:textId="77777777" w:rsidR="006D199F" w:rsidRPr="00674896" w:rsidRDefault="006D199F" w:rsidP="00A52AEE">
            <w:pPr>
              <w:rPr>
                <w:sz w:val="20"/>
              </w:rPr>
            </w:pPr>
          </w:p>
        </w:tc>
        <w:tc>
          <w:tcPr>
            <w:tcW w:w="546" w:type="pct"/>
            <w:tcBorders>
              <w:top w:val="nil"/>
              <w:left w:val="nil"/>
              <w:bottom w:val="nil"/>
              <w:right w:val="nil"/>
            </w:tcBorders>
          </w:tcPr>
          <w:p w14:paraId="4CCD3889" w14:textId="77777777" w:rsidR="006D199F" w:rsidRPr="00674896" w:rsidRDefault="006D199F" w:rsidP="00A52AEE">
            <w:pPr>
              <w:rPr>
                <w:sz w:val="20"/>
              </w:rPr>
            </w:pPr>
          </w:p>
        </w:tc>
        <w:tc>
          <w:tcPr>
            <w:tcW w:w="586" w:type="pct"/>
            <w:tcBorders>
              <w:top w:val="nil"/>
              <w:left w:val="nil"/>
              <w:bottom w:val="nil"/>
              <w:right w:val="nil"/>
            </w:tcBorders>
          </w:tcPr>
          <w:p w14:paraId="77FEC4EB" w14:textId="77777777" w:rsidR="006D199F" w:rsidRPr="00674896" w:rsidRDefault="006D199F" w:rsidP="009A2373">
            <w:pPr>
              <w:jc w:val="right"/>
              <w:rPr>
                <w:sz w:val="20"/>
              </w:rPr>
            </w:pPr>
          </w:p>
        </w:tc>
        <w:tc>
          <w:tcPr>
            <w:tcW w:w="291" w:type="pct"/>
            <w:tcBorders>
              <w:top w:val="nil"/>
              <w:left w:val="nil"/>
              <w:bottom w:val="nil"/>
              <w:right w:val="nil"/>
            </w:tcBorders>
          </w:tcPr>
          <w:p w14:paraId="03D573D2"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2EC8E9ED" w14:textId="77777777" w:rsidR="006D199F" w:rsidRPr="00674896" w:rsidRDefault="006D199F" w:rsidP="00A52AEE">
            <w:pPr>
              <w:rPr>
                <w:sz w:val="20"/>
              </w:rPr>
            </w:pPr>
            <w:r w:rsidRPr="00674896">
              <w:rPr>
                <w:sz w:val="20"/>
              </w:rPr>
              <w:t>Foundation Degree</w:t>
            </w:r>
          </w:p>
        </w:tc>
        <w:tc>
          <w:tcPr>
            <w:tcW w:w="291" w:type="pct"/>
            <w:tcBorders>
              <w:top w:val="nil"/>
              <w:left w:val="nil"/>
              <w:bottom w:val="single" w:sz="12" w:space="0" w:color="auto"/>
              <w:right w:val="single" w:sz="12" w:space="0" w:color="auto"/>
            </w:tcBorders>
          </w:tcPr>
          <w:p w14:paraId="6CC2EA22" w14:textId="5AD3F76A" w:rsidR="006D199F" w:rsidRPr="00674896" w:rsidRDefault="00811E3A" w:rsidP="009A2373">
            <w:pPr>
              <w:jc w:val="right"/>
              <w:rPr>
                <w:sz w:val="20"/>
              </w:rPr>
            </w:pPr>
            <w:r w:rsidRPr="00674896">
              <w:rPr>
                <w:sz w:val="20"/>
              </w:rPr>
              <w:t>1</w:t>
            </w:r>
            <w:r w:rsidR="006D199F" w:rsidRPr="00674896">
              <w:rPr>
                <w:sz w:val="20"/>
              </w:rPr>
              <w:t>%</w:t>
            </w:r>
          </w:p>
        </w:tc>
        <w:tc>
          <w:tcPr>
            <w:tcW w:w="293" w:type="pct"/>
            <w:tcBorders>
              <w:top w:val="nil"/>
              <w:left w:val="nil"/>
              <w:bottom w:val="nil"/>
              <w:right w:val="nil"/>
            </w:tcBorders>
          </w:tcPr>
          <w:p w14:paraId="0C9D0DAB" w14:textId="77777777" w:rsidR="006D199F" w:rsidRPr="00674896" w:rsidRDefault="006D199F"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00222195" w14:textId="77777777" w:rsidR="006D199F" w:rsidRPr="00674896" w:rsidRDefault="006D199F" w:rsidP="00A52AEE">
            <w:pPr>
              <w:rPr>
                <w:sz w:val="20"/>
              </w:rPr>
            </w:pPr>
            <w:r w:rsidRPr="00674896">
              <w:rPr>
                <w:sz w:val="20"/>
              </w:rPr>
              <w:t>HE in FE</w:t>
            </w:r>
          </w:p>
        </w:tc>
        <w:tc>
          <w:tcPr>
            <w:tcW w:w="277" w:type="pct"/>
            <w:tcBorders>
              <w:top w:val="nil"/>
              <w:left w:val="nil"/>
              <w:bottom w:val="single" w:sz="12" w:space="0" w:color="auto"/>
              <w:right w:val="single" w:sz="12" w:space="0" w:color="auto"/>
            </w:tcBorders>
          </w:tcPr>
          <w:p w14:paraId="386EF70B" w14:textId="01026CDA" w:rsidR="006D199F" w:rsidRPr="00674896" w:rsidRDefault="00811E3A" w:rsidP="009A2373">
            <w:pPr>
              <w:jc w:val="right"/>
              <w:rPr>
                <w:sz w:val="20"/>
              </w:rPr>
            </w:pPr>
            <w:r w:rsidRPr="00674896">
              <w:rPr>
                <w:sz w:val="20"/>
              </w:rPr>
              <w:t>11</w:t>
            </w:r>
            <w:r w:rsidR="006D199F" w:rsidRPr="00674896">
              <w:rPr>
                <w:sz w:val="20"/>
              </w:rPr>
              <w:t>%</w:t>
            </w:r>
          </w:p>
        </w:tc>
      </w:tr>
      <w:tr w:rsidR="00DF759E" w:rsidRPr="00674896" w14:paraId="60DA7AF0" w14:textId="77777777" w:rsidTr="00B73561">
        <w:trPr>
          <w:trHeight w:val="305"/>
        </w:trPr>
        <w:tc>
          <w:tcPr>
            <w:tcW w:w="622" w:type="pct"/>
            <w:tcBorders>
              <w:top w:val="single" w:sz="12" w:space="0" w:color="auto"/>
              <w:left w:val="single" w:sz="12" w:space="0" w:color="auto"/>
              <w:bottom w:val="single" w:sz="12" w:space="0" w:color="auto"/>
              <w:right w:val="single" w:sz="12" w:space="0" w:color="auto"/>
            </w:tcBorders>
            <w:shd w:val="clear" w:color="auto" w:fill="1F4E79" w:themeFill="accent1" w:themeFillShade="80"/>
          </w:tcPr>
          <w:p w14:paraId="1A41C9C0" w14:textId="77777777" w:rsidR="006D199F" w:rsidRPr="00CC757B" w:rsidRDefault="006D199F" w:rsidP="00A52AEE">
            <w:pPr>
              <w:rPr>
                <w:b/>
                <w:sz w:val="20"/>
              </w:rPr>
            </w:pPr>
            <w:r w:rsidRPr="00CC757B">
              <w:rPr>
                <w:b/>
                <w:color w:val="FFFFFF" w:themeColor="background1"/>
                <w:sz w:val="22"/>
              </w:rPr>
              <w:t>Access</w:t>
            </w:r>
          </w:p>
        </w:tc>
        <w:tc>
          <w:tcPr>
            <w:tcW w:w="337" w:type="pct"/>
            <w:tcBorders>
              <w:top w:val="nil"/>
              <w:left w:val="nil"/>
              <w:bottom w:val="nil"/>
              <w:right w:val="nil"/>
            </w:tcBorders>
          </w:tcPr>
          <w:p w14:paraId="68E59D18"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0832" behindDoc="0" locked="0" layoutInCell="1" allowOverlap="1" wp14:anchorId="4618D607" wp14:editId="67469586">
                      <wp:simplePos x="0" y="0"/>
                      <wp:positionH relativeFrom="column">
                        <wp:posOffset>55245</wp:posOffset>
                      </wp:positionH>
                      <wp:positionV relativeFrom="paragraph">
                        <wp:posOffset>22860</wp:posOffset>
                      </wp:positionV>
                      <wp:extent cx="342900" cy="85725"/>
                      <wp:effectExtent l="19050" t="76200" r="0" b="47625"/>
                      <wp:wrapNone/>
                      <wp:docPr id="65" name="Straight Arrow Connector 65"/>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86B52" id="Straight Arrow Connector 65" o:spid="_x0000_s1026" type="#_x0000_t32" style="position:absolute;margin-left:4.35pt;margin-top:1.8pt;width:27pt;height:6.7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" strokecolor="#5b9bd5 [3204]" strokeweight="2.25pt">
                      <v:stroke endarrow="block" joinstyle="miter"/>
                    </v:shape>
                  </w:pict>
                </mc:Fallback>
              </mc:AlternateContent>
            </w:r>
          </w:p>
        </w:tc>
        <w:tc>
          <w:tcPr>
            <w:tcW w:w="54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BC89376" w14:textId="77777777" w:rsidR="006D199F" w:rsidRPr="00674896" w:rsidRDefault="006D199F" w:rsidP="00A52AEE">
            <w:pPr>
              <w:rPr>
                <w:sz w:val="20"/>
              </w:rPr>
            </w:pPr>
            <w:r w:rsidRPr="00674896">
              <w:rPr>
                <w:sz w:val="20"/>
              </w:rPr>
              <w:t>To HE</w:t>
            </w:r>
          </w:p>
        </w:tc>
        <w:tc>
          <w:tcPr>
            <w:tcW w:w="586" w:type="pct"/>
            <w:tcBorders>
              <w:top w:val="single" w:sz="12" w:space="0" w:color="auto"/>
              <w:left w:val="nil"/>
              <w:bottom w:val="single" w:sz="12" w:space="0" w:color="auto"/>
              <w:right w:val="single" w:sz="12" w:space="0" w:color="auto"/>
            </w:tcBorders>
          </w:tcPr>
          <w:p w14:paraId="68CDE55D" w14:textId="78FFE090" w:rsidR="006D199F" w:rsidRPr="00674896" w:rsidRDefault="00B73561" w:rsidP="009A2373">
            <w:pPr>
              <w:jc w:val="right"/>
              <w:rPr>
                <w:color w:val="000000"/>
                <w:sz w:val="20"/>
              </w:rPr>
            </w:pPr>
            <w:r w:rsidRPr="00674896">
              <w:rPr>
                <w:b/>
                <w:color w:val="000000"/>
                <w:sz w:val="20"/>
              </w:rPr>
              <w:t>70%</w:t>
            </w:r>
            <w:r w:rsidRPr="00674896">
              <w:rPr>
                <w:color w:val="000000"/>
                <w:sz w:val="20"/>
              </w:rPr>
              <w:t xml:space="preserve"> </w:t>
            </w:r>
            <w:r w:rsidRPr="00674896">
              <w:rPr>
                <w:color w:val="FF0000"/>
                <w:sz w:val="20"/>
              </w:rPr>
              <w:t xml:space="preserve">(68%) </w:t>
            </w:r>
          </w:p>
        </w:tc>
        <w:tc>
          <w:tcPr>
            <w:tcW w:w="291" w:type="pct"/>
            <w:tcBorders>
              <w:top w:val="nil"/>
              <w:left w:val="nil"/>
              <w:bottom w:val="nil"/>
              <w:right w:val="nil"/>
            </w:tcBorders>
          </w:tcPr>
          <w:p w14:paraId="3DE51646" w14:textId="44D40F5F"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50048" behindDoc="0" locked="0" layoutInCell="1" allowOverlap="1" wp14:anchorId="0A458435" wp14:editId="19E314C4">
                      <wp:simplePos x="0" y="0"/>
                      <wp:positionH relativeFrom="column">
                        <wp:posOffset>19888</wp:posOffset>
                      </wp:positionH>
                      <wp:positionV relativeFrom="paragraph">
                        <wp:posOffset>18266</wp:posOffset>
                      </wp:positionV>
                      <wp:extent cx="342900" cy="85725"/>
                      <wp:effectExtent l="19050" t="76200" r="0" b="47625"/>
                      <wp:wrapNone/>
                      <wp:docPr id="43" name="Straight Arrow Connector 43"/>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EF9A10" id="Straight Arrow Connector 43" o:spid="_x0000_s1026" type="#_x0000_t32" style="position:absolute;margin-left:1.55pt;margin-top:1.45pt;width:27pt;height:6.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" strokecolor="#4a7ebb" strokeweight="2.25pt">
                      <v:stroke endarrow="block"/>
                    </v:shape>
                  </w:pict>
                </mc:Fallback>
              </mc:AlternateContent>
            </w:r>
            <w:r w:rsidR="00B73561" w:rsidRPr="00674896">
              <w:rPr>
                <w:sz w:val="20"/>
              </w:rPr>
              <w:t xml:space="preserve"> </w:t>
            </w: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18944E14" w14:textId="77777777" w:rsidR="006D199F" w:rsidRPr="00674896" w:rsidRDefault="006D199F" w:rsidP="00A52AEE">
            <w:pPr>
              <w:rPr>
                <w:sz w:val="20"/>
              </w:rPr>
            </w:pPr>
            <w:r w:rsidRPr="00674896">
              <w:rPr>
                <w:sz w:val="20"/>
              </w:rPr>
              <w:t>HNC/HND/NVQ</w:t>
            </w:r>
          </w:p>
        </w:tc>
        <w:tc>
          <w:tcPr>
            <w:tcW w:w="291" w:type="pct"/>
            <w:tcBorders>
              <w:top w:val="nil"/>
              <w:left w:val="nil"/>
              <w:bottom w:val="single" w:sz="12" w:space="0" w:color="auto"/>
              <w:right w:val="single" w:sz="12" w:space="0" w:color="auto"/>
            </w:tcBorders>
          </w:tcPr>
          <w:p w14:paraId="0C841628" w14:textId="77777777" w:rsidR="006D199F" w:rsidRPr="00674896" w:rsidRDefault="006D199F" w:rsidP="009A2373">
            <w:pPr>
              <w:jc w:val="right"/>
              <w:rPr>
                <w:sz w:val="20"/>
              </w:rPr>
            </w:pPr>
            <w:r w:rsidRPr="00674896">
              <w:rPr>
                <w:sz w:val="20"/>
              </w:rPr>
              <w:t>0%</w:t>
            </w:r>
          </w:p>
        </w:tc>
        <w:tc>
          <w:tcPr>
            <w:tcW w:w="293" w:type="pct"/>
            <w:tcBorders>
              <w:top w:val="nil"/>
              <w:left w:val="nil"/>
              <w:bottom w:val="nil"/>
              <w:right w:val="nil"/>
            </w:tcBorders>
          </w:tcPr>
          <w:p w14:paraId="4252BB8C" w14:textId="77777777" w:rsidR="006D199F" w:rsidRPr="00674896" w:rsidRDefault="006D199F" w:rsidP="00A52AEE">
            <w:pPr>
              <w:rPr>
                <w:sz w:val="20"/>
              </w:rPr>
            </w:pPr>
          </w:p>
        </w:tc>
        <w:tc>
          <w:tcPr>
            <w:tcW w:w="731" w:type="pct"/>
            <w:tcBorders>
              <w:top w:val="nil"/>
              <w:left w:val="nil"/>
              <w:bottom w:val="nil"/>
              <w:right w:val="nil"/>
            </w:tcBorders>
          </w:tcPr>
          <w:p w14:paraId="7AF1BA7B" w14:textId="77777777" w:rsidR="006D199F" w:rsidRPr="00674896" w:rsidRDefault="006D199F" w:rsidP="00A52AEE">
            <w:pPr>
              <w:rPr>
                <w:sz w:val="20"/>
              </w:rPr>
            </w:pPr>
          </w:p>
        </w:tc>
        <w:tc>
          <w:tcPr>
            <w:tcW w:w="277" w:type="pct"/>
            <w:tcBorders>
              <w:top w:val="nil"/>
              <w:left w:val="nil"/>
              <w:bottom w:val="nil"/>
              <w:right w:val="nil"/>
            </w:tcBorders>
          </w:tcPr>
          <w:p w14:paraId="268BEB9C" w14:textId="77777777" w:rsidR="006D199F" w:rsidRPr="00674896" w:rsidRDefault="006D199F" w:rsidP="009A2373">
            <w:pPr>
              <w:jc w:val="right"/>
              <w:rPr>
                <w:sz w:val="20"/>
              </w:rPr>
            </w:pPr>
          </w:p>
        </w:tc>
      </w:tr>
      <w:tr w:rsidR="00DF759E" w:rsidRPr="00674896" w14:paraId="77EAB2FD" w14:textId="77777777" w:rsidTr="00B73561">
        <w:trPr>
          <w:trHeight w:val="305"/>
        </w:trPr>
        <w:tc>
          <w:tcPr>
            <w:tcW w:w="622" w:type="pct"/>
            <w:tcBorders>
              <w:top w:val="nil"/>
              <w:left w:val="nil"/>
              <w:bottom w:val="nil"/>
              <w:right w:val="nil"/>
            </w:tcBorders>
          </w:tcPr>
          <w:p w14:paraId="38AB3D07" w14:textId="77777777" w:rsidR="006D199F" w:rsidRPr="00674896" w:rsidRDefault="006D199F" w:rsidP="00A52AEE">
            <w:pPr>
              <w:rPr>
                <w:sz w:val="20"/>
              </w:rPr>
            </w:pPr>
          </w:p>
        </w:tc>
        <w:tc>
          <w:tcPr>
            <w:tcW w:w="337" w:type="pct"/>
            <w:tcBorders>
              <w:top w:val="nil"/>
              <w:left w:val="nil"/>
              <w:bottom w:val="nil"/>
              <w:right w:val="nil"/>
            </w:tcBorders>
          </w:tcPr>
          <w:p w14:paraId="1C510857" w14:textId="77777777" w:rsidR="006D199F" w:rsidRPr="00674896" w:rsidRDefault="006D199F" w:rsidP="00A52AEE">
            <w:pPr>
              <w:rPr>
                <w:sz w:val="20"/>
              </w:rPr>
            </w:pPr>
          </w:p>
        </w:tc>
        <w:tc>
          <w:tcPr>
            <w:tcW w:w="546" w:type="pct"/>
            <w:tcBorders>
              <w:top w:val="nil"/>
              <w:left w:val="nil"/>
              <w:bottom w:val="nil"/>
              <w:right w:val="nil"/>
            </w:tcBorders>
          </w:tcPr>
          <w:p w14:paraId="6BB9C06D" w14:textId="77777777" w:rsidR="006D199F" w:rsidRPr="00674896" w:rsidRDefault="006D199F" w:rsidP="00A52AEE">
            <w:pPr>
              <w:rPr>
                <w:sz w:val="20"/>
              </w:rPr>
            </w:pPr>
          </w:p>
        </w:tc>
        <w:tc>
          <w:tcPr>
            <w:tcW w:w="586" w:type="pct"/>
            <w:tcBorders>
              <w:top w:val="nil"/>
              <w:left w:val="nil"/>
              <w:bottom w:val="nil"/>
              <w:right w:val="nil"/>
            </w:tcBorders>
          </w:tcPr>
          <w:p w14:paraId="50181919" w14:textId="77777777" w:rsidR="006D199F" w:rsidRPr="00674896" w:rsidRDefault="006D199F" w:rsidP="009A2373">
            <w:pPr>
              <w:jc w:val="right"/>
              <w:rPr>
                <w:sz w:val="20"/>
              </w:rPr>
            </w:pPr>
          </w:p>
        </w:tc>
        <w:tc>
          <w:tcPr>
            <w:tcW w:w="291" w:type="pct"/>
            <w:tcBorders>
              <w:top w:val="nil"/>
              <w:left w:val="nil"/>
              <w:bottom w:val="nil"/>
              <w:right w:val="nil"/>
            </w:tcBorders>
          </w:tcPr>
          <w:p w14:paraId="4787A587"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39E616E4" w14:textId="77777777" w:rsidR="006D199F" w:rsidRPr="00674896" w:rsidRDefault="006D199F" w:rsidP="00A52AEE">
            <w:pPr>
              <w:rPr>
                <w:sz w:val="20"/>
              </w:rPr>
            </w:pPr>
            <w:r w:rsidRPr="00674896">
              <w:rPr>
                <w:sz w:val="20"/>
              </w:rPr>
              <w:t>Other undergraduate</w:t>
            </w:r>
          </w:p>
        </w:tc>
        <w:tc>
          <w:tcPr>
            <w:tcW w:w="291" w:type="pct"/>
            <w:tcBorders>
              <w:top w:val="nil"/>
              <w:left w:val="nil"/>
              <w:bottom w:val="single" w:sz="12" w:space="0" w:color="auto"/>
              <w:right w:val="single" w:sz="12" w:space="0" w:color="auto"/>
            </w:tcBorders>
          </w:tcPr>
          <w:p w14:paraId="4B09036B" w14:textId="4EE14703" w:rsidR="006D199F" w:rsidRPr="00674896" w:rsidRDefault="00811E3A" w:rsidP="009A2373">
            <w:pPr>
              <w:jc w:val="right"/>
              <w:rPr>
                <w:sz w:val="20"/>
              </w:rPr>
            </w:pPr>
            <w:r w:rsidRPr="00674896">
              <w:rPr>
                <w:sz w:val="20"/>
              </w:rPr>
              <w:t>9</w:t>
            </w:r>
            <w:r w:rsidR="006D199F" w:rsidRPr="00674896">
              <w:rPr>
                <w:sz w:val="20"/>
              </w:rPr>
              <w:t>%</w:t>
            </w:r>
          </w:p>
        </w:tc>
        <w:tc>
          <w:tcPr>
            <w:tcW w:w="293" w:type="pct"/>
            <w:tcBorders>
              <w:top w:val="nil"/>
              <w:left w:val="nil"/>
              <w:bottom w:val="nil"/>
              <w:right w:val="nil"/>
            </w:tcBorders>
          </w:tcPr>
          <w:p w14:paraId="33D4EA80" w14:textId="77777777" w:rsidR="006D199F" w:rsidRPr="00674896" w:rsidRDefault="006D199F" w:rsidP="00A52AEE">
            <w:pPr>
              <w:rPr>
                <w:sz w:val="20"/>
              </w:rPr>
            </w:pPr>
          </w:p>
        </w:tc>
        <w:tc>
          <w:tcPr>
            <w:tcW w:w="731" w:type="pct"/>
            <w:tcBorders>
              <w:top w:val="nil"/>
              <w:left w:val="nil"/>
              <w:bottom w:val="nil"/>
              <w:right w:val="nil"/>
            </w:tcBorders>
          </w:tcPr>
          <w:p w14:paraId="0A35070C" w14:textId="77777777" w:rsidR="006D199F" w:rsidRPr="00674896" w:rsidRDefault="006D199F" w:rsidP="00A52AEE">
            <w:pPr>
              <w:rPr>
                <w:sz w:val="20"/>
              </w:rPr>
            </w:pPr>
          </w:p>
        </w:tc>
        <w:tc>
          <w:tcPr>
            <w:tcW w:w="277" w:type="pct"/>
            <w:tcBorders>
              <w:top w:val="nil"/>
              <w:left w:val="nil"/>
              <w:bottom w:val="nil"/>
              <w:right w:val="nil"/>
            </w:tcBorders>
          </w:tcPr>
          <w:p w14:paraId="2F5C02F8" w14:textId="77777777" w:rsidR="006D199F" w:rsidRPr="00674896" w:rsidRDefault="006D199F" w:rsidP="009A2373">
            <w:pPr>
              <w:jc w:val="right"/>
              <w:rPr>
                <w:sz w:val="20"/>
              </w:rPr>
            </w:pPr>
          </w:p>
        </w:tc>
      </w:tr>
      <w:tr w:rsidR="00DF759E" w:rsidRPr="00674896" w14:paraId="6C4272D5" w14:textId="77777777" w:rsidTr="00B73561">
        <w:trPr>
          <w:trHeight w:val="305"/>
        </w:trPr>
        <w:tc>
          <w:tcPr>
            <w:tcW w:w="622" w:type="pct"/>
            <w:tcBorders>
              <w:top w:val="nil"/>
              <w:left w:val="nil"/>
              <w:bottom w:val="nil"/>
              <w:right w:val="nil"/>
            </w:tcBorders>
          </w:tcPr>
          <w:p w14:paraId="01E19E62" w14:textId="77777777" w:rsidR="006D199F" w:rsidRPr="00674896" w:rsidRDefault="006D199F" w:rsidP="00A52AEE">
            <w:pPr>
              <w:rPr>
                <w:sz w:val="20"/>
              </w:rPr>
            </w:pPr>
          </w:p>
        </w:tc>
        <w:tc>
          <w:tcPr>
            <w:tcW w:w="337" w:type="pct"/>
            <w:tcBorders>
              <w:top w:val="nil"/>
              <w:left w:val="nil"/>
              <w:bottom w:val="nil"/>
              <w:right w:val="nil"/>
            </w:tcBorders>
          </w:tcPr>
          <w:p w14:paraId="4785BC7D"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1856" behindDoc="0" locked="0" layoutInCell="1" allowOverlap="1" wp14:anchorId="5FEF5C47" wp14:editId="37A069F0">
                      <wp:simplePos x="0" y="0"/>
                      <wp:positionH relativeFrom="column">
                        <wp:posOffset>-4445</wp:posOffset>
                      </wp:positionH>
                      <wp:positionV relativeFrom="paragraph">
                        <wp:posOffset>-137796</wp:posOffset>
                      </wp:positionV>
                      <wp:extent cx="352425" cy="219075"/>
                      <wp:effectExtent l="19050" t="19050" r="66675" b="47625"/>
                      <wp:wrapNone/>
                      <wp:docPr id="8" name="Straight Arrow Connector 8"/>
                      <wp:cNvGraphicFramePr/>
                      <a:graphic xmlns:a="http://schemas.openxmlformats.org/drawingml/2006/main">
                        <a:graphicData uri="http://schemas.microsoft.com/office/word/2010/wordprocessingShape">
                          <wps:wsp>
                            <wps:cNvCnPr/>
                            <wps:spPr>
                              <a:xfrm>
                                <a:off x="0" y="0"/>
                                <a:ext cx="352425" cy="21907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B04B0" id="Straight Arrow Connector 8" o:spid="_x0000_s1026" type="#_x0000_t32" style="position:absolute;margin-left:-.35pt;margin-top:-10.85pt;width:27.75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" strokecolor="#4a7ebb" strokeweight="2.25pt">
                      <v:stroke endarrow="block"/>
                    </v:shape>
                  </w:pict>
                </mc:Fallback>
              </mc:AlternateContent>
            </w:r>
          </w:p>
        </w:tc>
        <w:tc>
          <w:tcPr>
            <w:tcW w:w="546" w:type="pct"/>
            <w:tcBorders>
              <w:top w:val="single" w:sz="12" w:space="0" w:color="auto"/>
              <w:left w:val="single" w:sz="12" w:space="0" w:color="auto"/>
              <w:bottom w:val="single" w:sz="12" w:space="0" w:color="auto"/>
              <w:right w:val="single" w:sz="12" w:space="0" w:color="auto"/>
            </w:tcBorders>
          </w:tcPr>
          <w:p w14:paraId="709CEBAA" w14:textId="77777777" w:rsidR="006D199F" w:rsidRPr="00674896" w:rsidRDefault="006D199F" w:rsidP="00A52AEE">
            <w:pPr>
              <w:rPr>
                <w:sz w:val="20"/>
              </w:rPr>
            </w:pPr>
            <w:r w:rsidRPr="00674896">
              <w:rPr>
                <w:sz w:val="20"/>
              </w:rPr>
              <w:t>Not to HE</w:t>
            </w:r>
          </w:p>
        </w:tc>
        <w:tc>
          <w:tcPr>
            <w:tcW w:w="586" w:type="pct"/>
            <w:tcBorders>
              <w:top w:val="single" w:sz="12" w:space="0" w:color="auto"/>
              <w:left w:val="nil"/>
              <w:bottom w:val="single" w:sz="12" w:space="0" w:color="auto"/>
              <w:right w:val="single" w:sz="12" w:space="0" w:color="auto"/>
            </w:tcBorders>
          </w:tcPr>
          <w:p w14:paraId="4F09CAF3" w14:textId="38A934C3" w:rsidR="006D199F" w:rsidRPr="00674896" w:rsidRDefault="006D199F" w:rsidP="009A2373">
            <w:pPr>
              <w:jc w:val="right"/>
              <w:rPr>
                <w:sz w:val="20"/>
              </w:rPr>
            </w:pPr>
            <w:r w:rsidRPr="00674896">
              <w:rPr>
                <w:sz w:val="20"/>
              </w:rPr>
              <w:t>30</w:t>
            </w:r>
            <w:r w:rsidR="00B73561" w:rsidRPr="00674896">
              <w:rPr>
                <w:sz w:val="20"/>
              </w:rPr>
              <w:t>%</w:t>
            </w:r>
          </w:p>
        </w:tc>
        <w:tc>
          <w:tcPr>
            <w:tcW w:w="291" w:type="pct"/>
            <w:tcBorders>
              <w:top w:val="nil"/>
              <w:left w:val="nil"/>
              <w:bottom w:val="nil"/>
              <w:right w:val="nil"/>
            </w:tcBorders>
          </w:tcPr>
          <w:p w14:paraId="45BB9F39" w14:textId="77777777" w:rsidR="006D199F" w:rsidRPr="00674896" w:rsidRDefault="006D199F" w:rsidP="00A52AEE">
            <w:pPr>
              <w:rPr>
                <w:sz w:val="20"/>
              </w:rPr>
            </w:pPr>
          </w:p>
        </w:tc>
        <w:tc>
          <w:tcPr>
            <w:tcW w:w="1026" w:type="pct"/>
            <w:tcBorders>
              <w:top w:val="nil"/>
              <w:left w:val="nil"/>
              <w:bottom w:val="nil"/>
              <w:right w:val="nil"/>
            </w:tcBorders>
          </w:tcPr>
          <w:p w14:paraId="49D82A78" w14:textId="77777777" w:rsidR="006D199F" w:rsidRPr="00674896" w:rsidRDefault="006D199F" w:rsidP="00A52AEE">
            <w:pPr>
              <w:rPr>
                <w:sz w:val="20"/>
              </w:rPr>
            </w:pPr>
          </w:p>
        </w:tc>
        <w:tc>
          <w:tcPr>
            <w:tcW w:w="291" w:type="pct"/>
            <w:tcBorders>
              <w:top w:val="nil"/>
              <w:left w:val="nil"/>
              <w:bottom w:val="nil"/>
              <w:right w:val="nil"/>
            </w:tcBorders>
          </w:tcPr>
          <w:p w14:paraId="04E2127E" w14:textId="77777777" w:rsidR="006D199F" w:rsidRPr="00674896" w:rsidRDefault="006D199F" w:rsidP="009A2373">
            <w:pPr>
              <w:jc w:val="right"/>
              <w:rPr>
                <w:sz w:val="20"/>
              </w:rPr>
            </w:pPr>
          </w:p>
        </w:tc>
        <w:tc>
          <w:tcPr>
            <w:tcW w:w="293" w:type="pct"/>
            <w:tcBorders>
              <w:top w:val="nil"/>
              <w:left w:val="nil"/>
              <w:bottom w:val="nil"/>
              <w:right w:val="nil"/>
            </w:tcBorders>
          </w:tcPr>
          <w:p w14:paraId="6FEC1787" w14:textId="77777777" w:rsidR="006D199F" w:rsidRPr="00674896" w:rsidRDefault="006D199F" w:rsidP="00A52AEE">
            <w:pPr>
              <w:rPr>
                <w:sz w:val="20"/>
              </w:rPr>
            </w:pPr>
          </w:p>
        </w:tc>
        <w:tc>
          <w:tcPr>
            <w:tcW w:w="731"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F4F993E" w14:textId="77777777" w:rsidR="006D199F" w:rsidRPr="00674896" w:rsidRDefault="006D199F" w:rsidP="00A52AEE">
            <w:pPr>
              <w:rPr>
                <w:sz w:val="20"/>
              </w:rPr>
            </w:pPr>
            <w:r w:rsidRPr="00674896">
              <w:rPr>
                <w:sz w:val="20"/>
              </w:rPr>
              <w:t>Russell Group</w:t>
            </w:r>
          </w:p>
        </w:tc>
        <w:tc>
          <w:tcPr>
            <w:tcW w:w="277" w:type="pct"/>
            <w:tcBorders>
              <w:top w:val="single" w:sz="12" w:space="0" w:color="auto"/>
              <w:left w:val="nil"/>
              <w:bottom w:val="single" w:sz="12" w:space="0" w:color="auto"/>
              <w:right w:val="single" w:sz="12" w:space="0" w:color="auto"/>
            </w:tcBorders>
          </w:tcPr>
          <w:p w14:paraId="3BB6BB76" w14:textId="77777777" w:rsidR="006D199F" w:rsidRPr="00674896" w:rsidRDefault="006D199F" w:rsidP="009A2373">
            <w:pPr>
              <w:jc w:val="right"/>
              <w:rPr>
                <w:sz w:val="20"/>
              </w:rPr>
            </w:pPr>
            <w:r w:rsidRPr="00674896">
              <w:rPr>
                <w:sz w:val="20"/>
              </w:rPr>
              <w:t>1%</w:t>
            </w:r>
          </w:p>
        </w:tc>
      </w:tr>
      <w:tr w:rsidR="00DF759E" w:rsidRPr="00674896" w14:paraId="55F6E62E" w14:textId="77777777" w:rsidTr="00B73561">
        <w:trPr>
          <w:trHeight w:val="305"/>
        </w:trPr>
        <w:tc>
          <w:tcPr>
            <w:tcW w:w="622" w:type="pct"/>
            <w:tcBorders>
              <w:top w:val="nil"/>
              <w:left w:val="nil"/>
              <w:bottom w:val="nil"/>
              <w:right w:val="nil"/>
            </w:tcBorders>
          </w:tcPr>
          <w:p w14:paraId="4C3C54D5" w14:textId="77777777" w:rsidR="006D199F" w:rsidRPr="00674896" w:rsidRDefault="006D199F" w:rsidP="00A52AEE">
            <w:pPr>
              <w:rPr>
                <w:sz w:val="20"/>
              </w:rPr>
            </w:pPr>
          </w:p>
        </w:tc>
        <w:tc>
          <w:tcPr>
            <w:tcW w:w="337" w:type="pct"/>
            <w:tcBorders>
              <w:top w:val="nil"/>
              <w:left w:val="nil"/>
              <w:bottom w:val="nil"/>
              <w:right w:val="nil"/>
            </w:tcBorders>
          </w:tcPr>
          <w:p w14:paraId="418F482B" w14:textId="77777777" w:rsidR="006D199F" w:rsidRPr="00674896" w:rsidRDefault="006D199F" w:rsidP="00A52AEE">
            <w:pPr>
              <w:rPr>
                <w:sz w:val="20"/>
              </w:rPr>
            </w:pPr>
          </w:p>
        </w:tc>
        <w:tc>
          <w:tcPr>
            <w:tcW w:w="546" w:type="pct"/>
            <w:tcBorders>
              <w:top w:val="nil"/>
              <w:left w:val="nil"/>
              <w:bottom w:val="nil"/>
              <w:right w:val="nil"/>
            </w:tcBorders>
          </w:tcPr>
          <w:p w14:paraId="30D07CD4" w14:textId="77777777" w:rsidR="006D199F" w:rsidRPr="00674896" w:rsidRDefault="006D199F" w:rsidP="00A52AEE">
            <w:pPr>
              <w:rPr>
                <w:sz w:val="20"/>
              </w:rPr>
            </w:pPr>
          </w:p>
        </w:tc>
        <w:tc>
          <w:tcPr>
            <w:tcW w:w="586" w:type="pct"/>
            <w:tcBorders>
              <w:top w:val="nil"/>
              <w:left w:val="nil"/>
              <w:bottom w:val="nil"/>
              <w:right w:val="nil"/>
            </w:tcBorders>
          </w:tcPr>
          <w:p w14:paraId="49519760" w14:textId="77777777" w:rsidR="006D199F" w:rsidRPr="00674896" w:rsidRDefault="006D199F" w:rsidP="009A2373">
            <w:pPr>
              <w:jc w:val="right"/>
              <w:rPr>
                <w:sz w:val="20"/>
              </w:rPr>
            </w:pPr>
          </w:p>
        </w:tc>
        <w:tc>
          <w:tcPr>
            <w:tcW w:w="291" w:type="pct"/>
            <w:tcBorders>
              <w:top w:val="nil"/>
              <w:left w:val="nil"/>
              <w:bottom w:val="nil"/>
              <w:right w:val="nil"/>
            </w:tcBorders>
          </w:tcPr>
          <w:p w14:paraId="5A2906DB" w14:textId="77777777" w:rsidR="006D199F" w:rsidRPr="00674896" w:rsidRDefault="006D199F" w:rsidP="00A52AEE">
            <w:pPr>
              <w:rPr>
                <w:sz w:val="20"/>
              </w:rPr>
            </w:pPr>
          </w:p>
        </w:tc>
        <w:tc>
          <w:tcPr>
            <w:tcW w:w="102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2F8D63F" w14:textId="77777777" w:rsidR="006D199F" w:rsidRPr="00674896" w:rsidRDefault="006D199F" w:rsidP="00A52AEE">
            <w:pPr>
              <w:rPr>
                <w:sz w:val="20"/>
              </w:rPr>
            </w:pPr>
            <w:r w:rsidRPr="00674896">
              <w:rPr>
                <w:sz w:val="20"/>
              </w:rPr>
              <w:t>First degree</w:t>
            </w:r>
          </w:p>
        </w:tc>
        <w:tc>
          <w:tcPr>
            <w:tcW w:w="291" w:type="pct"/>
            <w:tcBorders>
              <w:top w:val="single" w:sz="12" w:space="0" w:color="auto"/>
              <w:left w:val="nil"/>
              <w:bottom w:val="single" w:sz="12" w:space="0" w:color="auto"/>
              <w:right w:val="single" w:sz="12" w:space="0" w:color="auto"/>
            </w:tcBorders>
          </w:tcPr>
          <w:p w14:paraId="4F403528" w14:textId="236D620E" w:rsidR="006D199F" w:rsidRPr="00674896" w:rsidRDefault="00811E3A" w:rsidP="009A2373">
            <w:pPr>
              <w:jc w:val="right"/>
              <w:rPr>
                <w:sz w:val="20"/>
              </w:rPr>
            </w:pPr>
            <w:r w:rsidRPr="00674896">
              <w:rPr>
                <w:sz w:val="20"/>
              </w:rPr>
              <w:t>50</w:t>
            </w:r>
            <w:r w:rsidR="006D199F" w:rsidRPr="00674896">
              <w:rPr>
                <w:sz w:val="20"/>
              </w:rPr>
              <w:t>%</w:t>
            </w:r>
          </w:p>
        </w:tc>
        <w:tc>
          <w:tcPr>
            <w:tcW w:w="293" w:type="pct"/>
            <w:tcBorders>
              <w:top w:val="nil"/>
              <w:left w:val="nil"/>
              <w:bottom w:val="nil"/>
              <w:right w:val="nil"/>
            </w:tcBorders>
          </w:tcPr>
          <w:p w14:paraId="6D442C8D"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8000" behindDoc="0" locked="0" layoutInCell="1" allowOverlap="1" wp14:anchorId="200D9B62" wp14:editId="200CE1A6">
                      <wp:simplePos x="0" y="0"/>
                      <wp:positionH relativeFrom="column">
                        <wp:posOffset>5080</wp:posOffset>
                      </wp:positionH>
                      <wp:positionV relativeFrom="paragraph">
                        <wp:posOffset>86360</wp:posOffset>
                      </wp:positionV>
                      <wp:extent cx="342900" cy="85725"/>
                      <wp:effectExtent l="19050" t="76200" r="0" b="47625"/>
                      <wp:wrapNone/>
                      <wp:docPr id="35" name="Straight Arrow Connector 35"/>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75309D" id="Straight Arrow Connector 35" o:spid="_x0000_s1026" type="#_x0000_t32" style="position:absolute;margin-left:.4pt;margin-top:6.8pt;width:27pt;height:6.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" strokecolor="#4a7ebb" strokeweight="2.25pt">
                      <v:stroke endarrow="block"/>
                    </v:shape>
                  </w:pict>
                </mc:Fallback>
              </mc:AlternateContent>
            </w: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6B6E0213" w14:textId="77777777" w:rsidR="006D199F" w:rsidRPr="00674896" w:rsidRDefault="006D199F" w:rsidP="00A52AEE">
            <w:pPr>
              <w:rPr>
                <w:sz w:val="20"/>
              </w:rPr>
            </w:pPr>
            <w:r w:rsidRPr="00674896">
              <w:rPr>
                <w:sz w:val="20"/>
              </w:rPr>
              <w:t>Old University</w:t>
            </w:r>
          </w:p>
        </w:tc>
        <w:tc>
          <w:tcPr>
            <w:tcW w:w="277" w:type="pct"/>
            <w:tcBorders>
              <w:top w:val="nil"/>
              <w:left w:val="nil"/>
              <w:bottom w:val="single" w:sz="12" w:space="0" w:color="auto"/>
              <w:right w:val="single" w:sz="12" w:space="0" w:color="auto"/>
            </w:tcBorders>
          </w:tcPr>
          <w:p w14:paraId="76527F9F" w14:textId="604F5D9C" w:rsidR="006D199F" w:rsidRPr="00674896" w:rsidRDefault="00811E3A" w:rsidP="009A2373">
            <w:pPr>
              <w:jc w:val="right"/>
              <w:rPr>
                <w:sz w:val="20"/>
              </w:rPr>
            </w:pPr>
            <w:r w:rsidRPr="00674896">
              <w:rPr>
                <w:sz w:val="20"/>
              </w:rPr>
              <w:t>6</w:t>
            </w:r>
            <w:r w:rsidR="006D199F" w:rsidRPr="00674896">
              <w:rPr>
                <w:sz w:val="20"/>
              </w:rPr>
              <w:t>%</w:t>
            </w:r>
          </w:p>
        </w:tc>
      </w:tr>
      <w:tr w:rsidR="00DF759E" w:rsidRPr="00674896" w14:paraId="0F9C3016" w14:textId="77777777" w:rsidTr="00B73561">
        <w:trPr>
          <w:trHeight w:val="305"/>
        </w:trPr>
        <w:tc>
          <w:tcPr>
            <w:tcW w:w="622" w:type="pct"/>
            <w:tcBorders>
              <w:top w:val="nil"/>
              <w:left w:val="nil"/>
              <w:bottom w:val="nil"/>
              <w:right w:val="nil"/>
            </w:tcBorders>
          </w:tcPr>
          <w:p w14:paraId="7BE95071" w14:textId="77777777" w:rsidR="006D199F" w:rsidRPr="00674896" w:rsidRDefault="006D199F" w:rsidP="00A52AEE">
            <w:pPr>
              <w:rPr>
                <w:sz w:val="20"/>
              </w:rPr>
            </w:pPr>
          </w:p>
        </w:tc>
        <w:tc>
          <w:tcPr>
            <w:tcW w:w="337" w:type="pct"/>
            <w:tcBorders>
              <w:top w:val="nil"/>
              <w:left w:val="nil"/>
              <w:bottom w:val="nil"/>
              <w:right w:val="nil"/>
            </w:tcBorders>
          </w:tcPr>
          <w:p w14:paraId="40C0082B" w14:textId="77777777" w:rsidR="006D199F" w:rsidRPr="00674896" w:rsidRDefault="006D199F" w:rsidP="00A52AEE">
            <w:pPr>
              <w:rPr>
                <w:sz w:val="20"/>
              </w:rPr>
            </w:pPr>
          </w:p>
        </w:tc>
        <w:tc>
          <w:tcPr>
            <w:tcW w:w="546" w:type="pct"/>
            <w:tcBorders>
              <w:top w:val="nil"/>
              <w:left w:val="nil"/>
              <w:bottom w:val="nil"/>
              <w:right w:val="nil"/>
            </w:tcBorders>
          </w:tcPr>
          <w:p w14:paraId="2206430C" w14:textId="77777777" w:rsidR="006D199F" w:rsidRPr="00674896" w:rsidRDefault="006D199F" w:rsidP="00A52AEE">
            <w:pPr>
              <w:rPr>
                <w:sz w:val="20"/>
              </w:rPr>
            </w:pPr>
          </w:p>
        </w:tc>
        <w:tc>
          <w:tcPr>
            <w:tcW w:w="586" w:type="pct"/>
            <w:tcBorders>
              <w:top w:val="nil"/>
              <w:left w:val="nil"/>
              <w:bottom w:val="nil"/>
              <w:right w:val="nil"/>
            </w:tcBorders>
          </w:tcPr>
          <w:p w14:paraId="6546ECA3" w14:textId="77777777" w:rsidR="006D199F" w:rsidRPr="00674896" w:rsidRDefault="006D199F" w:rsidP="009A2373">
            <w:pPr>
              <w:jc w:val="right"/>
              <w:rPr>
                <w:sz w:val="20"/>
              </w:rPr>
            </w:pPr>
          </w:p>
        </w:tc>
        <w:tc>
          <w:tcPr>
            <w:tcW w:w="291" w:type="pct"/>
            <w:tcBorders>
              <w:top w:val="nil"/>
              <w:left w:val="nil"/>
              <w:bottom w:val="nil"/>
              <w:right w:val="nil"/>
            </w:tcBorders>
          </w:tcPr>
          <w:p w14:paraId="6CF11BC7"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78C39714" w14:textId="77777777" w:rsidR="006D199F" w:rsidRPr="00674896" w:rsidRDefault="006D199F" w:rsidP="00A52AEE">
            <w:pPr>
              <w:rPr>
                <w:sz w:val="20"/>
              </w:rPr>
            </w:pPr>
            <w:r w:rsidRPr="00674896">
              <w:rPr>
                <w:sz w:val="20"/>
              </w:rPr>
              <w:t>Foundation degree</w:t>
            </w:r>
          </w:p>
        </w:tc>
        <w:tc>
          <w:tcPr>
            <w:tcW w:w="291" w:type="pct"/>
            <w:tcBorders>
              <w:top w:val="nil"/>
              <w:left w:val="nil"/>
              <w:bottom w:val="single" w:sz="12" w:space="0" w:color="auto"/>
              <w:right w:val="single" w:sz="12" w:space="0" w:color="auto"/>
            </w:tcBorders>
          </w:tcPr>
          <w:p w14:paraId="0287C8CA" w14:textId="77777777" w:rsidR="006D199F" w:rsidRPr="00674896" w:rsidRDefault="006D199F" w:rsidP="009A2373">
            <w:pPr>
              <w:jc w:val="right"/>
              <w:rPr>
                <w:sz w:val="20"/>
              </w:rPr>
            </w:pPr>
            <w:r w:rsidRPr="00674896">
              <w:rPr>
                <w:sz w:val="20"/>
              </w:rPr>
              <w:t>4%</w:t>
            </w:r>
          </w:p>
        </w:tc>
        <w:tc>
          <w:tcPr>
            <w:tcW w:w="293" w:type="pct"/>
            <w:tcBorders>
              <w:top w:val="nil"/>
              <w:left w:val="nil"/>
              <w:bottom w:val="nil"/>
              <w:right w:val="nil"/>
            </w:tcBorders>
          </w:tcPr>
          <w:p w14:paraId="2E2E9DDD" w14:textId="77777777" w:rsidR="006D199F" w:rsidRPr="00674896" w:rsidRDefault="006D199F"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4D6AEEC5" w14:textId="77777777" w:rsidR="006D199F" w:rsidRPr="00674896" w:rsidRDefault="006D199F" w:rsidP="00A52AEE">
            <w:pPr>
              <w:rPr>
                <w:sz w:val="20"/>
              </w:rPr>
            </w:pPr>
            <w:r w:rsidRPr="00674896">
              <w:rPr>
                <w:sz w:val="20"/>
              </w:rPr>
              <w:t>New University</w:t>
            </w:r>
          </w:p>
        </w:tc>
        <w:tc>
          <w:tcPr>
            <w:tcW w:w="277" w:type="pct"/>
            <w:tcBorders>
              <w:top w:val="nil"/>
              <w:left w:val="nil"/>
              <w:bottom w:val="single" w:sz="12" w:space="0" w:color="auto"/>
              <w:right w:val="single" w:sz="12" w:space="0" w:color="auto"/>
            </w:tcBorders>
          </w:tcPr>
          <w:p w14:paraId="1A56D0FD" w14:textId="75DAD0D7" w:rsidR="006D199F" w:rsidRPr="00674896" w:rsidRDefault="00811E3A" w:rsidP="009A2373">
            <w:pPr>
              <w:jc w:val="right"/>
              <w:rPr>
                <w:sz w:val="20"/>
              </w:rPr>
            </w:pPr>
            <w:r w:rsidRPr="00674896">
              <w:rPr>
                <w:sz w:val="20"/>
              </w:rPr>
              <w:t>39</w:t>
            </w:r>
            <w:r w:rsidR="006D199F" w:rsidRPr="00674896">
              <w:rPr>
                <w:sz w:val="20"/>
              </w:rPr>
              <w:t>%</w:t>
            </w:r>
          </w:p>
        </w:tc>
      </w:tr>
      <w:tr w:rsidR="00DF759E" w:rsidRPr="00674896" w14:paraId="3DF3C0C0" w14:textId="77777777" w:rsidTr="00B73561">
        <w:trPr>
          <w:trHeight w:val="305"/>
        </w:trPr>
        <w:tc>
          <w:tcPr>
            <w:tcW w:w="622" w:type="pct"/>
            <w:tcBorders>
              <w:top w:val="single" w:sz="12" w:space="0" w:color="auto"/>
              <w:left w:val="single" w:sz="12" w:space="0" w:color="auto"/>
              <w:bottom w:val="single" w:sz="12" w:space="0" w:color="auto"/>
              <w:right w:val="single" w:sz="12" w:space="0" w:color="auto"/>
            </w:tcBorders>
            <w:shd w:val="clear" w:color="auto" w:fill="1F4E79" w:themeFill="accent1" w:themeFillShade="80"/>
          </w:tcPr>
          <w:p w14:paraId="75ED7BFA" w14:textId="77777777" w:rsidR="006D199F" w:rsidRPr="00CC757B" w:rsidRDefault="006D199F" w:rsidP="00A52AEE">
            <w:pPr>
              <w:rPr>
                <w:b/>
                <w:color w:val="000000"/>
                <w:sz w:val="20"/>
              </w:rPr>
            </w:pPr>
            <w:r w:rsidRPr="00CC757B">
              <w:rPr>
                <w:b/>
                <w:color w:val="FFFFFF" w:themeColor="background1"/>
                <w:sz w:val="22"/>
              </w:rPr>
              <w:t>BTEC</w:t>
            </w:r>
          </w:p>
        </w:tc>
        <w:tc>
          <w:tcPr>
            <w:tcW w:w="337" w:type="pct"/>
            <w:tcBorders>
              <w:top w:val="nil"/>
              <w:left w:val="nil"/>
              <w:bottom w:val="nil"/>
              <w:right w:val="nil"/>
            </w:tcBorders>
          </w:tcPr>
          <w:p w14:paraId="32BA2AAB"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2880" behindDoc="0" locked="0" layoutInCell="1" allowOverlap="1" wp14:anchorId="6375D109" wp14:editId="29395F65">
                      <wp:simplePos x="0" y="0"/>
                      <wp:positionH relativeFrom="column">
                        <wp:posOffset>7620</wp:posOffset>
                      </wp:positionH>
                      <wp:positionV relativeFrom="paragraph">
                        <wp:posOffset>80010</wp:posOffset>
                      </wp:positionV>
                      <wp:extent cx="342900" cy="85725"/>
                      <wp:effectExtent l="19050" t="76200" r="0" b="47625"/>
                      <wp:wrapNone/>
                      <wp:docPr id="25" name="Straight Arrow Connector 25"/>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CEFCF" id="Straight Arrow Connector 25" o:spid="_x0000_s1026" type="#_x0000_t32" style="position:absolute;margin-left:.6pt;margin-top:6.3pt;width:27pt;height:6.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" strokecolor="#4a7ebb" strokeweight="2.25pt">
                      <v:stroke endarrow="block"/>
                    </v:shape>
                  </w:pict>
                </mc:Fallback>
              </mc:AlternateContent>
            </w:r>
          </w:p>
        </w:tc>
        <w:tc>
          <w:tcPr>
            <w:tcW w:w="54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B03BDE9" w14:textId="77777777" w:rsidR="006D199F" w:rsidRPr="00674896" w:rsidRDefault="006D199F" w:rsidP="00A52AEE">
            <w:pPr>
              <w:rPr>
                <w:sz w:val="20"/>
              </w:rPr>
            </w:pPr>
            <w:r w:rsidRPr="00674896">
              <w:rPr>
                <w:sz w:val="20"/>
              </w:rPr>
              <w:t>To HE</w:t>
            </w:r>
          </w:p>
        </w:tc>
        <w:tc>
          <w:tcPr>
            <w:tcW w:w="586" w:type="pct"/>
            <w:tcBorders>
              <w:top w:val="single" w:sz="12" w:space="0" w:color="auto"/>
              <w:left w:val="nil"/>
              <w:bottom w:val="single" w:sz="12" w:space="0" w:color="auto"/>
              <w:right w:val="single" w:sz="12" w:space="0" w:color="auto"/>
            </w:tcBorders>
          </w:tcPr>
          <w:p w14:paraId="49995AAD" w14:textId="03E01EE5" w:rsidR="006D199F" w:rsidRPr="00674896" w:rsidRDefault="006D199F" w:rsidP="009A2373">
            <w:pPr>
              <w:jc w:val="right"/>
              <w:rPr>
                <w:color w:val="000000"/>
                <w:sz w:val="20"/>
              </w:rPr>
            </w:pPr>
            <w:r w:rsidRPr="00674896">
              <w:rPr>
                <w:b/>
                <w:color w:val="000000"/>
                <w:sz w:val="20"/>
              </w:rPr>
              <w:t>58</w:t>
            </w:r>
            <w:r w:rsidR="00B73561" w:rsidRPr="00674896">
              <w:rPr>
                <w:b/>
                <w:color w:val="000000"/>
                <w:sz w:val="20"/>
              </w:rPr>
              <w:t>%</w:t>
            </w:r>
            <w:r w:rsidR="00B73561" w:rsidRPr="00674896">
              <w:rPr>
                <w:color w:val="000000"/>
                <w:sz w:val="20"/>
              </w:rPr>
              <w:t xml:space="preserve"> </w:t>
            </w:r>
            <w:r w:rsidR="00B73561" w:rsidRPr="00674896">
              <w:rPr>
                <w:color w:val="FF0000"/>
                <w:sz w:val="20"/>
              </w:rPr>
              <w:t xml:space="preserve">(39%) </w:t>
            </w:r>
          </w:p>
        </w:tc>
        <w:tc>
          <w:tcPr>
            <w:tcW w:w="291" w:type="pct"/>
            <w:tcBorders>
              <w:top w:val="nil"/>
              <w:left w:val="nil"/>
              <w:bottom w:val="nil"/>
              <w:right w:val="nil"/>
            </w:tcBorders>
          </w:tcPr>
          <w:p w14:paraId="1B38802F"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51072" behindDoc="0" locked="0" layoutInCell="1" allowOverlap="1" wp14:anchorId="0DA7D7B1" wp14:editId="190D611D">
                      <wp:simplePos x="0" y="0"/>
                      <wp:positionH relativeFrom="column">
                        <wp:posOffset>10160</wp:posOffset>
                      </wp:positionH>
                      <wp:positionV relativeFrom="paragraph">
                        <wp:posOffset>21644</wp:posOffset>
                      </wp:positionV>
                      <wp:extent cx="342900" cy="85725"/>
                      <wp:effectExtent l="19050" t="76200" r="0" b="47625"/>
                      <wp:wrapNone/>
                      <wp:docPr id="45" name="Straight Arrow Connector 45"/>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288A4B" id="Straight Arrow Connector 45" o:spid="_x0000_s1026" type="#_x0000_t32" style="position:absolute;margin-left:.8pt;margin-top:1.7pt;width:27pt;height:6.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" strokecolor="#4a7ebb" strokeweight="2.25pt">
                      <v:stroke endarrow="block"/>
                    </v:shape>
                  </w:pict>
                </mc:Fallback>
              </mc:AlternateContent>
            </w: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619A3CAD" w14:textId="77777777" w:rsidR="006D199F" w:rsidRPr="00674896" w:rsidRDefault="006D199F" w:rsidP="00A52AEE">
            <w:pPr>
              <w:rPr>
                <w:sz w:val="20"/>
              </w:rPr>
            </w:pPr>
            <w:r w:rsidRPr="00674896">
              <w:rPr>
                <w:sz w:val="20"/>
              </w:rPr>
              <w:t>HNC/HND/NVQ</w:t>
            </w:r>
          </w:p>
        </w:tc>
        <w:tc>
          <w:tcPr>
            <w:tcW w:w="291" w:type="pct"/>
            <w:tcBorders>
              <w:top w:val="nil"/>
              <w:left w:val="nil"/>
              <w:bottom w:val="single" w:sz="12" w:space="0" w:color="auto"/>
              <w:right w:val="single" w:sz="12" w:space="0" w:color="auto"/>
            </w:tcBorders>
          </w:tcPr>
          <w:p w14:paraId="75169C20" w14:textId="77777777" w:rsidR="006D199F" w:rsidRPr="00674896" w:rsidRDefault="006D199F" w:rsidP="009A2373">
            <w:pPr>
              <w:jc w:val="right"/>
              <w:rPr>
                <w:sz w:val="20"/>
              </w:rPr>
            </w:pPr>
            <w:r w:rsidRPr="00674896">
              <w:rPr>
                <w:sz w:val="20"/>
              </w:rPr>
              <w:t>2%</w:t>
            </w:r>
          </w:p>
        </w:tc>
        <w:tc>
          <w:tcPr>
            <w:tcW w:w="293" w:type="pct"/>
            <w:tcBorders>
              <w:top w:val="nil"/>
              <w:left w:val="nil"/>
              <w:bottom w:val="nil"/>
              <w:right w:val="nil"/>
            </w:tcBorders>
          </w:tcPr>
          <w:p w14:paraId="7F706B50" w14:textId="77777777" w:rsidR="006D199F" w:rsidRPr="00674896" w:rsidRDefault="006D199F"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16D1C74A" w14:textId="77777777" w:rsidR="006D199F" w:rsidRPr="00674896" w:rsidRDefault="006D199F" w:rsidP="00A52AEE">
            <w:pPr>
              <w:rPr>
                <w:sz w:val="20"/>
              </w:rPr>
            </w:pPr>
            <w:r w:rsidRPr="00674896">
              <w:rPr>
                <w:sz w:val="20"/>
              </w:rPr>
              <w:t>HE in FE</w:t>
            </w:r>
          </w:p>
        </w:tc>
        <w:tc>
          <w:tcPr>
            <w:tcW w:w="277" w:type="pct"/>
            <w:tcBorders>
              <w:top w:val="nil"/>
              <w:left w:val="nil"/>
              <w:bottom w:val="single" w:sz="12" w:space="0" w:color="auto"/>
              <w:right w:val="single" w:sz="12" w:space="0" w:color="auto"/>
            </w:tcBorders>
          </w:tcPr>
          <w:p w14:paraId="08D712AA" w14:textId="7122BF42" w:rsidR="006D199F" w:rsidRPr="00674896" w:rsidRDefault="00811E3A" w:rsidP="009A2373">
            <w:pPr>
              <w:jc w:val="right"/>
              <w:rPr>
                <w:sz w:val="20"/>
              </w:rPr>
            </w:pPr>
            <w:r w:rsidRPr="00674896">
              <w:rPr>
                <w:sz w:val="20"/>
              </w:rPr>
              <w:t>12</w:t>
            </w:r>
            <w:r w:rsidR="006D199F" w:rsidRPr="00674896">
              <w:rPr>
                <w:sz w:val="20"/>
              </w:rPr>
              <w:t>%</w:t>
            </w:r>
          </w:p>
        </w:tc>
      </w:tr>
      <w:tr w:rsidR="00DF759E" w:rsidRPr="00674896" w14:paraId="76A18764" w14:textId="77777777" w:rsidTr="00B73561">
        <w:trPr>
          <w:trHeight w:val="305"/>
        </w:trPr>
        <w:tc>
          <w:tcPr>
            <w:tcW w:w="622" w:type="pct"/>
            <w:tcBorders>
              <w:top w:val="nil"/>
              <w:left w:val="nil"/>
              <w:bottom w:val="nil"/>
              <w:right w:val="nil"/>
            </w:tcBorders>
          </w:tcPr>
          <w:p w14:paraId="4B365A0B" w14:textId="77777777" w:rsidR="006D199F" w:rsidRPr="00674896" w:rsidRDefault="006D199F" w:rsidP="00A52AEE">
            <w:pPr>
              <w:rPr>
                <w:sz w:val="20"/>
              </w:rPr>
            </w:pPr>
          </w:p>
        </w:tc>
        <w:tc>
          <w:tcPr>
            <w:tcW w:w="337" w:type="pct"/>
            <w:tcBorders>
              <w:top w:val="nil"/>
              <w:left w:val="nil"/>
              <w:bottom w:val="nil"/>
              <w:right w:val="nil"/>
            </w:tcBorders>
          </w:tcPr>
          <w:p w14:paraId="7F293F18" w14:textId="77777777" w:rsidR="006D199F" w:rsidRPr="00674896" w:rsidRDefault="006D199F" w:rsidP="00A52AEE">
            <w:pPr>
              <w:rPr>
                <w:sz w:val="20"/>
              </w:rPr>
            </w:pPr>
          </w:p>
        </w:tc>
        <w:tc>
          <w:tcPr>
            <w:tcW w:w="546" w:type="pct"/>
            <w:tcBorders>
              <w:top w:val="nil"/>
              <w:left w:val="nil"/>
              <w:bottom w:val="nil"/>
              <w:right w:val="nil"/>
            </w:tcBorders>
          </w:tcPr>
          <w:p w14:paraId="6C667985" w14:textId="77777777" w:rsidR="006D199F" w:rsidRPr="00674896" w:rsidRDefault="006D199F" w:rsidP="00A52AEE">
            <w:pPr>
              <w:rPr>
                <w:sz w:val="20"/>
              </w:rPr>
            </w:pPr>
          </w:p>
        </w:tc>
        <w:tc>
          <w:tcPr>
            <w:tcW w:w="586" w:type="pct"/>
            <w:tcBorders>
              <w:top w:val="nil"/>
              <w:left w:val="nil"/>
              <w:bottom w:val="nil"/>
              <w:right w:val="nil"/>
            </w:tcBorders>
          </w:tcPr>
          <w:p w14:paraId="3250E29F" w14:textId="77777777" w:rsidR="006D199F" w:rsidRPr="00674896" w:rsidRDefault="006D199F" w:rsidP="009A2373">
            <w:pPr>
              <w:jc w:val="right"/>
              <w:rPr>
                <w:sz w:val="20"/>
              </w:rPr>
            </w:pPr>
          </w:p>
        </w:tc>
        <w:tc>
          <w:tcPr>
            <w:tcW w:w="291" w:type="pct"/>
            <w:tcBorders>
              <w:top w:val="nil"/>
              <w:left w:val="nil"/>
              <w:bottom w:val="nil"/>
              <w:right w:val="nil"/>
            </w:tcBorders>
          </w:tcPr>
          <w:p w14:paraId="6412B89D"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3D414A7C" w14:textId="77777777" w:rsidR="006D199F" w:rsidRPr="00674896" w:rsidRDefault="006D199F" w:rsidP="00A52AEE">
            <w:pPr>
              <w:rPr>
                <w:sz w:val="20"/>
              </w:rPr>
            </w:pPr>
            <w:r w:rsidRPr="00674896">
              <w:rPr>
                <w:sz w:val="20"/>
              </w:rPr>
              <w:t>Other undergraduate</w:t>
            </w:r>
          </w:p>
        </w:tc>
        <w:tc>
          <w:tcPr>
            <w:tcW w:w="291" w:type="pct"/>
            <w:tcBorders>
              <w:top w:val="nil"/>
              <w:left w:val="nil"/>
              <w:bottom w:val="single" w:sz="12" w:space="0" w:color="auto"/>
              <w:right w:val="single" w:sz="12" w:space="0" w:color="auto"/>
            </w:tcBorders>
          </w:tcPr>
          <w:p w14:paraId="0CD33CA9" w14:textId="54C6B44C" w:rsidR="006D199F" w:rsidRPr="00674896" w:rsidRDefault="00811E3A" w:rsidP="009A2373">
            <w:pPr>
              <w:jc w:val="right"/>
              <w:rPr>
                <w:sz w:val="20"/>
              </w:rPr>
            </w:pPr>
            <w:r w:rsidRPr="00674896">
              <w:rPr>
                <w:sz w:val="20"/>
              </w:rPr>
              <w:t>2</w:t>
            </w:r>
            <w:r w:rsidR="006D199F" w:rsidRPr="00674896">
              <w:rPr>
                <w:sz w:val="20"/>
              </w:rPr>
              <w:t>%</w:t>
            </w:r>
          </w:p>
        </w:tc>
        <w:tc>
          <w:tcPr>
            <w:tcW w:w="293" w:type="pct"/>
            <w:tcBorders>
              <w:top w:val="nil"/>
              <w:left w:val="nil"/>
              <w:bottom w:val="nil"/>
              <w:right w:val="nil"/>
            </w:tcBorders>
          </w:tcPr>
          <w:p w14:paraId="1ECAC90F" w14:textId="77777777" w:rsidR="006D199F" w:rsidRPr="00674896" w:rsidRDefault="006D199F" w:rsidP="00A52AEE">
            <w:pPr>
              <w:rPr>
                <w:sz w:val="20"/>
              </w:rPr>
            </w:pPr>
          </w:p>
        </w:tc>
        <w:tc>
          <w:tcPr>
            <w:tcW w:w="731" w:type="pct"/>
            <w:tcBorders>
              <w:top w:val="nil"/>
              <w:left w:val="nil"/>
              <w:bottom w:val="nil"/>
              <w:right w:val="nil"/>
            </w:tcBorders>
          </w:tcPr>
          <w:p w14:paraId="648FF7A0" w14:textId="77777777" w:rsidR="006D199F" w:rsidRPr="00674896" w:rsidRDefault="006D199F" w:rsidP="00A52AEE">
            <w:pPr>
              <w:rPr>
                <w:sz w:val="20"/>
              </w:rPr>
            </w:pPr>
          </w:p>
        </w:tc>
        <w:tc>
          <w:tcPr>
            <w:tcW w:w="277" w:type="pct"/>
            <w:tcBorders>
              <w:top w:val="nil"/>
              <w:left w:val="nil"/>
              <w:bottom w:val="nil"/>
              <w:right w:val="nil"/>
            </w:tcBorders>
          </w:tcPr>
          <w:p w14:paraId="021B914A" w14:textId="77777777" w:rsidR="006D199F" w:rsidRPr="00674896" w:rsidRDefault="006D199F" w:rsidP="009A2373">
            <w:pPr>
              <w:jc w:val="right"/>
              <w:rPr>
                <w:sz w:val="20"/>
              </w:rPr>
            </w:pPr>
          </w:p>
        </w:tc>
      </w:tr>
      <w:tr w:rsidR="00DF759E" w:rsidRPr="00674896" w14:paraId="74D8A3F7" w14:textId="77777777" w:rsidTr="00B73561">
        <w:trPr>
          <w:trHeight w:val="305"/>
        </w:trPr>
        <w:tc>
          <w:tcPr>
            <w:tcW w:w="622" w:type="pct"/>
            <w:tcBorders>
              <w:top w:val="nil"/>
              <w:left w:val="nil"/>
              <w:bottom w:val="nil"/>
              <w:right w:val="nil"/>
            </w:tcBorders>
          </w:tcPr>
          <w:p w14:paraId="2DD3FA6C" w14:textId="77777777" w:rsidR="006D199F" w:rsidRPr="00674896" w:rsidRDefault="006D199F" w:rsidP="00A52AEE">
            <w:pPr>
              <w:rPr>
                <w:sz w:val="20"/>
              </w:rPr>
            </w:pPr>
          </w:p>
        </w:tc>
        <w:tc>
          <w:tcPr>
            <w:tcW w:w="337" w:type="pct"/>
            <w:tcBorders>
              <w:top w:val="nil"/>
              <w:left w:val="nil"/>
              <w:bottom w:val="nil"/>
              <w:right w:val="nil"/>
            </w:tcBorders>
          </w:tcPr>
          <w:p w14:paraId="383ACBCA"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3904" behindDoc="0" locked="0" layoutInCell="1" allowOverlap="1" wp14:anchorId="55C22F35" wp14:editId="31534A96">
                      <wp:simplePos x="0" y="0"/>
                      <wp:positionH relativeFrom="column">
                        <wp:posOffset>5079</wp:posOffset>
                      </wp:positionH>
                      <wp:positionV relativeFrom="paragraph">
                        <wp:posOffset>-153671</wp:posOffset>
                      </wp:positionV>
                      <wp:extent cx="333375" cy="238125"/>
                      <wp:effectExtent l="19050" t="19050" r="66675" b="47625"/>
                      <wp:wrapNone/>
                      <wp:docPr id="26" name="Straight Arrow Connector 26"/>
                      <wp:cNvGraphicFramePr/>
                      <a:graphic xmlns:a="http://schemas.openxmlformats.org/drawingml/2006/main">
                        <a:graphicData uri="http://schemas.microsoft.com/office/word/2010/wordprocessingShape">
                          <wps:wsp>
                            <wps:cNvCnPr/>
                            <wps:spPr>
                              <a:xfrm>
                                <a:off x="0" y="0"/>
                                <a:ext cx="333375" cy="2381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960076" id="Straight Arrow Connector 26" o:spid="_x0000_s1026" type="#_x0000_t32" style="position:absolute;margin-left:.4pt;margin-top:-12.1pt;width:26.2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" strokecolor="#4a7ebb" strokeweight="2.25pt">
                      <v:stroke endarrow="block"/>
                    </v:shape>
                  </w:pict>
                </mc:Fallback>
              </mc:AlternateContent>
            </w:r>
          </w:p>
        </w:tc>
        <w:tc>
          <w:tcPr>
            <w:tcW w:w="546" w:type="pct"/>
            <w:tcBorders>
              <w:top w:val="single" w:sz="12" w:space="0" w:color="auto"/>
              <w:left w:val="single" w:sz="12" w:space="0" w:color="auto"/>
              <w:bottom w:val="single" w:sz="12" w:space="0" w:color="auto"/>
              <w:right w:val="single" w:sz="12" w:space="0" w:color="auto"/>
            </w:tcBorders>
          </w:tcPr>
          <w:p w14:paraId="42A8D3F5" w14:textId="77777777" w:rsidR="006D199F" w:rsidRPr="00674896" w:rsidRDefault="006D199F" w:rsidP="00A52AEE">
            <w:pPr>
              <w:rPr>
                <w:sz w:val="20"/>
              </w:rPr>
            </w:pPr>
            <w:r w:rsidRPr="00674896">
              <w:rPr>
                <w:sz w:val="20"/>
              </w:rPr>
              <w:t>Not to HE</w:t>
            </w:r>
          </w:p>
        </w:tc>
        <w:tc>
          <w:tcPr>
            <w:tcW w:w="586" w:type="pct"/>
            <w:tcBorders>
              <w:top w:val="single" w:sz="12" w:space="0" w:color="auto"/>
              <w:left w:val="nil"/>
              <w:bottom w:val="single" w:sz="12" w:space="0" w:color="auto"/>
              <w:right w:val="single" w:sz="12" w:space="0" w:color="auto"/>
            </w:tcBorders>
          </w:tcPr>
          <w:p w14:paraId="61D83418" w14:textId="49F71C47" w:rsidR="006D199F" w:rsidRPr="00674896" w:rsidRDefault="006D199F" w:rsidP="009A2373">
            <w:pPr>
              <w:jc w:val="right"/>
              <w:rPr>
                <w:sz w:val="20"/>
              </w:rPr>
            </w:pPr>
            <w:r w:rsidRPr="00674896">
              <w:rPr>
                <w:sz w:val="20"/>
              </w:rPr>
              <w:t>42%</w:t>
            </w:r>
          </w:p>
        </w:tc>
        <w:tc>
          <w:tcPr>
            <w:tcW w:w="291" w:type="pct"/>
            <w:tcBorders>
              <w:top w:val="nil"/>
              <w:left w:val="nil"/>
              <w:bottom w:val="nil"/>
              <w:right w:val="nil"/>
            </w:tcBorders>
          </w:tcPr>
          <w:p w14:paraId="3E53719B" w14:textId="77777777" w:rsidR="006D199F" w:rsidRPr="00674896" w:rsidRDefault="006D199F" w:rsidP="00A52AEE">
            <w:pPr>
              <w:rPr>
                <w:sz w:val="20"/>
              </w:rPr>
            </w:pPr>
          </w:p>
        </w:tc>
        <w:tc>
          <w:tcPr>
            <w:tcW w:w="1026" w:type="pct"/>
            <w:tcBorders>
              <w:top w:val="nil"/>
              <w:left w:val="nil"/>
              <w:bottom w:val="nil"/>
              <w:right w:val="nil"/>
            </w:tcBorders>
          </w:tcPr>
          <w:p w14:paraId="223A2EF0" w14:textId="77777777" w:rsidR="006D199F" w:rsidRPr="00674896" w:rsidRDefault="006D199F" w:rsidP="00A52AEE">
            <w:pPr>
              <w:rPr>
                <w:sz w:val="20"/>
              </w:rPr>
            </w:pPr>
          </w:p>
        </w:tc>
        <w:tc>
          <w:tcPr>
            <w:tcW w:w="291" w:type="pct"/>
            <w:tcBorders>
              <w:top w:val="nil"/>
              <w:left w:val="nil"/>
              <w:bottom w:val="nil"/>
              <w:right w:val="nil"/>
            </w:tcBorders>
          </w:tcPr>
          <w:p w14:paraId="2D2768AF" w14:textId="77777777" w:rsidR="006D199F" w:rsidRPr="00674896" w:rsidRDefault="006D199F" w:rsidP="009A2373">
            <w:pPr>
              <w:jc w:val="right"/>
              <w:rPr>
                <w:sz w:val="20"/>
              </w:rPr>
            </w:pPr>
          </w:p>
        </w:tc>
        <w:tc>
          <w:tcPr>
            <w:tcW w:w="293" w:type="pct"/>
            <w:tcBorders>
              <w:top w:val="nil"/>
              <w:left w:val="nil"/>
              <w:bottom w:val="nil"/>
              <w:right w:val="nil"/>
            </w:tcBorders>
          </w:tcPr>
          <w:p w14:paraId="5BE7BD97" w14:textId="77777777" w:rsidR="006D199F" w:rsidRPr="00674896" w:rsidRDefault="006D199F" w:rsidP="00A52AEE">
            <w:pPr>
              <w:rPr>
                <w:sz w:val="20"/>
              </w:rPr>
            </w:pPr>
          </w:p>
        </w:tc>
        <w:tc>
          <w:tcPr>
            <w:tcW w:w="731"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46136A6" w14:textId="77777777" w:rsidR="006D199F" w:rsidRPr="00674896" w:rsidRDefault="006D199F" w:rsidP="00A52AEE">
            <w:pPr>
              <w:rPr>
                <w:sz w:val="20"/>
              </w:rPr>
            </w:pPr>
            <w:r w:rsidRPr="00674896">
              <w:rPr>
                <w:sz w:val="20"/>
              </w:rPr>
              <w:t>Russell Group</w:t>
            </w:r>
          </w:p>
        </w:tc>
        <w:tc>
          <w:tcPr>
            <w:tcW w:w="277" w:type="pct"/>
            <w:tcBorders>
              <w:top w:val="single" w:sz="12" w:space="0" w:color="auto"/>
              <w:left w:val="nil"/>
              <w:bottom w:val="single" w:sz="12" w:space="0" w:color="auto"/>
              <w:right w:val="single" w:sz="12" w:space="0" w:color="auto"/>
            </w:tcBorders>
          </w:tcPr>
          <w:p w14:paraId="007A749F" w14:textId="54DADDA2" w:rsidR="006D199F" w:rsidRPr="00674896" w:rsidRDefault="00811E3A" w:rsidP="009A2373">
            <w:pPr>
              <w:jc w:val="right"/>
              <w:rPr>
                <w:sz w:val="20"/>
              </w:rPr>
            </w:pPr>
            <w:r w:rsidRPr="00674896">
              <w:rPr>
                <w:sz w:val="20"/>
              </w:rPr>
              <w:t>9</w:t>
            </w:r>
            <w:r w:rsidR="006D199F" w:rsidRPr="00674896">
              <w:rPr>
                <w:sz w:val="20"/>
              </w:rPr>
              <w:t>%</w:t>
            </w:r>
          </w:p>
        </w:tc>
      </w:tr>
      <w:tr w:rsidR="00DF759E" w:rsidRPr="00674896" w14:paraId="51580814" w14:textId="77777777" w:rsidTr="00B73561">
        <w:trPr>
          <w:trHeight w:val="305"/>
        </w:trPr>
        <w:tc>
          <w:tcPr>
            <w:tcW w:w="622" w:type="pct"/>
            <w:tcBorders>
              <w:top w:val="nil"/>
              <w:left w:val="nil"/>
              <w:bottom w:val="nil"/>
              <w:right w:val="nil"/>
            </w:tcBorders>
          </w:tcPr>
          <w:p w14:paraId="36174161" w14:textId="77777777" w:rsidR="006D199F" w:rsidRPr="00674896" w:rsidRDefault="006D199F" w:rsidP="00A52AEE">
            <w:pPr>
              <w:rPr>
                <w:sz w:val="20"/>
              </w:rPr>
            </w:pPr>
          </w:p>
        </w:tc>
        <w:tc>
          <w:tcPr>
            <w:tcW w:w="337" w:type="pct"/>
            <w:tcBorders>
              <w:top w:val="nil"/>
              <w:left w:val="nil"/>
              <w:bottom w:val="nil"/>
              <w:right w:val="nil"/>
            </w:tcBorders>
          </w:tcPr>
          <w:p w14:paraId="3533F4FD" w14:textId="77777777" w:rsidR="006D199F" w:rsidRPr="00674896" w:rsidRDefault="006D199F" w:rsidP="00A52AEE">
            <w:pPr>
              <w:rPr>
                <w:sz w:val="20"/>
              </w:rPr>
            </w:pPr>
          </w:p>
        </w:tc>
        <w:tc>
          <w:tcPr>
            <w:tcW w:w="546" w:type="pct"/>
            <w:tcBorders>
              <w:top w:val="nil"/>
              <w:left w:val="nil"/>
              <w:bottom w:val="nil"/>
              <w:right w:val="nil"/>
            </w:tcBorders>
          </w:tcPr>
          <w:p w14:paraId="254A6414" w14:textId="77777777" w:rsidR="006D199F" w:rsidRPr="00674896" w:rsidRDefault="006D199F" w:rsidP="00A52AEE">
            <w:pPr>
              <w:rPr>
                <w:sz w:val="20"/>
              </w:rPr>
            </w:pPr>
          </w:p>
        </w:tc>
        <w:tc>
          <w:tcPr>
            <w:tcW w:w="586" w:type="pct"/>
            <w:tcBorders>
              <w:top w:val="nil"/>
              <w:left w:val="nil"/>
              <w:bottom w:val="nil"/>
              <w:right w:val="nil"/>
            </w:tcBorders>
          </w:tcPr>
          <w:p w14:paraId="31EE28C3" w14:textId="77777777" w:rsidR="006D199F" w:rsidRPr="00674896" w:rsidRDefault="006D199F" w:rsidP="009A2373">
            <w:pPr>
              <w:jc w:val="right"/>
              <w:rPr>
                <w:sz w:val="20"/>
              </w:rPr>
            </w:pPr>
          </w:p>
        </w:tc>
        <w:tc>
          <w:tcPr>
            <w:tcW w:w="291" w:type="pct"/>
            <w:tcBorders>
              <w:top w:val="nil"/>
              <w:left w:val="nil"/>
              <w:bottom w:val="nil"/>
              <w:right w:val="nil"/>
            </w:tcBorders>
          </w:tcPr>
          <w:p w14:paraId="189E7DFC" w14:textId="77777777" w:rsidR="006D199F" w:rsidRPr="00674896" w:rsidRDefault="006D199F" w:rsidP="00A52AEE">
            <w:pPr>
              <w:rPr>
                <w:sz w:val="20"/>
              </w:rPr>
            </w:pPr>
          </w:p>
        </w:tc>
        <w:tc>
          <w:tcPr>
            <w:tcW w:w="102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353E86B" w14:textId="77777777" w:rsidR="006D199F" w:rsidRPr="00674896" w:rsidRDefault="006D199F" w:rsidP="00A52AEE">
            <w:pPr>
              <w:rPr>
                <w:sz w:val="20"/>
              </w:rPr>
            </w:pPr>
            <w:r w:rsidRPr="00674896">
              <w:rPr>
                <w:sz w:val="20"/>
              </w:rPr>
              <w:t>First degree</w:t>
            </w:r>
          </w:p>
        </w:tc>
        <w:tc>
          <w:tcPr>
            <w:tcW w:w="291" w:type="pct"/>
            <w:tcBorders>
              <w:top w:val="single" w:sz="12" w:space="0" w:color="auto"/>
              <w:left w:val="nil"/>
              <w:bottom w:val="single" w:sz="12" w:space="0" w:color="auto"/>
              <w:right w:val="single" w:sz="12" w:space="0" w:color="auto"/>
            </w:tcBorders>
          </w:tcPr>
          <w:p w14:paraId="1508095F" w14:textId="1EBB7E18" w:rsidR="006D199F" w:rsidRPr="00674896" w:rsidRDefault="00811E3A" w:rsidP="009A2373">
            <w:pPr>
              <w:jc w:val="right"/>
              <w:rPr>
                <w:sz w:val="20"/>
              </w:rPr>
            </w:pPr>
            <w:r w:rsidRPr="00674896">
              <w:rPr>
                <w:sz w:val="20"/>
              </w:rPr>
              <w:t>72</w:t>
            </w:r>
            <w:r w:rsidR="006D199F" w:rsidRPr="00674896">
              <w:rPr>
                <w:sz w:val="20"/>
              </w:rPr>
              <w:t>%</w:t>
            </w:r>
          </w:p>
        </w:tc>
        <w:tc>
          <w:tcPr>
            <w:tcW w:w="293" w:type="pct"/>
            <w:tcBorders>
              <w:top w:val="nil"/>
              <w:left w:val="nil"/>
              <w:bottom w:val="nil"/>
              <w:right w:val="nil"/>
            </w:tcBorders>
          </w:tcPr>
          <w:p w14:paraId="705C3356"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9024" behindDoc="0" locked="0" layoutInCell="1" allowOverlap="1" wp14:anchorId="4AF58FDF" wp14:editId="6361270B">
                      <wp:simplePos x="0" y="0"/>
                      <wp:positionH relativeFrom="column">
                        <wp:posOffset>5080</wp:posOffset>
                      </wp:positionH>
                      <wp:positionV relativeFrom="paragraph">
                        <wp:posOffset>41910</wp:posOffset>
                      </wp:positionV>
                      <wp:extent cx="342900" cy="85725"/>
                      <wp:effectExtent l="19050" t="76200" r="0" b="47625"/>
                      <wp:wrapNone/>
                      <wp:docPr id="39" name="Straight Arrow Connector 39"/>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8EE888" id="Straight Arrow Connector 39" o:spid="_x0000_s1026" type="#_x0000_t32" style="position:absolute;margin-left:.4pt;margin-top:3.3pt;width:27pt;height:6.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" strokecolor="#4a7ebb" strokeweight="2.25pt">
                      <v:stroke endarrow="block"/>
                    </v:shape>
                  </w:pict>
                </mc:Fallback>
              </mc:AlternateContent>
            </w: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1C2A626E" w14:textId="77777777" w:rsidR="006D199F" w:rsidRPr="00674896" w:rsidRDefault="006D199F" w:rsidP="00A52AEE">
            <w:pPr>
              <w:rPr>
                <w:sz w:val="20"/>
              </w:rPr>
            </w:pPr>
            <w:r w:rsidRPr="00674896">
              <w:rPr>
                <w:sz w:val="20"/>
              </w:rPr>
              <w:t>Old University</w:t>
            </w:r>
          </w:p>
        </w:tc>
        <w:tc>
          <w:tcPr>
            <w:tcW w:w="277" w:type="pct"/>
            <w:tcBorders>
              <w:top w:val="nil"/>
              <w:left w:val="nil"/>
              <w:bottom w:val="single" w:sz="12" w:space="0" w:color="auto"/>
              <w:right w:val="single" w:sz="12" w:space="0" w:color="auto"/>
            </w:tcBorders>
          </w:tcPr>
          <w:p w14:paraId="210ED6ED" w14:textId="11A9A562" w:rsidR="006D199F" w:rsidRPr="00674896" w:rsidRDefault="00811E3A" w:rsidP="009A2373">
            <w:pPr>
              <w:jc w:val="right"/>
              <w:rPr>
                <w:sz w:val="20"/>
              </w:rPr>
            </w:pPr>
            <w:r w:rsidRPr="00674896">
              <w:rPr>
                <w:sz w:val="20"/>
              </w:rPr>
              <w:t>22</w:t>
            </w:r>
            <w:r w:rsidR="006D199F" w:rsidRPr="00674896">
              <w:rPr>
                <w:sz w:val="20"/>
              </w:rPr>
              <w:t>%</w:t>
            </w:r>
          </w:p>
        </w:tc>
      </w:tr>
      <w:tr w:rsidR="00DF759E" w:rsidRPr="00674896" w14:paraId="119EF39E" w14:textId="77777777" w:rsidTr="00B73561">
        <w:trPr>
          <w:trHeight w:val="305"/>
        </w:trPr>
        <w:tc>
          <w:tcPr>
            <w:tcW w:w="622" w:type="pct"/>
            <w:tcBorders>
              <w:top w:val="nil"/>
              <w:left w:val="nil"/>
              <w:bottom w:val="nil"/>
              <w:right w:val="nil"/>
            </w:tcBorders>
          </w:tcPr>
          <w:p w14:paraId="393ADA22" w14:textId="77777777" w:rsidR="006D199F" w:rsidRPr="00674896" w:rsidRDefault="006D199F" w:rsidP="00A52AEE">
            <w:pPr>
              <w:rPr>
                <w:sz w:val="20"/>
              </w:rPr>
            </w:pPr>
          </w:p>
        </w:tc>
        <w:tc>
          <w:tcPr>
            <w:tcW w:w="337" w:type="pct"/>
            <w:tcBorders>
              <w:top w:val="nil"/>
              <w:left w:val="nil"/>
              <w:bottom w:val="nil"/>
              <w:right w:val="nil"/>
            </w:tcBorders>
          </w:tcPr>
          <w:p w14:paraId="21CF0F4A" w14:textId="77777777" w:rsidR="006D199F" w:rsidRPr="00674896" w:rsidRDefault="006D199F" w:rsidP="00A52AEE">
            <w:pPr>
              <w:rPr>
                <w:sz w:val="20"/>
              </w:rPr>
            </w:pPr>
          </w:p>
        </w:tc>
        <w:tc>
          <w:tcPr>
            <w:tcW w:w="546" w:type="pct"/>
            <w:tcBorders>
              <w:top w:val="nil"/>
              <w:left w:val="nil"/>
              <w:bottom w:val="nil"/>
              <w:right w:val="nil"/>
            </w:tcBorders>
          </w:tcPr>
          <w:p w14:paraId="1F8A418F" w14:textId="77777777" w:rsidR="006D199F" w:rsidRPr="00674896" w:rsidRDefault="006D199F" w:rsidP="00A52AEE">
            <w:pPr>
              <w:rPr>
                <w:sz w:val="20"/>
              </w:rPr>
            </w:pPr>
          </w:p>
        </w:tc>
        <w:tc>
          <w:tcPr>
            <w:tcW w:w="586" w:type="pct"/>
            <w:tcBorders>
              <w:top w:val="nil"/>
              <w:left w:val="nil"/>
              <w:bottom w:val="nil"/>
              <w:right w:val="nil"/>
            </w:tcBorders>
          </w:tcPr>
          <w:p w14:paraId="1601BCDB" w14:textId="77777777" w:rsidR="006D199F" w:rsidRPr="00674896" w:rsidRDefault="006D199F" w:rsidP="009A2373">
            <w:pPr>
              <w:jc w:val="right"/>
              <w:rPr>
                <w:sz w:val="20"/>
              </w:rPr>
            </w:pPr>
          </w:p>
        </w:tc>
        <w:tc>
          <w:tcPr>
            <w:tcW w:w="291" w:type="pct"/>
            <w:tcBorders>
              <w:top w:val="nil"/>
              <w:left w:val="nil"/>
              <w:bottom w:val="nil"/>
              <w:right w:val="nil"/>
            </w:tcBorders>
          </w:tcPr>
          <w:p w14:paraId="5BB6CFFC"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0F55D9C1" w14:textId="77777777" w:rsidR="006D199F" w:rsidRPr="00674896" w:rsidRDefault="006D199F" w:rsidP="00A52AEE">
            <w:pPr>
              <w:rPr>
                <w:sz w:val="20"/>
              </w:rPr>
            </w:pPr>
            <w:r w:rsidRPr="00674896">
              <w:rPr>
                <w:sz w:val="20"/>
              </w:rPr>
              <w:t>Foundation degree</w:t>
            </w:r>
          </w:p>
        </w:tc>
        <w:tc>
          <w:tcPr>
            <w:tcW w:w="291" w:type="pct"/>
            <w:tcBorders>
              <w:top w:val="nil"/>
              <w:left w:val="nil"/>
              <w:bottom w:val="single" w:sz="12" w:space="0" w:color="auto"/>
              <w:right w:val="single" w:sz="12" w:space="0" w:color="auto"/>
            </w:tcBorders>
          </w:tcPr>
          <w:p w14:paraId="6B8F8778" w14:textId="77777777" w:rsidR="006D199F" w:rsidRPr="00674896" w:rsidRDefault="006D199F" w:rsidP="009A2373">
            <w:pPr>
              <w:jc w:val="right"/>
              <w:rPr>
                <w:sz w:val="20"/>
              </w:rPr>
            </w:pPr>
            <w:r w:rsidRPr="00674896">
              <w:rPr>
                <w:sz w:val="20"/>
              </w:rPr>
              <w:t>1%</w:t>
            </w:r>
          </w:p>
        </w:tc>
        <w:tc>
          <w:tcPr>
            <w:tcW w:w="293" w:type="pct"/>
            <w:tcBorders>
              <w:top w:val="nil"/>
              <w:left w:val="nil"/>
              <w:bottom w:val="nil"/>
              <w:right w:val="nil"/>
            </w:tcBorders>
          </w:tcPr>
          <w:p w14:paraId="7C4CF5EF" w14:textId="77777777" w:rsidR="006D199F" w:rsidRPr="00674896" w:rsidRDefault="006D199F"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F83CF08" w14:textId="77777777" w:rsidR="006D199F" w:rsidRPr="00674896" w:rsidRDefault="006D199F" w:rsidP="00A52AEE">
            <w:pPr>
              <w:rPr>
                <w:sz w:val="20"/>
              </w:rPr>
            </w:pPr>
            <w:r w:rsidRPr="00674896">
              <w:rPr>
                <w:sz w:val="20"/>
              </w:rPr>
              <w:t>New University</w:t>
            </w:r>
          </w:p>
        </w:tc>
        <w:tc>
          <w:tcPr>
            <w:tcW w:w="277" w:type="pct"/>
            <w:tcBorders>
              <w:top w:val="nil"/>
              <w:left w:val="nil"/>
              <w:bottom w:val="single" w:sz="12" w:space="0" w:color="auto"/>
              <w:right w:val="single" w:sz="12" w:space="0" w:color="auto"/>
            </w:tcBorders>
          </w:tcPr>
          <w:p w14:paraId="6EAA2D76" w14:textId="3C9016C0" w:rsidR="006D199F" w:rsidRPr="00674896" w:rsidRDefault="00811E3A" w:rsidP="009A2373">
            <w:pPr>
              <w:jc w:val="right"/>
              <w:rPr>
                <w:sz w:val="20"/>
              </w:rPr>
            </w:pPr>
            <w:r w:rsidRPr="00674896">
              <w:rPr>
                <w:sz w:val="20"/>
              </w:rPr>
              <w:t>38</w:t>
            </w:r>
            <w:r w:rsidR="006D199F" w:rsidRPr="00674896">
              <w:rPr>
                <w:sz w:val="20"/>
              </w:rPr>
              <w:t>%</w:t>
            </w:r>
          </w:p>
        </w:tc>
      </w:tr>
      <w:tr w:rsidR="00DF759E" w:rsidRPr="00674896" w14:paraId="7A7E3E8D" w14:textId="77777777" w:rsidTr="00B73561">
        <w:trPr>
          <w:trHeight w:val="305"/>
        </w:trPr>
        <w:tc>
          <w:tcPr>
            <w:tcW w:w="622" w:type="pct"/>
            <w:tcBorders>
              <w:top w:val="single" w:sz="12" w:space="0" w:color="auto"/>
              <w:left w:val="single" w:sz="12" w:space="0" w:color="auto"/>
              <w:bottom w:val="single" w:sz="12" w:space="0" w:color="auto"/>
              <w:right w:val="single" w:sz="12" w:space="0" w:color="auto"/>
            </w:tcBorders>
            <w:shd w:val="clear" w:color="auto" w:fill="1F4E79" w:themeFill="accent1" w:themeFillShade="80"/>
          </w:tcPr>
          <w:p w14:paraId="19F4AFAB" w14:textId="071AAF2F" w:rsidR="006D199F" w:rsidRPr="00CC757B" w:rsidRDefault="006D199F" w:rsidP="00A52AEE">
            <w:pPr>
              <w:rPr>
                <w:b/>
                <w:color w:val="000000"/>
                <w:sz w:val="20"/>
              </w:rPr>
            </w:pPr>
            <w:r w:rsidRPr="00CC757B">
              <w:rPr>
                <w:b/>
                <w:color w:val="FFFFFF" w:themeColor="background1"/>
                <w:sz w:val="22"/>
              </w:rPr>
              <w:t>A</w:t>
            </w:r>
            <w:r w:rsidR="00811E3A" w:rsidRPr="00CC757B">
              <w:rPr>
                <w:b/>
                <w:color w:val="FFFFFF" w:themeColor="background1"/>
                <w:sz w:val="22"/>
              </w:rPr>
              <w:t xml:space="preserve"> Level</w:t>
            </w:r>
          </w:p>
        </w:tc>
        <w:tc>
          <w:tcPr>
            <w:tcW w:w="337" w:type="pct"/>
            <w:tcBorders>
              <w:top w:val="nil"/>
              <w:left w:val="nil"/>
              <w:bottom w:val="nil"/>
              <w:right w:val="nil"/>
            </w:tcBorders>
          </w:tcPr>
          <w:p w14:paraId="5B040098"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45952" behindDoc="0" locked="0" layoutInCell="1" allowOverlap="1" wp14:anchorId="32AA92E2" wp14:editId="2123C6EF">
                      <wp:simplePos x="0" y="0"/>
                      <wp:positionH relativeFrom="column">
                        <wp:posOffset>-13970</wp:posOffset>
                      </wp:positionH>
                      <wp:positionV relativeFrom="paragraph">
                        <wp:posOffset>284480</wp:posOffset>
                      </wp:positionV>
                      <wp:extent cx="428625" cy="257175"/>
                      <wp:effectExtent l="19050" t="19050" r="66675" b="47625"/>
                      <wp:wrapNone/>
                      <wp:docPr id="29" name="Straight Arrow Connector 29"/>
                      <wp:cNvGraphicFramePr/>
                      <a:graphic xmlns:a="http://schemas.openxmlformats.org/drawingml/2006/main">
                        <a:graphicData uri="http://schemas.microsoft.com/office/word/2010/wordprocessingShape">
                          <wps:wsp>
                            <wps:cNvCnPr/>
                            <wps:spPr>
                              <a:xfrm>
                                <a:off x="0" y="0"/>
                                <a:ext cx="428625" cy="25717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096804" id="Straight Arrow Connector 29" o:spid="_x0000_s1026" type="#_x0000_t32" style="position:absolute;margin-left:-1.1pt;margin-top:22.4pt;width:33.7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" strokecolor="#4a7ebb" strokeweight="2.25pt">
                      <v:stroke endarrow="block"/>
                    </v:shape>
                  </w:pict>
                </mc:Fallback>
              </mc:AlternateContent>
            </w:r>
            <w:r w:rsidRPr="00674896">
              <w:rPr>
                <w:noProof/>
                <w:sz w:val="20"/>
                <w:lang w:eastAsia="en-GB"/>
              </w:rPr>
              <mc:AlternateContent>
                <mc:Choice Requires="wps">
                  <w:drawing>
                    <wp:anchor distT="0" distB="0" distL="114300" distR="114300" simplePos="0" relativeHeight="251644928" behindDoc="0" locked="0" layoutInCell="1" allowOverlap="1" wp14:anchorId="09D13CDA" wp14:editId="749394EA">
                      <wp:simplePos x="0" y="0"/>
                      <wp:positionH relativeFrom="column">
                        <wp:posOffset>7620</wp:posOffset>
                      </wp:positionH>
                      <wp:positionV relativeFrom="paragraph">
                        <wp:posOffset>83185</wp:posOffset>
                      </wp:positionV>
                      <wp:extent cx="342900" cy="85725"/>
                      <wp:effectExtent l="19050" t="76200" r="0" b="47625"/>
                      <wp:wrapNone/>
                      <wp:docPr id="27" name="Straight Arrow Connector 27"/>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AA3493" id="Straight Arrow Connector 27" o:spid="_x0000_s1026" type="#_x0000_t32" style="position:absolute;margin-left:.6pt;margin-top:6.55pt;width:27pt;height:6.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" strokecolor="#4a7ebb" strokeweight="2.25pt">
                      <v:stroke endarrow="block"/>
                    </v:shape>
                  </w:pict>
                </mc:Fallback>
              </mc:AlternateContent>
            </w:r>
          </w:p>
        </w:tc>
        <w:tc>
          <w:tcPr>
            <w:tcW w:w="54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397C061" w14:textId="77777777" w:rsidR="006D199F" w:rsidRPr="00674896" w:rsidRDefault="006D199F" w:rsidP="00A52AEE">
            <w:pPr>
              <w:rPr>
                <w:sz w:val="20"/>
              </w:rPr>
            </w:pPr>
            <w:r w:rsidRPr="00674896">
              <w:rPr>
                <w:sz w:val="20"/>
              </w:rPr>
              <w:t>To HE</w:t>
            </w:r>
          </w:p>
        </w:tc>
        <w:tc>
          <w:tcPr>
            <w:tcW w:w="586" w:type="pct"/>
            <w:tcBorders>
              <w:top w:val="single" w:sz="12" w:space="0" w:color="auto"/>
              <w:left w:val="nil"/>
              <w:bottom w:val="single" w:sz="12" w:space="0" w:color="auto"/>
              <w:right w:val="single" w:sz="12" w:space="0" w:color="auto"/>
            </w:tcBorders>
          </w:tcPr>
          <w:p w14:paraId="2FBC1810" w14:textId="2E656BAA" w:rsidR="006D199F" w:rsidRPr="00674896" w:rsidRDefault="006D199F" w:rsidP="009A2373">
            <w:pPr>
              <w:jc w:val="right"/>
              <w:rPr>
                <w:sz w:val="20"/>
              </w:rPr>
            </w:pPr>
            <w:r w:rsidRPr="00674896">
              <w:rPr>
                <w:b/>
                <w:sz w:val="20"/>
              </w:rPr>
              <w:t>74%</w:t>
            </w:r>
            <w:r w:rsidR="00B73561" w:rsidRPr="00674896">
              <w:rPr>
                <w:sz w:val="20"/>
              </w:rPr>
              <w:t xml:space="preserve"> </w:t>
            </w:r>
            <w:r w:rsidR="00B73561" w:rsidRPr="00674896">
              <w:rPr>
                <w:color w:val="FF0000"/>
                <w:sz w:val="20"/>
              </w:rPr>
              <w:t>(67%)</w:t>
            </w:r>
          </w:p>
        </w:tc>
        <w:tc>
          <w:tcPr>
            <w:tcW w:w="291" w:type="pct"/>
            <w:tcBorders>
              <w:top w:val="nil"/>
              <w:left w:val="nil"/>
              <w:bottom w:val="nil"/>
              <w:right w:val="nil"/>
            </w:tcBorders>
          </w:tcPr>
          <w:p w14:paraId="5DF3FAF2" w14:textId="77777777" w:rsidR="006D199F" w:rsidRPr="00674896" w:rsidRDefault="006D199F" w:rsidP="00A52AEE">
            <w:pPr>
              <w:rPr>
                <w:sz w:val="20"/>
              </w:rPr>
            </w:pPr>
            <w:r w:rsidRPr="00674896">
              <w:rPr>
                <w:noProof/>
                <w:sz w:val="20"/>
                <w:lang w:eastAsia="en-GB"/>
              </w:rPr>
              <mc:AlternateContent>
                <mc:Choice Requires="wps">
                  <w:drawing>
                    <wp:anchor distT="0" distB="0" distL="114300" distR="114300" simplePos="0" relativeHeight="251652096" behindDoc="0" locked="0" layoutInCell="1" allowOverlap="1" wp14:anchorId="2B578112" wp14:editId="5CC4C9E5">
                      <wp:simplePos x="0" y="0"/>
                      <wp:positionH relativeFrom="column">
                        <wp:posOffset>10160</wp:posOffset>
                      </wp:positionH>
                      <wp:positionV relativeFrom="paragraph">
                        <wp:posOffset>-2540</wp:posOffset>
                      </wp:positionV>
                      <wp:extent cx="342900" cy="85725"/>
                      <wp:effectExtent l="19050" t="76200" r="0" b="47625"/>
                      <wp:wrapNone/>
                      <wp:docPr id="46" name="Straight Arrow Connector 46"/>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791DEC" id="Straight Arrow Connector 46" o:spid="_x0000_s1026" type="#_x0000_t32" style="position:absolute;margin-left:.8pt;margin-top:-.2pt;width:27pt;height:6.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" strokecolor="#4a7ebb" strokeweight="2.25pt">
                      <v:stroke endarrow="block"/>
                    </v:shape>
                  </w:pict>
                </mc:Fallback>
              </mc:AlternateContent>
            </w: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73EF0DA6" w14:textId="77777777" w:rsidR="006D199F" w:rsidRPr="00674896" w:rsidRDefault="006D199F" w:rsidP="00A52AEE">
            <w:pPr>
              <w:rPr>
                <w:sz w:val="20"/>
              </w:rPr>
            </w:pPr>
            <w:r w:rsidRPr="00674896">
              <w:rPr>
                <w:sz w:val="20"/>
              </w:rPr>
              <w:t>HNC/HND/NVQ</w:t>
            </w:r>
          </w:p>
        </w:tc>
        <w:tc>
          <w:tcPr>
            <w:tcW w:w="291" w:type="pct"/>
            <w:tcBorders>
              <w:top w:val="nil"/>
              <w:left w:val="nil"/>
              <w:bottom w:val="single" w:sz="12" w:space="0" w:color="auto"/>
              <w:right w:val="single" w:sz="12" w:space="0" w:color="auto"/>
            </w:tcBorders>
          </w:tcPr>
          <w:p w14:paraId="34EB7D2F" w14:textId="77777777" w:rsidR="006D199F" w:rsidRPr="00674896" w:rsidRDefault="006D199F" w:rsidP="009A2373">
            <w:pPr>
              <w:jc w:val="right"/>
              <w:rPr>
                <w:sz w:val="20"/>
              </w:rPr>
            </w:pPr>
            <w:r w:rsidRPr="00674896">
              <w:rPr>
                <w:sz w:val="20"/>
              </w:rPr>
              <w:t>0%</w:t>
            </w:r>
          </w:p>
        </w:tc>
        <w:tc>
          <w:tcPr>
            <w:tcW w:w="293" w:type="pct"/>
            <w:tcBorders>
              <w:top w:val="nil"/>
              <w:left w:val="nil"/>
              <w:bottom w:val="nil"/>
              <w:right w:val="nil"/>
            </w:tcBorders>
          </w:tcPr>
          <w:p w14:paraId="492E52DC" w14:textId="77777777" w:rsidR="006D199F" w:rsidRPr="00674896" w:rsidRDefault="006D199F"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112D9326" w14:textId="77777777" w:rsidR="006D199F" w:rsidRPr="00674896" w:rsidRDefault="006D199F" w:rsidP="00A52AEE">
            <w:pPr>
              <w:rPr>
                <w:sz w:val="20"/>
              </w:rPr>
            </w:pPr>
            <w:r w:rsidRPr="00674896">
              <w:rPr>
                <w:sz w:val="20"/>
              </w:rPr>
              <w:t>HE in FE</w:t>
            </w:r>
          </w:p>
        </w:tc>
        <w:tc>
          <w:tcPr>
            <w:tcW w:w="277" w:type="pct"/>
            <w:tcBorders>
              <w:top w:val="nil"/>
              <w:left w:val="nil"/>
              <w:bottom w:val="single" w:sz="12" w:space="0" w:color="auto"/>
              <w:right w:val="single" w:sz="12" w:space="0" w:color="auto"/>
            </w:tcBorders>
          </w:tcPr>
          <w:p w14:paraId="1C72C863" w14:textId="52383607" w:rsidR="006D199F" w:rsidRPr="00674896" w:rsidRDefault="00120700" w:rsidP="009A2373">
            <w:pPr>
              <w:jc w:val="right"/>
              <w:rPr>
                <w:sz w:val="20"/>
              </w:rPr>
            </w:pPr>
            <w:r w:rsidRPr="00674896">
              <w:rPr>
                <w:sz w:val="20"/>
              </w:rPr>
              <w:t>5</w:t>
            </w:r>
            <w:r w:rsidR="006D199F" w:rsidRPr="00674896">
              <w:rPr>
                <w:sz w:val="20"/>
              </w:rPr>
              <w:t>%</w:t>
            </w:r>
          </w:p>
        </w:tc>
      </w:tr>
      <w:tr w:rsidR="00DF759E" w:rsidRPr="00674896" w14:paraId="34362E6C" w14:textId="77777777" w:rsidTr="00B73561">
        <w:trPr>
          <w:trHeight w:val="305"/>
        </w:trPr>
        <w:tc>
          <w:tcPr>
            <w:tcW w:w="622" w:type="pct"/>
            <w:tcBorders>
              <w:top w:val="nil"/>
              <w:left w:val="nil"/>
              <w:bottom w:val="nil"/>
              <w:right w:val="nil"/>
            </w:tcBorders>
          </w:tcPr>
          <w:p w14:paraId="58329717" w14:textId="77777777" w:rsidR="006D199F" w:rsidRPr="00674896" w:rsidRDefault="006D199F" w:rsidP="00A52AEE">
            <w:pPr>
              <w:rPr>
                <w:sz w:val="20"/>
              </w:rPr>
            </w:pPr>
          </w:p>
        </w:tc>
        <w:tc>
          <w:tcPr>
            <w:tcW w:w="337" w:type="pct"/>
            <w:tcBorders>
              <w:top w:val="nil"/>
              <w:left w:val="nil"/>
              <w:bottom w:val="nil"/>
              <w:right w:val="nil"/>
            </w:tcBorders>
          </w:tcPr>
          <w:p w14:paraId="27DB2E8A" w14:textId="77777777" w:rsidR="006D199F" w:rsidRPr="00674896" w:rsidRDefault="006D199F" w:rsidP="00A52AEE">
            <w:pPr>
              <w:rPr>
                <w:sz w:val="20"/>
              </w:rPr>
            </w:pPr>
          </w:p>
        </w:tc>
        <w:tc>
          <w:tcPr>
            <w:tcW w:w="546" w:type="pct"/>
            <w:tcBorders>
              <w:top w:val="nil"/>
              <w:left w:val="nil"/>
              <w:bottom w:val="single" w:sz="12" w:space="0" w:color="auto"/>
              <w:right w:val="nil"/>
            </w:tcBorders>
          </w:tcPr>
          <w:p w14:paraId="1E952E2A" w14:textId="77777777" w:rsidR="006D199F" w:rsidRPr="00674896" w:rsidRDefault="006D199F" w:rsidP="00A52AEE">
            <w:pPr>
              <w:rPr>
                <w:sz w:val="20"/>
              </w:rPr>
            </w:pPr>
          </w:p>
        </w:tc>
        <w:tc>
          <w:tcPr>
            <w:tcW w:w="586" w:type="pct"/>
            <w:tcBorders>
              <w:top w:val="nil"/>
              <w:left w:val="nil"/>
              <w:bottom w:val="single" w:sz="12" w:space="0" w:color="auto"/>
              <w:right w:val="nil"/>
            </w:tcBorders>
          </w:tcPr>
          <w:p w14:paraId="5C18C66A" w14:textId="77777777" w:rsidR="006D199F" w:rsidRPr="00674896" w:rsidRDefault="006D199F" w:rsidP="009A2373">
            <w:pPr>
              <w:jc w:val="right"/>
              <w:rPr>
                <w:sz w:val="20"/>
              </w:rPr>
            </w:pPr>
          </w:p>
        </w:tc>
        <w:tc>
          <w:tcPr>
            <w:tcW w:w="291" w:type="pct"/>
            <w:tcBorders>
              <w:top w:val="nil"/>
              <w:left w:val="nil"/>
              <w:bottom w:val="nil"/>
              <w:right w:val="nil"/>
            </w:tcBorders>
          </w:tcPr>
          <w:p w14:paraId="3D80C373" w14:textId="77777777" w:rsidR="006D199F" w:rsidRPr="00674896" w:rsidRDefault="006D199F"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0FD6DEAF" w14:textId="77777777" w:rsidR="006D199F" w:rsidRPr="00674896" w:rsidRDefault="006D199F" w:rsidP="00A52AEE">
            <w:pPr>
              <w:rPr>
                <w:sz w:val="20"/>
              </w:rPr>
            </w:pPr>
            <w:r w:rsidRPr="00674896">
              <w:rPr>
                <w:sz w:val="20"/>
              </w:rPr>
              <w:t>Other undergraduate</w:t>
            </w:r>
          </w:p>
        </w:tc>
        <w:tc>
          <w:tcPr>
            <w:tcW w:w="291" w:type="pct"/>
            <w:tcBorders>
              <w:top w:val="nil"/>
              <w:left w:val="nil"/>
              <w:bottom w:val="single" w:sz="12" w:space="0" w:color="auto"/>
              <w:right w:val="single" w:sz="12" w:space="0" w:color="auto"/>
            </w:tcBorders>
          </w:tcPr>
          <w:p w14:paraId="41299320" w14:textId="6B55B065" w:rsidR="006D199F" w:rsidRPr="00674896" w:rsidRDefault="00811E3A" w:rsidP="009A2373">
            <w:pPr>
              <w:jc w:val="right"/>
              <w:rPr>
                <w:sz w:val="20"/>
              </w:rPr>
            </w:pPr>
            <w:r w:rsidRPr="00674896">
              <w:rPr>
                <w:sz w:val="20"/>
              </w:rPr>
              <w:t>1</w:t>
            </w:r>
            <w:r w:rsidR="006D199F" w:rsidRPr="00674896">
              <w:rPr>
                <w:sz w:val="20"/>
              </w:rPr>
              <w:t>%</w:t>
            </w:r>
          </w:p>
        </w:tc>
        <w:tc>
          <w:tcPr>
            <w:tcW w:w="293" w:type="pct"/>
            <w:tcBorders>
              <w:top w:val="nil"/>
              <w:left w:val="nil"/>
              <w:bottom w:val="nil"/>
              <w:right w:val="nil"/>
            </w:tcBorders>
          </w:tcPr>
          <w:p w14:paraId="72FE0B43" w14:textId="77777777" w:rsidR="006D199F" w:rsidRPr="00674896" w:rsidRDefault="006D199F" w:rsidP="00A52AEE">
            <w:pPr>
              <w:rPr>
                <w:sz w:val="20"/>
              </w:rPr>
            </w:pPr>
          </w:p>
        </w:tc>
        <w:tc>
          <w:tcPr>
            <w:tcW w:w="731" w:type="pct"/>
            <w:tcBorders>
              <w:top w:val="nil"/>
              <w:left w:val="nil"/>
              <w:bottom w:val="nil"/>
              <w:right w:val="nil"/>
            </w:tcBorders>
          </w:tcPr>
          <w:p w14:paraId="170304F9" w14:textId="77777777" w:rsidR="006D199F" w:rsidRPr="00674896" w:rsidRDefault="006D199F" w:rsidP="00A52AEE">
            <w:pPr>
              <w:rPr>
                <w:sz w:val="20"/>
              </w:rPr>
            </w:pPr>
          </w:p>
        </w:tc>
        <w:tc>
          <w:tcPr>
            <w:tcW w:w="277" w:type="pct"/>
            <w:tcBorders>
              <w:top w:val="nil"/>
              <w:left w:val="nil"/>
              <w:bottom w:val="nil"/>
              <w:right w:val="nil"/>
            </w:tcBorders>
          </w:tcPr>
          <w:p w14:paraId="69E29334" w14:textId="77777777" w:rsidR="006D199F" w:rsidRPr="00674896" w:rsidRDefault="006D199F" w:rsidP="009A2373">
            <w:pPr>
              <w:jc w:val="right"/>
              <w:rPr>
                <w:sz w:val="20"/>
              </w:rPr>
            </w:pPr>
          </w:p>
        </w:tc>
      </w:tr>
      <w:tr w:rsidR="00DF759E" w:rsidRPr="00674896" w14:paraId="42570895" w14:textId="77777777" w:rsidTr="00B73561">
        <w:trPr>
          <w:trHeight w:val="305"/>
        </w:trPr>
        <w:tc>
          <w:tcPr>
            <w:tcW w:w="622" w:type="pct"/>
            <w:tcBorders>
              <w:top w:val="nil"/>
              <w:left w:val="nil"/>
              <w:bottom w:val="nil"/>
              <w:right w:val="nil"/>
            </w:tcBorders>
          </w:tcPr>
          <w:p w14:paraId="1D9FBABB" w14:textId="77777777" w:rsidR="00811E3A" w:rsidRPr="00674896" w:rsidRDefault="00811E3A" w:rsidP="00A52AEE">
            <w:pPr>
              <w:rPr>
                <w:sz w:val="20"/>
              </w:rPr>
            </w:pPr>
          </w:p>
        </w:tc>
        <w:tc>
          <w:tcPr>
            <w:tcW w:w="337" w:type="pct"/>
            <w:tcBorders>
              <w:top w:val="nil"/>
              <w:left w:val="nil"/>
              <w:right w:val="nil"/>
            </w:tcBorders>
          </w:tcPr>
          <w:p w14:paraId="13CB5514" w14:textId="77777777" w:rsidR="00811E3A" w:rsidRPr="00674896" w:rsidRDefault="00811E3A" w:rsidP="00A52AEE">
            <w:pPr>
              <w:rPr>
                <w:sz w:val="20"/>
              </w:rPr>
            </w:pPr>
          </w:p>
        </w:tc>
        <w:tc>
          <w:tcPr>
            <w:tcW w:w="546" w:type="pct"/>
            <w:tcBorders>
              <w:top w:val="single" w:sz="12" w:space="0" w:color="auto"/>
              <w:left w:val="single" w:sz="12" w:space="0" w:color="auto"/>
              <w:bottom w:val="single" w:sz="4" w:space="0" w:color="auto"/>
              <w:right w:val="single" w:sz="12" w:space="0" w:color="auto"/>
            </w:tcBorders>
          </w:tcPr>
          <w:p w14:paraId="7A8B9C21" w14:textId="77777777" w:rsidR="00811E3A" w:rsidRPr="00674896" w:rsidRDefault="00811E3A" w:rsidP="00A52AEE">
            <w:pPr>
              <w:rPr>
                <w:sz w:val="20"/>
              </w:rPr>
            </w:pPr>
            <w:r w:rsidRPr="00674896">
              <w:rPr>
                <w:sz w:val="20"/>
              </w:rPr>
              <w:t>Not to HE</w:t>
            </w:r>
          </w:p>
        </w:tc>
        <w:tc>
          <w:tcPr>
            <w:tcW w:w="586" w:type="pct"/>
            <w:tcBorders>
              <w:top w:val="single" w:sz="12" w:space="0" w:color="auto"/>
              <w:left w:val="nil"/>
              <w:bottom w:val="single" w:sz="4" w:space="0" w:color="auto"/>
              <w:right w:val="single" w:sz="12" w:space="0" w:color="auto"/>
            </w:tcBorders>
          </w:tcPr>
          <w:p w14:paraId="58F1A336" w14:textId="1A9A9356" w:rsidR="00811E3A" w:rsidRPr="00674896" w:rsidRDefault="00811E3A" w:rsidP="009A2373">
            <w:pPr>
              <w:jc w:val="right"/>
              <w:rPr>
                <w:sz w:val="20"/>
              </w:rPr>
            </w:pPr>
            <w:r w:rsidRPr="00674896">
              <w:rPr>
                <w:sz w:val="20"/>
              </w:rPr>
              <w:t>26%</w:t>
            </w:r>
          </w:p>
        </w:tc>
        <w:tc>
          <w:tcPr>
            <w:tcW w:w="291" w:type="pct"/>
            <w:tcBorders>
              <w:top w:val="nil"/>
              <w:left w:val="nil"/>
              <w:bottom w:val="nil"/>
              <w:right w:val="nil"/>
            </w:tcBorders>
          </w:tcPr>
          <w:p w14:paraId="490F26F5" w14:textId="77777777" w:rsidR="00811E3A" w:rsidRPr="00674896" w:rsidRDefault="00811E3A" w:rsidP="00A52AEE">
            <w:pPr>
              <w:rPr>
                <w:sz w:val="20"/>
              </w:rPr>
            </w:pPr>
          </w:p>
        </w:tc>
        <w:tc>
          <w:tcPr>
            <w:tcW w:w="1026" w:type="pct"/>
            <w:tcBorders>
              <w:top w:val="nil"/>
              <w:left w:val="nil"/>
              <w:bottom w:val="nil"/>
              <w:right w:val="nil"/>
            </w:tcBorders>
          </w:tcPr>
          <w:p w14:paraId="655664C3" w14:textId="77777777" w:rsidR="00811E3A" w:rsidRPr="00674896" w:rsidRDefault="00811E3A" w:rsidP="00A52AEE">
            <w:pPr>
              <w:rPr>
                <w:sz w:val="20"/>
              </w:rPr>
            </w:pPr>
          </w:p>
        </w:tc>
        <w:tc>
          <w:tcPr>
            <w:tcW w:w="291" w:type="pct"/>
            <w:tcBorders>
              <w:top w:val="nil"/>
              <w:left w:val="nil"/>
              <w:bottom w:val="nil"/>
              <w:right w:val="nil"/>
            </w:tcBorders>
          </w:tcPr>
          <w:p w14:paraId="3E646BED" w14:textId="77777777" w:rsidR="00811E3A" w:rsidRPr="00674896" w:rsidRDefault="00811E3A" w:rsidP="009A2373">
            <w:pPr>
              <w:jc w:val="right"/>
              <w:rPr>
                <w:sz w:val="20"/>
              </w:rPr>
            </w:pPr>
          </w:p>
        </w:tc>
        <w:tc>
          <w:tcPr>
            <w:tcW w:w="293" w:type="pct"/>
            <w:tcBorders>
              <w:top w:val="nil"/>
              <w:left w:val="nil"/>
              <w:bottom w:val="nil"/>
              <w:right w:val="nil"/>
            </w:tcBorders>
          </w:tcPr>
          <w:p w14:paraId="2D8D29D5" w14:textId="77777777" w:rsidR="00811E3A" w:rsidRPr="00674896" w:rsidRDefault="00811E3A" w:rsidP="00A52AEE">
            <w:pPr>
              <w:rPr>
                <w:sz w:val="20"/>
              </w:rPr>
            </w:pPr>
          </w:p>
        </w:tc>
        <w:tc>
          <w:tcPr>
            <w:tcW w:w="731" w:type="pct"/>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1B8A95D7" w14:textId="783BC75D" w:rsidR="00811E3A" w:rsidRPr="00674896" w:rsidRDefault="00811E3A" w:rsidP="00A52AEE">
            <w:pPr>
              <w:rPr>
                <w:sz w:val="20"/>
              </w:rPr>
            </w:pPr>
            <w:r w:rsidRPr="00674896">
              <w:rPr>
                <w:sz w:val="20"/>
              </w:rPr>
              <w:t>Russell Group</w:t>
            </w:r>
          </w:p>
        </w:tc>
        <w:tc>
          <w:tcPr>
            <w:tcW w:w="277" w:type="pct"/>
            <w:tcBorders>
              <w:top w:val="single" w:sz="4" w:space="0" w:color="auto"/>
              <w:left w:val="nil"/>
              <w:bottom w:val="single" w:sz="12" w:space="0" w:color="auto"/>
              <w:right w:val="single" w:sz="12" w:space="0" w:color="auto"/>
            </w:tcBorders>
          </w:tcPr>
          <w:p w14:paraId="2EA31B32" w14:textId="51B0D186" w:rsidR="00811E3A" w:rsidRPr="00674896" w:rsidRDefault="00120700" w:rsidP="009A2373">
            <w:pPr>
              <w:jc w:val="right"/>
              <w:rPr>
                <w:sz w:val="20"/>
              </w:rPr>
            </w:pPr>
            <w:r w:rsidRPr="00674896">
              <w:rPr>
                <w:sz w:val="20"/>
              </w:rPr>
              <w:t>0%</w:t>
            </w:r>
          </w:p>
        </w:tc>
      </w:tr>
      <w:tr w:rsidR="00DF759E" w:rsidRPr="00674896" w14:paraId="6031C935" w14:textId="77777777" w:rsidTr="00B73561">
        <w:trPr>
          <w:trHeight w:val="305"/>
        </w:trPr>
        <w:tc>
          <w:tcPr>
            <w:tcW w:w="622" w:type="pct"/>
            <w:tcBorders>
              <w:top w:val="nil"/>
              <w:left w:val="nil"/>
              <w:bottom w:val="single" w:sz="4" w:space="0" w:color="auto"/>
              <w:right w:val="nil"/>
            </w:tcBorders>
          </w:tcPr>
          <w:p w14:paraId="237675DC" w14:textId="77777777" w:rsidR="00811E3A" w:rsidRPr="00674896" w:rsidRDefault="00811E3A" w:rsidP="00A52AEE">
            <w:pPr>
              <w:rPr>
                <w:sz w:val="20"/>
              </w:rPr>
            </w:pPr>
          </w:p>
        </w:tc>
        <w:tc>
          <w:tcPr>
            <w:tcW w:w="337" w:type="pct"/>
            <w:tcBorders>
              <w:left w:val="nil"/>
            </w:tcBorders>
          </w:tcPr>
          <w:p w14:paraId="129446DA" w14:textId="77777777" w:rsidR="00811E3A" w:rsidRPr="00674896" w:rsidRDefault="00811E3A" w:rsidP="00A52AEE">
            <w:pPr>
              <w:rPr>
                <w:sz w:val="20"/>
              </w:rPr>
            </w:pPr>
          </w:p>
        </w:tc>
        <w:tc>
          <w:tcPr>
            <w:tcW w:w="546" w:type="pct"/>
            <w:tcBorders>
              <w:top w:val="single" w:sz="4" w:space="0" w:color="auto"/>
              <w:bottom w:val="single" w:sz="4" w:space="0" w:color="auto"/>
            </w:tcBorders>
          </w:tcPr>
          <w:p w14:paraId="5D6EC913" w14:textId="77777777" w:rsidR="00811E3A" w:rsidRPr="00674896" w:rsidRDefault="00811E3A" w:rsidP="00A52AEE">
            <w:pPr>
              <w:rPr>
                <w:sz w:val="20"/>
              </w:rPr>
            </w:pPr>
          </w:p>
        </w:tc>
        <w:tc>
          <w:tcPr>
            <w:tcW w:w="586" w:type="pct"/>
            <w:tcBorders>
              <w:top w:val="single" w:sz="4" w:space="0" w:color="auto"/>
              <w:bottom w:val="single" w:sz="4" w:space="0" w:color="auto"/>
            </w:tcBorders>
          </w:tcPr>
          <w:p w14:paraId="7E24BA5C" w14:textId="77777777" w:rsidR="00811E3A" w:rsidRPr="00674896" w:rsidRDefault="00811E3A" w:rsidP="009A2373">
            <w:pPr>
              <w:jc w:val="right"/>
              <w:rPr>
                <w:sz w:val="20"/>
              </w:rPr>
            </w:pPr>
          </w:p>
        </w:tc>
        <w:tc>
          <w:tcPr>
            <w:tcW w:w="291" w:type="pct"/>
            <w:tcBorders>
              <w:top w:val="nil"/>
              <w:left w:val="nil"/>
              <w:bottom w:val="nil"/>
              <w:right w:val="nil"/>
            </w:tcBorders>
          </w:tcPr>
          <w:p w14:paraId="620E612B" w14:textId="77777777" w:rsidR="00811E3A" w:rsidRPr="00674896" w:rsidRDefault="00811E3A" w:rsidP="00A52AEE">
            <w:pPr>
              <w:rPr>
                <w:sz w:val="20"/>
              </w:rPr>
            </w:pPr>
          </w:p>
        </w:tc>
        <w:tc>
          <w:tcPr>
            <w:tcW w:w="102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CB2914D" w14:textId="0CCE73CE" w:rsidR="00811E3A" w:rsidRPr="00674896" w:rsidRDefault="00811E3A" w:rsidP="00A52AEE">
            <w:pPr>
              <w:rPr>
                <w:sz w:val="20"/>
              </w:rPr>
            </w:pPr>
            <w:r w:rsidRPr="00674896">
              <w:rPr>
                <w:sz w:val="20"/>
              </w:rPr>
              <w:t>First degree</w:t>
            </w:r>
          </w:p>
        </w:tc>
        <w:tc>
          <w:tcPr>
            <w:tcW w:w="291" w:type="pct"/>
            <w:tcBorders>
              <w:top w:val="single" w:sz="12" w:space="0" w:color="auto"/>
              <w:left w:val="nil"/>
              <w:bottom w:val="single" w:sz="12" w:space="0" w:color="auto"/>
              <w:right w:val="single" w:sz="12" w:space="0" w:color="auto"/>
            </w:tcBorders>
          </w:tcPr>
          <w:p w14:paraId="497D1947" w14:textId="515CF226" w:rsidR="00811E3A" w:rsidRPr="00674896" w:rsidRDefault="00811E3A" w:rsidP="009A2373">
            <w:pPr>
              <w:jc w:val="right"/>
              <w:rPr>
                <w:sz w:val="20"/>
              </w:rPr>
            </w:pPr>
            <w:r w:rsidRPr="00674896">
              <w:rPr>
                <w:sz w:val="20"/>
              </w:rPr>
              <w:t>2%</w:t>
            </w:r>
          </w:p>
        </w:tc>
        <w:tc>
          <w:tcPr>
            <w:tcW w:w="293" w:type="pct"/>
            <w:tcBorders>
              <w:top w:val="nil"/>
              <w:left w:val="nil"/>
              <w:bottom w:val="nil"/>
              <w:right w:val="nil"/>
            </w:tcBorders>
          </w:tcPr>
          <w:p w14:paraId="5F3F9E9E" w14:textId="77777777" w:rsidR="00811E3A" w:rsidRPr="00674896" w:rsidRDefault="00811E3A"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6B50DD5" w14:textId="7604E595" w:rsidR="00811E3A" w:rsidRPr="00674896" w:rsidRDefault="00811E3A" w:rsidP="00A52AEE">
            <w:pPr>
              <w:rPr>
                <w:sz w:val="20"/>
              </w:rPr>
            </w:pPr>
            <w:r w:rsidRPr="00674896">
              <w:rPr>
                <w:sz w:val="20"/>
              </w:rPr>
              <w:t>Old University</w:t>
            </w:r>
          </w:p>
        </w:tc>
        <w:tc>
          <w:tcPr>
            <w:tcW w:w="277" w:type="pct"/>
            <w:tcBorders>
              <w:top w:val="nil"/>
              <w:left w:val="nil"/>
              <w:bottom w:val="single" w:sz="12" w:space="0" w:color="auto"/>
              <w:right w:val="single" w:sz="12" w:space="0" w:color="auto"/>
            </w:tcBorders>
          </w:tcPr>
          <w:p w14:paraId="0AE07694" w14:textId="0762EB42" w:rsidR="00811E3A" w:rsidRPr="00674896" w:rsidRDefault="00120700" w:rsidP="009A2373">
            <w:pPr>
              <w:jc w:val="right"/>
              <w:rPr>
                <w:sz w:val="20"/>
              </w:rPr>
            </w:pPr>
            <w:r w:rsidRPr="00674896">
              <w:rPr>
                <w:sz w:val="20"/>
              </w:rPr>
              <w:t>0%</w:t>
            </w:r>
          </w:p>
        </w:tc>
      </w:tr>
      <w:tr w:rsidR="00DF759E" w:rsidRPr="00674896" w14:paraId="02FFA666" w14:textId="77777777" w:rsidTr="00B73561">
        <w:trPr>
          <w:trHeight w:val="305"/>
        </w:trPr>
        <w:tc>
          <w:tcPr>
            <w:tcW w:w="62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DD32507" w14:textId="25BF4A49" w:rsidR="00811E3A" w:rsidRPr="00CC757B" w:rsidRDefault="00811E3A" w:rsidP="00A52AEE">
            <w:pPr>
              <w:rPr>
                <w:b/>
                <w:sz w:val="20"/>
              </w:rPr>
            </w:pPr>
            <w:r w:rsidRPr="00CC757B">
              <w:rPr>
                <w:b/>
                <w:color w:val="FFFFFF" w:themeColor="background1"/>
                <w:sz w:val="22"/>
              </w:rPr>
              <w:t>NVQ</w:t>
            </w:r>
          </w:p>
        </w:tc>
        <w:tc>
          <w:tcPr>
            <w:tcW w:w="337" w:type="pct"/>
            <w:tcBorders>
              <w:left w:val="single" w:sz="4" w:space="0" w:color="auto"/>
              <w:right w:val="single" w:sz="4" w:space="0" w:color="auto"/>
            </w:tcBorders>
          </w:tcPr>
          <w:p w14:paraId="08405F67" w14:textId="6528C008" w:rsidR="00811E3A" w:rsidRPr="00674896" w:rsidRDefault="00811E3A" w:rsidP="00A52AEE">
            <w:pPr>
              <w:rPr>
                <w:sz w:val="20"/>
              </w:rPr>
            </w:pPr>
            <w:r w:rsidRPr="00674896">
              <w:rPr>
                <w:noProof/>
                <w:sz w:val="20"/>
                <w:lang w:eastAsia="en-GB"/>
              </w:rPr>
              <mc:AlternateContent>
                <mc:Choice Requires="wps">
                  <w:drawing>
                    <wp:anchor distT="0" distB="0" distL="114300" distR="114300" simplePos="0" relativeHeight="251655168" behindDoc="0" locked="0" layoutInCell="1" allowOverlap="1" wp14:anchorId="675BDB6E" wp14:editId="04823DD2">
                      <wp:simplePos x="0" y="0"/>
                      <wp:positionH relativeFrom="column">
                        <wp:posOffset>-19050</wp:posOffset>
                      </wp:positionH>
                      <wp:positionV relativeFrom="paragraph">
                        <wp:posOffset>79375</wp:posOffset>
                      </wp:positionV>
                      <wp:extent cx="342900" cy="85725"/>
                      <wp:effectExtent l="19050" t="76200" r="0" b="47625"/>
                      <wp:wrapNone/>
                      <wp:docPr id="9" name="Straight Arrow Connector 9"/>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9C94D8" id="Straight Arrow Connector 9" o:spid="_x0000_s1026" type="#_x0000_t32" style="position:absolute;margin-left:-1.5pt;margin-top:6.25pt;width:27pt;height:6.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" strokecolor="#4a7ebb" strokeweight="2.25pt">
                      <v:stroke endarrow="block"/>
                    </v:shape>
                  </w:pict>
                </mc:Fallback>
              </mc:AlternateContent>
            </w:r>
          </w:p>
        </w:tc>
        <w:tc>
          <w:tcPr>
            <w:tcW w:w="54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98AE70" w14:textId="584C5F65" w:rsidR="00811E3A" w:rsidRPr="00674896" w:rsidRDefault="00811E3A" w:rsidP="00A52AEE">
            <w:pPr>
              <w:rPr>
                <w:sz w:val="20"/>
              </w:rPr>
            </w:pPr>
            <w:r w:rsidRPr="00674896">
              <w:rPr>
                <w:sz w:val="20"/>
              </w:rPr>
              <w:t>To HE</w:t>
            </w:r>
          </w:p>
        </w:tc>
        <w:tc>
          <w:tcPr>
            <w:tcW w:w="586" w:type="pct"/>
            <w:tcBorders>
              <w:top w:val="single" w:sz="4" w:space="0" w:color="auto"/>
              <w:left w:val="single" w:sz="4" w:space="0" w:color="auto"/>
              <w:bottom w:val="single" w:sz="4" w:space="0" w:color="auto"/>
              <w:right w:val="single" w:sz="4" w:space="0" w:color="auto"/>
            </w:tcBorders>
          </w:tcPr>
          <w:p w14:paraId="0468C520" w14:textId="6E52916C" w:rsidR="00811E3A" w:rsidRPr="00674896" w:rsidRDefault="00811E3A" w:rsidP="009A2373">
            <w:pPr>
              <w:jc w:val="right"/>
              <w:rPr>
                <w:sz w:val="20"/>
              </w:rPr>
            </w:pPr>
            <w:r w:rsidRPr="00674896">
              <w:rPr>
                <w:sz w:val="20"/>
              </w:rPr>
              <w:t>9%</w:t>
            </w:r>
          </w:p>
        </w:tc>
        <w:tc>
          <w:tcPr>
            <w:tcW w:w="291" w:type="pct"/>
            <w:tcBorders>
              <w:top w:val="nil"/>
              <w:left w:val="single" w:sz="4" w:space="0" w:color="auto"/>
              <w:bottom w:val="nil"/>
              <w:right w:val="nil"/>
            </w:tcBorders>
          </w:tcPr>
          <w:p w14:paraId="425F0636" w14:textId="54C3FDA6" w:rsidR="00811E3A" w:rsidRPr="00674896" w:rsidRDefault="00811E3A" w:rsidP="00A52AEE">
            <w:pPr>
              <w:rPr>
                <w:sz w:val="20"/>
              </w:rPr>
            </w:pPr>
            <w:r w:rsidRPr="00674896">
              <w:rPr>
                <w:noProof/>
                <w:sz w:val="20"/>
                <w:lang w:eastAsia="en-GB"/>
              </w:rPr>
              <mc:AlternateContent>
                <mc:Choice Requires="wps">
                  <w:drawing>
                    <wp:anchor distT="0" distB="0" distL="114300" distR="114300" simplePos="0" relativeHeight="251659264" behindDoc="0" locked="0" layoutInCell="1" allowOverlap="1" wp14:anchorId="7DE699C6" wp14:editId="138A5CC9">
                      <wp:simplePos x="0" y="0"/>
                      <wp:positionH relativeFrom="column">
                        <wp:posOffset>-3175</wp:posOffset>
                      </wp:positionH>
                      <wp:positionV relativeFrom="paragraph">
                        <wp:posOffset>83820</wp:posOffset>
                      </wp:positionV>
                      <wp:extent cx="342900" cy="85725"/>
                      <wp:effectExtent l="19050" t="76200" r="0" b="47625"/>
                      <wp:wrapNone/>
                      <wp:docPr id="28" name="Straight Arrow Connector 28"/>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B3F36B" id="Straight Arrow Connector 28" o:spid="_x0000_s1026" type="#_x0000_t32" style="position:absolute;margin-left:-.25pt;margin-top:6.6pt;width:27pt;height: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" strokecolor="#4a7ebb" strokeweight="2.25pt">
                      <v:stroke endarrow="block"/>
                    </v:shape>
                  </w:pict>
                </mc:Fallback>
              </mc:AlternateContent>
            </w: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527E1830" w14:textId="3A69A346" w:rsidR="00811E3A" w:rsidRPr="00674896" w:rsidRDefault="00811E3A" w:rsidP="00A52AEE">
            <w:pPr>
              <w:rPr>
                <w:sz w:val="20"/>
              </w:rPr>
            </w:pPr>
            <w:r w:rsidRPr="00674896">
              <w:rPr>
                <w:sz w:val="20"/>
              </w:rPr>
              <w:t>Foundation degree</w:t>
            </w:r>
          </w:p>
        </w:tc>
        <w:tc>
          <w:tcPr>
            <w:tcW w:w="291" w:type="pct"/>
            <w:tcBorders>
              <w:top w:val="nil"/>
              <w:left w:val="nil"/>
              <w:bottom w:val="single" w:sz="12" w:space="0" w:color="auto"/>
              <w:right w:val="single" w:sz="12" w:space="0" w:color="auto"/>
            </w:tcBorders>
          </w:tcPr>
          <w:p w14:paraId="4A72C9B8" w14:textId="75C28587" w:rsidR="00811E3A" w:rsidRPr="00674896" w:rsidRDefault="00811E3A" w:rsidP="009A2373">
            <w:pPr>
              <w:jc w:val="right"/>
              <w:rPr>
                <w:sz w:val="20"/>
              </w:rPr>
            </w:pPr>
            <w:r w:rsidRPr="00674896">
              <w:rPr>
                <w:sz w:val="20"/>
              </w:rPr>
              <w:t>1%</w:t>
            </w:r>
          </w:p>
        </w:tc>
        <w:tc>
          <w:tcPr>
            <w:tcW w:w="293" w:type="pct"/>
            <w:tcBorders>
              <w:top w:val="nil"/>
              <w:left w:val="nil"/>
              <w:bottom w:val="nil"/>
              <w:right w:val="nil"/>
            </w:tcBorders>
          </w:tcPr>
          <w:p w14:paraId="30B18158" w14:textId="079F0AED" w:rsidR="00811E3A" w:rsidRPr="00674896" w:rsidRDefault="00811E3A" w:rsidP="00A52AEE">
            <w:pPr>
              <w:rPr>
                <w:sz w:val="20"/>
              </w:rPr>
            </w:pPr>
            <w:r w:rsidRPr="00674896">
              <w:rPr>
                <w:noProof/>
                <w:sz w:val="20"/>
                <w:lang w:eastAsia="en-GB"/>
              </w:rPr>
              <mc:AlternateContent>
                <mc:Choice Requires="wps">
                  <w:drawing>
                    <wp:anchor distT="0" distB="0" distL="114300" distR="114300" simplePos="0" relativeHeight="251661312" behindDoc="0" locked="0" layoutInCell="1" allowOverlap="1" wp14:anchorId="7B72CDF5" wp14:editId="3E16470A">
                      <wp:simplePos x="0" y="0"/>
                      <wp:positionH relativeFrom="column">
                        <wp:posOffset>-9525</wp:posOffset>
                      </wp:positionH>
                      <wp:positionV relativeFrom="paragraph">
                        <wp:posOffset>102870</wp:posOffset>
                      </wp:positionV>
                      <wp:extent cx="342900" cy="85725"/>
                      <wp:effectExtent l="19050" t="76200" r="0" b="47625"/>
                      <wp:wrapNone/>
                      <wp:docPr id="31" name="Straight Arrow Connector 31"/>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ED56A9" id="Straight Arrow Connector 31" o:spid="_x0000_s1026" type="#_x0000_t32" style="position:absolute;margin-left:-.75pt;margin-top:8.1pt;width:27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" strokecolor="#4a7ebb" strokeweight="2.25pt">
                      <v:stroke endarrow="block"/>
                    </v:shape>
                  </w:pict>
                </mc:Fallback>
              </mc:AlternateContent>
            </w: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4BBDD38" w14:textId="54EB9B3F" w:rsidR="00811E3A" w:rsidRPr="00674896" w:rsidRDefault="00811E3A" w:rsidP="00A52AEE">
            <w:pPr>
              <w:rPr>
                <w:sz w:val="20"/>
              </w:rPr>
            </w:pPr>
            <w:r w:rsidRPr="00674896">
              <w:rPr>
                <w:sz w:val="20"/>
              </w:rPr>
              <w:t>New University</w:t>
            </w:r>
          </w:p>
        </w:tc>
        <w:tc>
          <w:tcPr>
            <w:tcW w:w="277" w:type="pct"/>
            <w:tcBorders>
              <w:top w:val="nil"/>
              <w:left w:val="nil"/>
              <w:bottom w:val="single" w:sz="12" w:space="0" w:color="auto"/>
              <w:right w:val="single" w:sz="12" w:space="0" w:color="auto"/>
            </w:tcBorders>
          </w:tcPr>
          <w:p w14:paraId="5622756C" w14:textId="78E7F3D4" w:rsidR="00811E3A" w:rsidRPr="00674896" w:rsidRDefault="00120700" w:rsidP="009A2373">
            <w:pPr>
              <w:jc w:val="right"/>
              <w:rPr>
                <w:sz w:val="20"/>
              </w:rPr>
            </w:pPr>
            <w:r w:rsidRPr="00674896">
              <w:rPr>
                <w:sz w:val="20"/>
              </w:rPr>
              <w:t>2%</w:t>
            </w:r>
          </w:p>
        </w:tc>
      </w:tr>
      <w:tr w:rsidR="00DF759E" w:rsidRPr="00674896" w14:paraId="649B2A1D" w14:textId="77777777" w:rsidTr="00B73561">
        <w:trPr>
          <w:trHeight w:val="305"/>
        </w:trPr>
        <w:tc>
          <w:tcPr>
            <w:tcW w:w="622" w:type="pct"/>
            <w:tcBorders>
              <w:top w:val="single" w:sz="4" w:space="0" w:color="auto"/>
              <w:left w:val="nil"/>
              <w:bottom w:val="nil"/>
              <w:right w:val="nil"/>
            </w:tcBorders>
          </w:tcPr>
          <w:p w14:paraId="6141BF02" w14:textId="77777777" w:rsidR="00811E3A" w:rsidRPr="00674896" w:rsidRDefault="00811E3A" w:rsidP="00A52AEE">
            <w:pPr>
              <w:rPr>
                <w:sz w:val="20"/>
              </w:rPr>
            </w:pPr>
          </w:p>
        </w:tc>
        <w:tc>
          <w:tcPr>
            <w:tcW w:w="337" w:type="pct"/>
            <w:tcBorders>
              <w:left w:val="nil"/>
            </w:tcBorders>
          </w:tcPr>
          <w:p w14:paraId="3249A30B" w14:textId="5A0EA0EB" w:rsidR="00811E3A" w:rsidRPr="00674896" w:rsidRDefault="00811E3A" w:rsidP="00A52AEE">
            <w:pPr>
              <w:rPr>
                <w:sz w:val="20"/>
              </w:rPr>
            </w:pPr>
            <w:r w:rsidRPr="00674896">
              <w:rPr>
                <w:noProof/>
                <w:sz w:val="20"/>
                <w:lang w:eastAsia="en-GB"/>
              </w:rPr>
              <mc:AlternateContent>
                <mc:Choice Requires="wps">
                  <w:drawing>
                    <wp:anchor distT="0" distB="0" distL="114300" distR="114300" simplePos="0" relativeHeight="251657216" behindDoc="0" locked="0" layoutInCell="1" allowOverlap="1" wp14:anchorId="7E40431D" wp14:editId="77B01110">
                      <wp:simplePos x="0" y="0"/>
                      <wp:positionH relativeFrom="column">
                        <wp:posOffset>-19050</wp:posOffset>
                      </wp:positionH>
                      <wp:positionV relativeFrom="paragraph">
                        <wp:posOffset>24765</wp:posOffset>
                      </wp:positionV>
                      <wp:extent cx="333375" cy="238125"/>
                      <wp:effectExtent l="19050" t="19050" r="66675" b="47625"/>
                      <wp:wrapNone/>
                      <wp:docPr id="21" name="Straight Arrow Connector 21"/>
                      <wp:cNvGraphicFramePr/>
                      <a:graphic xmlns:a="http://schemas.openxmlformats.org/drawingml/2006/main">
                        <a:graphicData uri="http://schemas.microsoft.com/office/word/2010/wordprocessingShape">
                          <wps:wsp>
                            <wps:cNvCnPr/>
                            <wps:spPr>
                              <a:xfrm>
                                <a:off x="0" y="0"/>
                                <a:ext cx="333375" cy="2381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6B1205" id="Straight Arrow Connector 21" o:spid="_x0000_s1026" type="#_x0000_t32" style="position:absolute;margin-left:-1.5pt;margin-top:1.95pt;width:26.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" strokecolor="#4a7ebb" strokeweight="2.25pt">
                      <v:stroke endarrow="block"/>
                    </v:shape>
                  </w:pict>
                </mc:Fallback>
              </mc:AlternateContent>
            </w:r>
          </w:p>
        </w:tc>
        <w:tc>
          <w:tcPr>
            <w:tcW w:w="546" w:type="pct"/>
            <w:tcBorders>
              <w:top w:val="single" w:sz="4" w:space="0" w:color="auto"/>
              <w:bottom w:val="single" w:sz="4" w:space="0" w:color="auto"/>
            </w:tcBorders>
          </w:tcPr>
          <w:p w14:paraId="4E00A560" w14:textId="77777777" w:rsidR="00811E3A" w:rsidRPr="00674896" w:rsidRDefault="00811E3A" w:rsidP="00A52AEE">
            <w:pPr>
              <w:rPr>
                <w:sz w:val="20"/>
              </w:rPr>
            </w:pPr>
          </w:p>
        </w:tc>
        <w:tc>
          <w:tcPr>
            <w:tcW w:w="586" w:type="pct"/>
            <w:tcBorders>
              <w:top w:val="single" w:sz="4" w:space="0" w:color="auto"/>
              <w:bottom w:val="single" w:sz="4" w:space="0" w:color="auto"/>
            </w:tcBorders>
          </w:tcPr>
          <w:p w14:paraId="09D53F8D" w14:textId="77777777" w:rsidR="00811E3A" w:rsidRPr="00674896" w:rsidRDefault="00811E3A" w:rsidP="009A2373">
            <w:pPr>
              <w:jc w:val="right"/>
              <w:rPr>
                <w:sz w:val="20"/>
              </w:rPr>
            </w:pPr>
          </w:p>
        </w:tc>
        <w:tc>
          <w:tcPr>
            <w:tcW w:w="291" w:type="pct"/>
            <w:tcBorders>
              <w:top w:val="nil"/>
              <w:left w:val="nil"/>
              <w:bottom w:val="nil"/>
              <w:right w:val="nil"/>
            </w:tcBorders>
          </w:tcPr>
          <w:p w14:paraId="54F3B85F" w14:textId="77777777" w:rsidR="00811E3A" w:rsidRPr="00674896" w:rsidRDefault="00811E3A"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24F4FE8A" w14:textId="60E91D0E" w:rsidR="00811E3A" w:rsidRPr="00674896" w:rsidRDefault="00811E3A" w:rsidP="00A52AEE">
            <w:pPr>
              <w:rPr>
                <w:sz w:val="20"/>
              </w:rPr>
            </w:pPr>
            <w:r w:rsidRPr="00674896">
              <w:rPr>
                <w:sz w:val="20"/>
              </w:rPr>
              <w:t>HNC/HND/NVQ</w:t>
            </w:r>
          </w:p>
        </w:tc>
        <w:tc>
          <w:tcPr>
            <w:tcW w:w="291" w:type="pct"/>
            <w:tcBorders>
              <w:top w:val="nil"/>
              <w:left w:val="nil"/>
              <w:bottom w:val="single" w:sz="12" w:space="0" w:color="auto"/>
              <w:right w:val="single" w:sz="12" w:space="0" w:color="auto"/>
            </w:tcBorders>
          </w:tcPr>
          <w:p w14:paraId="65D5A86E" w14:textId="42897132" w:rsidR="00811E3A" w:rsidRPr="00674896" w:rsidRDefault="00811E3A" w:rsidP="009A2373">
            <w:pPr>
              <w:jc w:val="right"/>
              <w:rPr>
                <w:sz w:val="20"/>
              </w:rPr>
            </w:pPr>
            <w:r w:rsidRPr="00674896">
              <w:rPr>
                <w:sz w:val="20"/>
              </w:rPr>
              <w:t>3%</w:t>
            </w:r>
          </w:p>
        </w:tc>
        <w:tc>
          <w:tcPr>
            <w:tcW w:w="293" w:type="pct"/>
            <w:tcBorders>
              <w:top w:val="nil"/>
              <w:left w:val="nil"/>
              <w:bottom w:val="nil"/>
              <w:right w:val="nil"/>
            </w:tcBorders>
          </w:tcPr>
          <w:p w14:paraId="50AB7BEC" w14:textId="77777777" w:rsidR="00811E3A" w:rsidRPr="00674896" w:rsidRDefault="00811E3A" w:rsidP="00A52AEE">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5DBDDF27" w14:textId="05FF56DB" w:rsidR="00811E3A" w:rsidRPr="00674896" w:rsidRDefault="00811E3A" w:rsidP="00A52AEE">
            <w:pPr>
              <w:rPr>
                <w:sz w:val="20"/>
              </w:rPr>
            </w:pPr>
            <w:r w:rsidRPr="00674896">
              <w:rPr>
                <w:sz w:val="20"/>
              </w:rPr>
              <w:t>HE in FE</w:t>
            </w:r>
          </w:p>
        </w:tc>
        <w:tc>
          <w:tcPr>
            <w:tcW w:w="277" w:type="pct"/>
            <w:tcBorders>
              <w:top w:val="nil"/>
              <w:left w:val="nil"/>
              <w:bottom w:val="single" w:sz="12" w:space="0" w:color="auto"/>
              <w:right w:val="single" w:sz="12" w:space="0" w:color="auto"/>
            </w:tcBorders>
          </w:tcPr>
          <w:p w14:paraId="5826D3E0" w14:textId="7581F656" w:rsidR="00811E3A" w:rsidRPr="00674896" w:rsidRDefault="00120700" w:rsidP="009A2373">
            <w:pPr>
              <w:jc w:val="right"/>
              <w:rPr>
                <w:sz w:val="20"/>
              </w:rPr>
            </w:pPr>
            <w:r w:rsidRPr="00674896">
              <w:rPr>
                <w:sz w:val="20"/>
              </w:rPr>
              <w:t>7%</w:t>
            </w:r>
          </w:p>
        </w:tc>
      </w:tr>
      <w:tr w:rsidR="00DF759E" w:rsidRPr="00674896" w14:paraId="57568B8F" w14:textId="77777777" w:rsidTr="00B73561">
        <w:trPr>
          <w:trHeight w:val="305"/>
        </w:trPr>
        <w:tc>
          <w:tcPr>
            <w:tcW w:w="622" w:type="pct"/>
            <w:tcBorders>
              <w:top w:val="nil"/>
              <w:left w:val="nil"/>
              <w:bottom w:val="nil"/>
              <w:right w:val="nil"/>
            </w:tcBorders>
          </w:tcPr>
          <w:p w14:paraId="0BC9FE12" w14:textId="77777777" w:rsidR="00811E3A" w:rsidRPr="00674896" w:rsidRDefault="00811E3A" w:rsidP="00A52AEE">
            <w:pPr>
              <w:rPr>
                <w:sz w:val="20"/>
              </w:rPr>
            </w:pPr>
          </w:p>
        </w:tc>
        <w:tc>
          <w:tcPr>
            <w:tcW w:w="337" w:type="pct"/>
            <w:tcBorders>
              <w:left w:val="nil"/>
              <w:right w:val="single" w:sz="4" w:space="0" w:color="auto"/>
            </w:tcBorders>
          </w:tcPr>
          <w:p w14:paraId="5F24A4E5" w14:textId="77777777" w:rsidR="00811E3A" w:rsidRPr="00674896" w:rsidRDefault="00811E3A" w:rsidP="00A52AEE">
            <w:pPr>
              <w:rPr>
                <w:sz w:val="20"/>
              </w:rPr>
            </w:pPr>
          </w:p>
        </w:tc>
        <w:tc>
          <w:tcPr>
            <w:tcW w:w="546" w:type="pct"/>
            <w:tcBorders>
              <w:top w:val="single" w:sz="4" w:space="0" w:color="auto"/>
              <w:left w:val="single" w:sz="4" w:space="0" w:color="auto"/>
              <w:bottom w:val="single" w:sz="4" w:space="0" w:color="auto"/>
              <w:right w:val="single" w:sz="4" w:space="0" w:color="auto"/>
            </w:tcBorders>
          </w:tcPr>
          <w:p w14:paraId="1BD6D36A" w14:textId="04F47891" w:rsidR="00811E3A" w:rsidRPr="00674896" w:rsidRDefault="00811E3A" w:rsidP="00A52AEE">
            <w:pPr>
              <w:rPr>
                <w:sz w:val="20"/>
              </w:rPr>
            </w:pPr>
            <w:r w:rsidRPr="00674896">
              <w:rPr>
                <w:sz w:val="20"/>
              </w:rPr>
              <w:t>Not to HE</w:t>
            </w:r>
          </w:p>
        </w:tc>
        <w:tc>
          <w:tcPr>
            <w:tcW w:w="586" w:type="pct"/>
            <w:tcBorders>
              <w:top w:val="single" w:sz="4" w:space="0" w:color="auto"/>
              <w:left w:val="single" w:sz="4" w:space="0" w:color="auto"/>
              <w:bottom w:val="single" w:sz="4" w:space="0" w:color="auto"/>
              <w:right w:val="single" w:sz="4" w:space="0" w:color="auto"/>
            </w:tcBorders>
          </w:tcPr>
          <w:p w14:paraId="1B794467" w14:textId="70A1D59E" w:rsidR="00811E3A" w:rsidRPr="00674896" w:rsidRDefault="00811E3A" w:rsidP="009A2373">
            <w:pPr>
              <w:jc w:val="right"/>
              <w:rPr>
                <w:sz w:val="20"/>
              </w:rPr>
            </w:pPr>
            <w:r w:rsidRPr="00674896">
              <w:rPr>
                <w:sz w:val="20"/>
              </w:rPr>
              <w:t>91%</w:t>
            </w:r>
          </w:p>
        </w:tc>
        <w:tc>
          <w:tcPr>
            <w:tcW w:w="291" w:type="pct"/>
            <w:tcBorders>
              <w:top w:val="nil"/>
              <w:left w:val="single" w:sz="4" w:space="0" w:color="auto"/>
              <w:bottom w:val="nil"/>
              <w:right w:val="nil"/>
            </w:tcBorders>
          </w:tcPr>
          <w:p w14:paraId="1641F46B" w14:textId="77777777" w:rsidR="00811E3A" w:rsidRPr="00674896" w:rsidRDefault="00811E3A" w:rsidP="00A52AEE">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7B4A6DE8" w14:textId="7F62090B" w:rsidR="00811E3A" w:rsidRPr="00674896" w:rsidRDefault="00811E3A" w:rsidP="00A52AEE">
            <w:pPr>
              <w:rPr>
                <w:sz w:val="20"/>
              </w:rPr>
            </w:pPr>
            <w:r w:rsidRPr="00674896">
              <w:rPr>
                <w:sz w:val="20"/>
              </w:rPr>
              <w:t>Other undergraduate</w:t>
            </w:r>
          </w:p>
        </w:tc>
        <w:tc>
          <w:tcPr>
            <w:tcW w:w="291" w:type="pct"/>
            <w:tcBorders>
              <w:top w:val="nil"/>
              <w:left w:val="nil"/>
              <w:bottom w:val="single" w:sz="12" w:space="0" w:color="auto"/>
              <w:right w:val="single" w:sz="12" w:space="0" w:color="auto"/>
            </w:tcBorders>
          </w:tcPr>
          <w:p w14:paraId="71675098" w14:textId="2DC86D66" w:rsidR="00811E3A" w:rsidRPr="00674896" w:rsidRDefault="00811E3A" w:rsidP="009A2373">
            <w:pPr>
              <w:jc w:val="right"/>
              <w:rPr>
                <w:sz w:val="20"/>
              </w:rPr>
            </w:pPr>
            <w:r w:rsidRPr="00674896">
              <w:rPr>
                <w:sz w:val="20"/>
              </w:rPr>
              <w:t>1%</w:t>
            </w:r>
          </w:p>
        </w:tc>
        <w:tc>
          <w:tcPr>
            <w:tcW w:w="293" w:type="pct"/>
            <w:tcBorders>
              <w:top w:val="nil"/>
              <w:left w:val="nil"/>
              <w:bottom w:val="nil"/>
            </w:tcBorders>
          </w:tcPr>
          <w:p w14:paraId="238BC60A" w14:textId="77777777" w:rsidR="00811E3A" w:rsidRPr="00674896" w:rsidRDefault="00811E3A" w:rsidP="00A52AEE">
            <w:pPr>
              <w:rPr>
                <w:sz w:val="20"/>
              </w:rPr>
            </w:pPr>
          </w:p>
        </w:tc>
        <w:tc>
          <w:tcPr>
            <w:tcW w:w="731" w:type="pct"/>
            <w:tcBorders>
              <w:top w:val="single" w:sz="4" w:space="0" w:color="auto"/>
              <w:bottom w:val="single" w:sz="4" w:space="0" w:color="auto"/>
            </w:tcBorders>
            <w:shd w:val="clear" w:color="auto" w:fill="DEEAF6" w:themeFill="accent1" w:themeFillTint="33"/>
          </w:tcPr>
          <w:p w14:paraId="443939FC" w14:textId="77777777" w:rsidR="00811E3A" w:rsidRPr="00674896" w:rsidRDefault="00811E3A" w:rsidP="00A52AEE">
            <w:pPr>
              <w:rPr>
                <w:sz w:val="20"/>
              </w:rPr>
            </w:pPr>
          </w:p>
        </w:tc>
        <w:tc>
          <w:tcPr>
            <w:tcW w:w="277" w:type="pct"/>
            <w:tcBorders>
              <w:top w:val="single" w:sz="4" w:space="0" w:color="auto"/>
              <w:bottom w:val="single" w:sz="4" w:space="0" w:color="auto"/>
            </w:tcBorders>
          </w:tcPr>
          <w:p w14:paraId="627255E8" w14:textId="77777777" w:rsidR="00811E3A" w:rsidRPr="00674896" w:rsidRDefault="00811E3A" w:rsidP="009A2373">
            <w:pPr>
              <w:jc w:val="right"/>
              <w:rPr>
                <w:sz w:val="20"/>
              </w:rPr>
            </w:pPr>
          </w:p>
        </w:tc>
      </w:tr>
      <w:tr w:rsidR="00DF759E" w:rsidRPr="00674896" w14:paraId="12C78AA8" w14:textId="77777777" w:rsidTr="00B73561">
        <w:trPr>
          <w:trHeight w:val="305"/>
        </w:trPr>
        <w:tc>
          <w:tcPr>
            <w:tcW w:w="622" w:type="pct"/>
            <w:tcBorders>
              <w:top w:val="nil"/>
              <w:left w:val="nil"/>
              <w:bottom w:val="nil"/>
              <w:right w:val="nil"/>
            </w:tcBorders>
          </w:tcPr>
          <w:p w14:paraId="2E34C478" w14:textId="77777777" w:rsidR="00811E3A" w:rsidRPr="00674896" w:rsidRDefault="00811E3A" w:rsidP="00A52AEE">
            <w:pPr>
              <w:rPr>
                <w:sz w:val="20"/>
              </w:rPr>
            </w:pPr>
          </w:p>
        </w:tc>
        <w:tc>
          <w:tcPr>
            <w:tcW w:w="337" w:type="pct"/>
            <w:tcBorders>
              <w:left w:val="nil"/>
            </w:tcBorders>
          </w:tcPr>
          <w:p w14:paraId="3961E911" w14:textId="77777777" w:rsidR="00811E3A" w:rsidRPr="00674896" w:rsidRDefault="00811E3A" w:rsidP="00A52AEE">
            <w:pPr>
              <w:rPr>
                <w:sz w:val="20"/>
              </w:rPr>
            </w:pPr>
          </w:p>
        </w:tc>
        <w:tc>
          <w:tcPr>
            <w:tcW w:w="546" w:type="pct"/>
            <w:tcBorders>
              <w:top w:val="single" w:sz="4" w:space="0" w:color="auto"/>
            </w:tcBorders>
          </w:tcPr>
          <w:p w14:paraId="7C36F0DD" w14:textId="77777777" w:rsidR="00811E3A" w:rsidRPr="00674896" w:rsidRDefault="00811E3A" w:rsidP="00A52AEE">
            <w:pPr>
              <w:rPr>
                <w:sz w:val="20"/>
              </w:rPr>
            </w:pPr>
          </w:p>
        </w:tc>
        <w:tc>
          <w:tcPr>
            <w:tcW w:w="586" w:type="pct"/>
            <w:tcBorders>
              <w:top w:val="single" w:sz="4" w:space="0" w:color="auto"/>
            </w:tcBorders>
          </w:tcPr>
          <w:p w14:paraId="62C33742" w14:textId="77777777" w:rsidR="00811E3A" w:rsidRPr="00674896" w:rsidRDefault="00811E3A" w:rsidP="009A2373">
            <w:pPr>
              <w:jc w:val="right"/>
              <w:rPr>
                <w:sz w:val="20"/>
              </w:rPr>
            </w:pPr>
          </w:p>
        </w:tc>
        <w:tc>
          <w:tcPr>
            <w:tcW w:w="291" w:type="pct"/>
            <w:tcBorders>
              <w:top w:val="nil"/>
              <w:left w:val="nil"/>
              <w:bottom w:val="nil"/>
              <w:right w:val="nil"/>
            </w:tcBorders>
          </w:tcPr>
          <w:p w14:paraId="762BCB3F" w14:textId="77777777" w:rsidR="00811E3A" w:rsidRPr="00674896" w:rsidRDefault="00811E3A" w:rsidP="00A52AEE">
            <w:pPr>
              <w:rPr>
                <w:sz w:val="20"/>
              </w:rPr>
            </w:pPr>
          </w:p>
        </w:tc>
        <w:tc>
          <w:tcPr>
            <w:tcW w:w="1026" w:type="pct"/>
            <w:tcBorders>
              <w:top w:val="nil"/>
              <w:left w:val="nil"/>
              <w:bottom w:val="nil"/>
              <w:right w:val="nil"/>
            </w:tcBorders>
          </w:tcPr>
          <w:p w14:paraId="09211BCA" w14:textId="77777777" w:rsidR="00811E3A" w:rsidRPr="00674896" w:rsidRDefault="00811E3A" w:rsidP="00A52AEE">
            <w:pPr>
              <w:rPr>
                <w:sz w:val="20"/>
              </w:rPr>
            </w:pPr>
          </w:p>
        </w:tc>
        <w:tc>
          <w:tcPr>
            <w:tcW w:w="291" w:type="pct"/>
            <w:tcBorders>
              <w:top w:val="nil"/>
              <w:left w:val="nil"/>
              <w:bottom w:val="nil"/>
              <w:right w:val="nil"/>
            </w:tcBorders>
          </w:tcPr>
          <w:p w14:paraId="5633B713" w14:textId="77777777" w:rsidR="00811E3A" w:rsidRPr="00674896" w:rsidRDefault="00811E3A" w:rsidP="009A2373">
            <w:pPr>
              <w:jc w:val="right"/>
              <w:rPr>
                <w:sz w:val="20"/>
              </w:rPr>
            </w:pPr>
          </w:p>
        </w:tc>
        <w:tc>
          <w:tcPr>
            <w:tcW w:w="293" w:type="pct"/>
            <w:tcBorders>
              <w:top w:val="nil"/>
              <w:left w:val="nil"/>
              <w:bottom w:val="nil"/>
              <w:right w:val="nil"/>
            </w:tcBorders>
          </w:tcPr>
          <w:p w14:paraId="19033191" w14:textId="77777777" w:rsidR="00811E3A" w:rsidRPr="00674896" w:rsidRDefault="00811E3A" w:rsidP="00A52AEE">
            <w:pPr>
              <w:rPr>
                <w:sz w:val="20"/>
              </w:rPr>
            </w:pPr>
          </w:p>
        </w:tc>
        <w:tc>
          <w:tcPr>
            <w:tcW w:w="731" w:type="pct"/>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2A913D1A" w14:textId="0836C627" w:rsidR="00811E3A" w:rsidRPr="00674896" w:rsidRDefault="00811E3A" w:rsidP="00A52AEE">
            <w:pPr>
              <w:rPr>
                <w:sz w:val="20"/>
              </w:rPr>
            </w:pPr>
            <w:r w:rsidRPr="00674896">
              <w:rPr>
                <w:sz w:val="20"/>
              </w:rPr>
              <w:t>Russell Group</w:t>
            </w:r>
          </w:p>
        </w:tc>
        <w:tc>
          <w:tcPr>
            <w:tcW w:w="277" w:type="pct"/>
            <w:tcBorders>
              <w:top w:val="single" w:sz="4" w:space="0" w:color="auto"/>
              <w:left w:val="nil"/>
              <w:bottom w:val="single" w:sz="12" w:space="0" w:color="auto"/>
              <w:right w:val="single" w:sz="12" w:space="0" w:color="auto"/>
            </w:tcBorders>
          </w:tcPr>
          <w:p w14:paraId="20E1D57B" w14:textId="096F94B8" w:rsidR="00811E3A" w:rsidRPr="00674896" w:rsidRDefault="00120700" w:rsidP="009A2373">
            <w:pPr>
              <w:jc w:val="right"/>
              <w:rPr>
                <w:sz w:val="20"/>
              </w:rPr>
            </w:pPr>
            <w:r w:rsidRPr="00674896">
              <w:rPr>
                <w:sz w:val="20"/>
              </w:rPr>
              <w:t>5</w:t>
            </w:r>
            <w:r w:rsidR="00811E3A" w:rsidRPr="00674896">
              <w:rPr>
                <w:sz w:val="20"/>
              </w:rPr>
              <w:t>%</w:t>
            </w:r>
          </w:p>
        </w:tc>
      </w:tr>
      <w:tr w:rsidR="00DF759E" w:rsidRPr="00674896" w14:paraId="6EF55C87" w14:textId="77777777" w:rsidTr="00CC757B">
        <w:trPr>
          <w:trHeight w:val="305"/>
        </w:trPr>
        <w:tc>
          <w:tcPr>
            <w:tcW w:w="622" w:type="pct"/>
            <w:tcBorders>
              <w:top w:val="nil"/>
              <w:left w:val="nil"/>
              <w:bottom w:val="single" w:sz="4" w:space="0" w:color="auto"/>
              <w:right w:val="nil"/>
            </w:tcBorders>
          </w:tcPr>
          <w:p w14:paraId="1FF1178B" w14:textId="77777777" w:rsidR="00811E3A" w:rsidRPr="00674896" w:rsidRDefault="00811E3A" w:rsidP="00A52AEE">
            <w:pPr>
              <w:rPr>
                <w:sz w:val="20"/>
              </w:rPr>
            </w:pPr>
          </w:p>
        </w:tc>
        <w:tc>
          <w:tcPr>
            <w:tcW w:w="337" w:type="pct"/>
            <w:tcBorders>
              <w:left w:val="nil"/>
              <w:bottom w:val="nil"/>
              <w:right w:val="nil"/>
            </w:tcBorders>
          </w:tcPr>
          <w:p w14:paraId="7F20FA0C" w14:textId="77777777" w:rsidR="00811E3A" w:rsidRPr="00674896" w:rsidRDefault="00811E3A" w:rsidP="00A52AEE">
            <w:pPr>
              <w:rPr>
                <w:sz w:val="20"/>
              </w:rPr>
            </w:pPr>
          </w:p>
        </w:tc>
        <w:tc>
          <w:tcPr>
            <w:tcW w:w="546" w:type="pct"/>
            <w:tcBorders>
              <w:left w:val="nil"/>
              <w:bottom w:val="single" w:sz="4" w:space="0" w:color="auto"/>
              <w:right w:val="nil"/>
            </w:tcBorders>
          </w:tcPr>
          <w:p w14:paraId="2F25944C" w14:textId="77777777" w:rsidR="00811E3A" w:rsidRPr="00674896" w:rsidRDefault="00811E3A" w:rsidP="00A52AEE">
            <w:pPr>
              <w:rPr>
                <w:sz w:val="20"/>
              </w:rPr>
            </w:pPr>
          </w:p>
        </w:tc>
        <w:tc>
          <w:tcPr>
            <w:tcW w:w="586" w:type="pct"/>
            <w:tcBorders>
              <w:left w:val="nil"/>
              <w:bottom w:val="single" w:sz="4" w:space="0" w:color="auto"/>
              <w:right w:val="nil"/>
            </w:tcBorders>
          </w:tcPr>
          <w:p w14:paraId="4FB6FDDA" w14:textId="77777777" w:rsidR="00811E3A" w:rsidRPr="00674896" w:rsidRDefault="00811E3A" w:rsidP="009A2373">
            <w:pPr>
              <w:jc w:val="right"/>
              <w:rPr>
                <w:sz w:val="20"/>
              </w:rPr>
            </w:pPr>
          </w:p>
        </w:tc>
        <w:tc>
          <w:tcPr>
            <w:tcW w:w="291" w:type="pct"/>
            <w:tcBorders>
              <w:top w:val="nil"/>
              <w:left w:val="nil"/>
              <w:bottom w:val="nil"/>
              <w:right w:val="nil"/>
            </w:tcBorders>
          </w:tcPr>
          <w:p w14:paraId="3A3570A8" w14:textId="77777777" w:rsidR="00811E3A" w:rsidRPr="00674896" w:rsidRDefault="00811E3A" w:rsidP="00A52AEE">
            <w:pPr>
              <w:rPr>
                <w:sz w:val="20"/>
              </w:rPr>
            </w:pPr>
          </w:p>
        </w:tc>
        <w:tc>
          <w:tcPr>
            <w:tcW w:w="1026"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F2FBC6B" w14:textId="77777777" w:rsidR="00811E3A" w:rsidRPr="00674896" w:rsidRDefault="00811E3A" w:rsidP="00A52AEE">
            <w:pPr>
              <w:rPr>
                <w:sz w:val="20"/>
              </w:rPr>
            </w:pPr>
            <w:r w:rsidRPr="00674896">
              <w:rPr>
                <w:sz w:val="20"/>
              </w:rPr>
              <w:t>First degree</w:t>
            </w:r>
          </w:p>
        </w:tc>
        <w:tc>
          <w:tcPr>
            <w:tcW w:w="291" w:type="pct"/>
            <w:tcBorders>
              <w:top w:val="single" w:sz="12" w:space="0" w:color="auto"/>
              <w:left w:val="nil"/>
              <w:bottom w:val="single" w:sz="12" w:space="0" w:color="auto"/>
              <w:right w:val="single" w:sz="12" w:space="0" w:color="auto"/>
            </w:tcBorders>
          </w:tcPr>
          <w:p w14:paraId="555C111D" w14:textId="5A4AEB69" w:rsidR="00811E3A" w:rsidRPr="00674896" w:rsidRDefault="00811E3A" w:rsidP="009A2373">
            <w:pPr>
              <w:jc w:val="right"/>
              <w:rPr>
                <w:sz w:val="20"/>
              </w:rPr>
            </w:pPr>
            <w:r w:rsidRPr="00674896">
              <w:rPr>
                <w:sz w:val="20"/>
              </w:rPr>
              <w:t>5%</w:t>
            </w:r>
          </w:p>
        </w:tc>
        <w:tc>
          <w:tcPr>
            <w:tcW w:w="293" w:type="pct"/>
            <w:tcBorders>
              <w:top w:val="nil"/>
              <w:left w:val="nil"/>
              <w:bottom w:val="nil"/>
              <w:right w:val="nil"/>
            </w:tcBorders>
          </w:tcPr>
          <w:p w14:paraId="480960DF" w14:textId="77777777" w:rsidR="00811E3A" w:rsidRPr="00674896" w:rsidRDefault="00811E3A" w:rsidP="00A52AEE">
            <w:pPr>
              <w:rPr>
                <w:sz w:val="20"/>
              </w:rPr>
            </w:pPr>
            <w:r w:rsidRPr="00674896">
              <w:rPr>
                <w:noProof/>
                <w:sz w:val="20"/>
                <w:lang w:eastAsia="en-GB"/>
              </w:rPr>
              <mc:AlternateContent>
                <mc:Choice Requires="wps">
                  <w:drawing>
                    <wp:anchor distT="0" distB="0" distL="114300" distR="114300" simplePos="0" relativeHeight="251653120" behindDoc="0" locked="0" layoutInCell="1" allowOverlap="1" wp14:anchorId="1A95384C" wp14:editId="388B8920">
                      <wp:simplePos x="0" y="0"/>
                      <wp:positionH relativeFrom="column">
                        <wp:posOffset>-26035</wp:posOffset>
                      </wp:positionH>
                      <wp:positionV relativeFrom="paragraph">
                        <wp:posOffset>150495</wp:posOffset>
                      </wp:positionV>
                      <wp:extent cx="333375" cy="152400"/>
                      <wp:effectExtent l="19050" t="38100" r="47625" b="19050"/>
                      <wp:wrapNone/>
                      <wp:docPr id="41" name="Straight Arrow Connector 41"/>
                      <wp:cNvGraphicFramePr/>
                      <a:graphic xmlns:a="http://schemas.openxmlformats.org/drawingml/2006/main">
                        <a:graphicData uri="http://schemas.microsoft.com/office/word/2010/wordprocessingShape">
                          <wps:wsp>
                            <wps:cNvCnPr/>
                            <wps:spPr>
                              <a:xfrm flipV="1">
                                <a:off x="0" y="0"/>
                                <a:ext cx="333375" cy="15240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4D3E7" id="Straight Arrow Connector 41" o:spid="_x0000_s1026" type="#_x0000_t32" style="position:absolute;margin-left:-2.05pt;margin-top:11.85pt;width:26.25pt;height:1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" strokecolor="#4a7ebb" strokeweight="2.25pt">
                      <v:stroke endarrow="block"/>
                    </v:shape>
                  </w:pict>
                </mc:Fallback>
              </mc:AlternateContent>
            </w: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AD634F6" w14:textId="77777777" w:rsidR="00811E3A" w:rsidRPr="00674896" w:rsidRDefault="00811E3A" w:rsidP="00A52AEE">
            <w:pPr>
              <w:rPr>
                <w:sz w:val="20"/>
              </w:rPr>
            </w:pPr>
            <w:r w:rsidRPr="00674896">
              <w:rPr>
                <w:sz w:val="20"/>
              </w:rPr>
              <w:t>Old University</w:t>
            </w:r>
          </w:p>
        </w:tc>
        <w:tc>
          <w:tcPr>
            <w:tcW w:w="277" w:type="pct"/>
            <w:tcBorders>
              <w:top w:val="nil"/>
              <w:left w:val="nil"/>
              <w:bottom w:val="single" w:sz="12" w:space="0" w:color="auto"/>
              <w:right w:val="single" w:sz="12" w:space="0" w:color="auto"/>
            </w:tcBorders>
          </w:tcPr>
          <w:p w14:paraId="76BA950F" w14:textId="2787E2C4" w:rsidR="00811E3A" w:rsidRPr="00674896" w:rsidRDefault="00120700" w:rsidP="009A2373">
            <w:pPr>
              <w:jc w:val="right"/>
              <w:rPr>
                <w:sz w:val="20"/>
              </w:rPr>
            </w:pPr>
            <w:r w:rsidRPr="00674896">
              <w:rPr>
                <w:sz w:val="20"/>
              </w:rPr>
              <w:t>1</w:t>
            </w:r>
            <w:r w:rsidR="00811E3A" w:rsidRPr="00674896">
              <w:rPr>
                <w:sz w:val="20"/>
              </w:rPr>
              <w:t>%</w:t>
            </w:r>
          </w:p>
        </w:tc>
      </w:tr>
      <w:tr w:rsidR="00CC757B" w:rsidRPr="00674896" w14:paraId="456A5AF3" w14:textId="77777777" w:rsidTr="00CC757B">
        <w:trPr>
          <w:trHeight w:val="305"/>
        </w:trPr>
        <w:tc>
          <w:tcPr>
            <w:tcW w:w="622" w:type="pct"/>
            <w:tcBorders>
              <w:top w:val="single" w:sz="4" w:space="0" w:color="auto"/>
              <w:left w:val="single" w:sz="4" w:space="0" w:color="auto"/>
              <w:right w:val="single" w:sz="4" w:space="0" w:color="auto"/>
            </w:tcBorders>
            <w:shd w:val="clear" w:color="auto" w:fill="1F4E79" w:themeFill="accent1" w:themeFillShade="80"/>
          </w:tcPr>
          <w:p w14:paraId="55EB9F74" w14:textId="261F46E5" w:rsidR="00CC757B" w:rsidRPr="00CC757B" w:rsidRDefault="00CC757B" w:rsidP="00CC757B">
            <w:pPr>
              <w:rPr>
                <w:b/>
                <w:color w:val="FFFFFF" w:themeColor="background1"/>
                <w:sz w:val="20"/>
              </w:rPr>
            </w:pPr>
            <w:r w:rsidRPr="00CC757B">
              <w:rPr>
                <w:b/>
                <w:color w:val="FFFFFF" w:themeColor="background1"/>
                <w:sz w:val="22"/>
              </w:rPr>
              <w:t>Other Vocational</w:t>
            </w:r>
          </w:p>
        </w:tc>
        <w:tc>
          <w:tcPr>
            <w:tcW w:w="337" w:type="pct"/>
            <w:tcBorders>
              <w:top w:val="nil"/>
              <w:left w:val="single" w:sz="4" w:space="0" w:color="auto"/>
              <w:bottom w:val="nil"/>
              <w:right w:val="single" w:sz="4" w:space="0" w:color="auto"/>
            </w:tcBorders>
          </w:tcPr>
          <w:p w14:paraId="4B50FB15" w14:textId="664EC96A" w:rsidR="00CC757B" w:rsidRPr="00674896" w:rsidRDefault="00CC757B" w:rsidP="00CC757B">
            <w:pPr>
              <w:rPr>
                <w:sz w:val="20"/>
              </w:rPr>
            </w:pPr>
            <w:r w:rsidRPr="00674896">
              <w:rPr>
                <w:noProof/>
                <w:sz w:val="20"/>
                <w:lang w:eastAsia="en-GB"/>
              </w:rPr>
              <mc:AlternateContent>
                <mc:Choice Requires="wps">
                  <w:drawing>
                    <wp:anchor distT="0" distB="0" distL="114300" distR="114300" simplePos="0" relativeHeight="251672576" behindDoc="0" locked="0" layoutInCell="1" allowOverlap="1" wp14:anchorId="6BF7CC98" wp14:editId="5C186345">
                      <wp:simplePos x="0" y="0"/>
                      <wp:positionH relativeFrom="column">
                        <wp:posOffset>-87630</wp:posOffset>
                      </wp:positionH>
                      <wp:positionV relativeFrom="paragraph">
                        <wp:posOffset>120015</wp:posOffset>
                      </wp:positionV>
                      <wp:extent cx="342900" cy="85725"/>
                      <wp:effectExtent l="19050" t="76200" r="0" b="47625"/>
                      <wp:wrapNone/>
                      <wp:docPr id="30" name="Straight Arrow Connector 30"/>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740932" id="Straight Arrow Connector 30" o:spid="_x0000_s1026" type="#_x0000_t32" style="position:absolute;margin-left:-6.9pt;margin-top:9.45pt;width:27pt;height:6.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" strokecolor="#4a7ebb" strokeweight="2.25pt">
                      <v:stroke endarrow="block"/>
                    </v:shape>
                  </w:pict>
                </mc:Fallback>
              </mc:AlternateContent>
            </w:r>
          </w:p>
        </w:tc>
        <w:tc>
          <w:tcPr>
            <w:tcW w:w="54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BD3B94" w14:textId="1DA4912E" w:rsidR="00CC757B" w:rsidRPr="00674896" w:rsidRDefault="00CC757B" w:rsidP="00CC757B">
            <w:pPr>
              <w:rPr>
                <w:sz w:val="20"/>
              </w:rPr>
            </w:pPr>
            <w:r w:rsidRPr="00674896">
              <w:rPr>
                <w:sz w:val="20"/>
              </w:rPr>
              <w:t>To HE</w:t>
            </w:r>
          </w:p>
        </w:tc>
        <w:tc>
          <w:tcPr>
            <w:tcW w:w="586" w:type="pct"/>
            <w:tcBorders>
              <w:top w:val="single" w:sz="4" w:space="0" w:color="auto"/>
              <w:left w:val="single" w:sz="4" w:space="0" w:color="auto"/>
              <w:bottom w:val="single" w:sz="4" w:space="0" w:color="auto"/>
              <w:right w:val="single" w:sz="4" w:space="0" w:color="auto"/>
            </w:tcBorders>
          </w:tcPr>
          <w:p w14:paraId="02A38CA3" w14:textId="73ECE779" w:rsidR="00CC757B" w:rsidRPr="00674896" w:rsidRDefault="00CC757B" w:rsidP="009A2373">
            <w:pPr>
              <w:jc w:val="right"/>
              <w:rPr>
                <w:sz w:val="20"/>
              </w:rPr>
            </w:pPr>
            <w:r w:rsidRPr="00674896">
              <w:rPr>
                <w:sz w:val="20"/>
              </w:rPr>
              <w:t>10%</w:t>
            </w:r>
          </w:p>
        </w:tc>
        <w:tc>
          <w:tcPr>
            <w:tcW w:w="291" w:type="pct"/>
            <w:tcBorders>
              <w:top w:val="nil"/>
              <w:left w:val="single" w:sz="4" w:space="0" w:color="auto"/>
              <w:bottom w:val="nil"/>
              <w:right w:val="nil"/>
            </w:tcBorders>
          </w:tcPr>
          <w:p w14:paraId="57570408" w14:textId="06428C3C" w:rsidR="00CC757B" w:rsidRPr="00674896" w:rsidRDefault="00CC757B" w:rsidP="00CC757B">
            <w:pPr>
              <w:rPr>
                <w:sz w:val="20"/>
              </w:rPr>
            </w:pPr>
            <w:r w:rsidRPr="00674896">
              <w:rPr>
                <w:noProof/>
                <w:sz w:val="20"/>
                <w:lang w:eastAsia="en-GB"/>
              </w:rPr>
              <mc:AlternateContent>
                <mc:Choice Requires="wps">
                  <w:drawing>
                    <wp:anchor distT="0" distB="0" distL="114300" distR="114300" simplePos="0" relativeHeight="251674624" behindDoc="0" locked="0" layoutInCell="1" allowOverlap="1" wp14:anchorId="31363EF7" wp14:editId="2EA53552">
                      <wp:simplePos x="0" y="0"/>
                      <wp:positionH relativeFrom="column">
                        <wp:posOffset>-46990</wp:posOffset>
                      </wp:positionH>
                      <wp:positionV relativeFrom="paragraph">
                        <wp:posOffset>132080</wp:posOffset>
                      </wp:positionV>
                      <wp:extent cx="342900" cy="85725"/>
                      <wp:effectExtent l="19050" t="76200" r="0" b="47625"/>
                      <wp:wrapNone/>
                      <wp:docPr id="47" name="Straight Arrow Connector 47"/>
                      <wp:cNvGraphicFramePr/>
                      <a:graphic xmlns:a="http://schemas.openxmlformats.org/drawingml/2006/main">
                        <a:graphicData uri="http://schemas.microsoft.com/office/word/2010/wordprocessingShape">
                          <wps:wsp>
                            <wps:cNvCnPr/>
                            <wps:spPr>
                              <a:xfrm flipV="1">
                                <a:off x="0" y="0"/>
                                <a:ext cx="342900" cy="857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8477F1" id="Straight Arrow Connector 47" o:spid="_x0000_s1026" type="#_x0000_t32" style="position:absolute;margin-left:-3.7pt;margin-top:10.4pt;width:27pt;height:6.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" strokecolor="#4a7ebb" strokeweight="2.25pt">
                      <v:stroke endarrow="block"/>
                    </v:shape>
                  </w:pict>
                </mc:Fallback>
              </mc:AlternateContent>
            </w: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4042974D" w14:textId="77777777" w:rsidR="00CC757B" w:rsidRPr="00674896" w:rsidRDefault="00CC757B" w:rsidP="00CC757B">
            <w:pPr>
              <w:rPr>
                <w:sz w:val="20"/>
              </w:rPr>
            </w:pPr>
            <w:r w:rsidRPr="00674896">
              <w:rPr>
                <w:sz w:val="20"/>
              </w:rPr>
              <w:t>Foundation degree</w:t>
            </w:r>
          </w:p>
        </w:tc>
        <w:tc>
          <w:tcPr>
            <w:tcW w:w="291" w:type="pct"/>
            <w:tcBorders>
              <w:top w:val="nil"/>
              <w:left w:val="nil"/>
              <w:bottom w:val="single" w:sz="12" w:space="0" w:color="auto"/>
              <w:right w:val="single" w:sz="12" w:space="0" w:color="auto"/>
            </w:tcBorders>
          </w:tcPr>
          <w:p w14:paraId="55B34122" w14:textId="77777777" w:rsidR="00CC757B" w:rsidRPr="00674896" w:rsidRDefault="00CC757B" w:rsidP="009A2373">
            <w:pPr>
              <w:jc w:val="right"/>
              <w:rPr>
                <w:sz w:val="20"/>
              </w:rPr>
            </w:pPr>
            <w:r w:rsidRPr="00674896">
              <w:rPr>
                <w:sz w:val="20"/>
              </w:rPr>
              <w:t>1%</w:t>
            </w:r>
          </w:p>
        </w:tc>
        <w:tc>
          <w:tcPr>
            <w:tcW w:w="293" w:type="pct"/>
            <w:tcBorders>
              <w:top w:val="nil"/>
              <w:left w:val="nil"/>
              <w:bottom w:val="nil"/>
              <w:right w:val="nil"/>
            </w:tcBorders>
          </w:tcPr>
          <w:p w14:paraId="58D69F39" w14:textId="77777777" w:rsidR="00CC757B" w:rsidRPr="00674896" w:rsidRDefault="00CC757B" w:rsidP="00CC757B">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3CA740CC" w14:textId="77777777" w:rsidR="00CC757B" w:rsidRPr="00674896" w:rsidRDefault="00CC757B" w:rsidP="00CC757B">
            <w:pPr>
              <w:rPr>
                <w:sz w:val="20"/>
              </w:rPr>
            </w:pPr>
            <w:r w:rsidRPr="00674896">
              <w:rPr>
                <w:sz w:val="20"/>
              </w:rPr>
              <w:t>New University</w:t>
            </w:r>
          </w:p>
        </w:tc>
        <w:tc>
          <w:tcPr>
            <w:tcW w:w="277" w:type="pct"/>
            <w:tcBorders>
              <w:top w:val="nil"/>
              <w:left w:val="nil"/>
              <w:bottom w:val="single" w:sz="12" w:space="0" w:color="auto"/>
              <w:right w:val="single" w:sz="12" w:space="0" w:color="auto"/>
            </w:tcBorders>
          </w:tcPr>
          <w:p w14:paraId="776DABF2" w14:textId="33E7A6E4" w:rsidR="00CC757B" w:rsidRPr="00674896" w:rsidRDefault="00CC757B" w:rsidP="009A2373">
            <w:pPr>
              <w:jc w:val="right"/>
              <w:rPr>
                <w:sz w:val="20"/>
              </w:rPr>
            </w:pPr>
            <w:r w:rsidRPr="00674896">
              <w:rPr>
                <w:sz w:val="20"/>
              </w:rPr>
              <w:t>0%</w:t>
            </w:r>
          </w:p>
        </w:tc>
      </w:tr>
      <w:tr w:rsidR="00CC757B" w:rsidRPr="00674896" w14:paraId="3BA0D769" w14:textId="77777777" w:rsidTr="00CC757B">
        <w:trPr>
          <w:trHeight w:val="334"/>
        </w:trPr>
        <w:tc>
          <w:tcPr>
            <w:tcW w:w="622" w:type="pct"/>
            <w:shd w:val="clear" w:color="auto" w:fill="FFFFFF" w:themeFill="background1"/>
          </w:tcPr>
          <w:p w14:paraId="1C2FF5D2" w14:textId="60895394" w:rsidR="00CC757B" w:rsidRPr="00674896" w:rsidRDefault="00CC757B" w:rsidP="00CC757B">
            <w:pPr>
              <w:rPr>
                <w:sz w:val="20"/>
              </w:rPr>
            </w:pPr>
          </w:p>
        </w:tc>
        <w:tc>
          <w:tcPr>
            <w:tcW w:w="337" w:type="pct"/>
            <w:tcBorders>
              <w:top w:val="nil"/>
              <w:left w:val="nil"/>
              <w:bottom w:val="nil"/>
            </w:tcBorders>
          </w:tcPr>
          <w:p w14:paraId="76F62F16" w14:textId="36FF5999" w:rsidR="00CC757B" w:rsidRPr="00674896" w:rsidRDefault="00CC757B" w:rsidP="00CC757B">
            <w:pPr>
              <w:rPr>
                <w:sz w:val="20"/>
              </w:rPr>
            </w:pPr>
            <w:r w:rsidRPr="00674896">
              <w:rPr>
                <w:noProof/>
                <w:sz w:val="20"/>
                <w:lang w:eastAsia="en-GB"/>
              </w:rPr>
              <mc:AlternateContent>
                <mc:Choice Requires="wps">
                  <w:drawing>
                    <wp:anchor distT="0" distB="0" distL="114300" distR="114300" simplePos="0" relativeHeight="251673600" behindDoc="0" locked="0" layoutInCell="1" allowOverlap="1" wp14:anchorId="5C787A16" wp14:editId="12FB49CF">
                      <wp:simplePos x="0" y="0"/>
                      <wp:positionH relativeFrom="column">
                        <wp:posOffset>-4445</wp:posOffset>
                      </wp:positionH>
                      <wp:positionV relativeFrom="paragraph">
                        <wp:posOffset>68580</wp:posOffset>
                      </wp:positionV>
                      <wp:extent cx="381000" cy="238125"/>
                      <wp:effectExtent l="19050" t="19050" r="57150" b="47625"/>
                      <wp:wrapNone/>
                      <wp:docPr id="32" name="Straight Arrow Connector 32"/>
                      <wp:cNvGraphicFramePr/>
                      <a:graphic xmlns:a="http://schemas.openxmlformats.org/drawingml/2006/main">
                        <a:graphicData uri="http://schemas.microsoft.com/office/word/2010/wordprocessingShape">
                          <wps:wsp>
                            <wps:cNvCnPr/>
                            <wps:spPr>
                              <a:xfrm>
                                <a:off x="0" y="0"/>
                                <a:ext cx="381000" cy="23812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C55C1C" id="Straight Arrow Connector 32" o:spid="_x0000_s1026" type="#_x0000_t32" style="position:absolute;margin-left:-.35pt;margin-top:5.4pt;width:3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" strokecolor="#4a7ebb" strokeweight="2.25pt">
                      <v:stroke endarrow="block"/>
                    </v:shape>
                  </w:pict>
                </mc:Fallback>
              </mc:AlternateContent>
            </w:r>
          </w:p>
        </w:tc>
        <w:tc>
          <w:tcPr>
            <w:tcW w:w="546" w:type="pct"/>
            <w:tcBorders>
              <w:top w:val="single" w:sz="4" w:space="0" w:color="auto"/>
              <w:bottom w:val="single" w:sz="4" w:space="0" w:color="auto"/>
            </w:tcBorders>
            <w:shd w:val="clear" w:color="auto" w:fill="FFFFFF" w:themeFill="background1"/>
          </w:tcPr>
          <w:p w14:paraId="5D7948DD" w14:textId="1663A384" w:rsidR="00CC757B" w:rsidRPr="00674896" w:rsidRDefault="00CC757B" w:rsidP="00CC757B">
            <w:pPr>
              <w:rPr>
                <w:sz w:val="20"/>
              </w:rPr>
            </w:pPr>
          </w:p>
        </w:tc>
        <w:tc>
          <w:tcPr>
            <w:tcW w:w="586" w:type="pct"/>
            <w:tcBorders>
              <w:top w:val="single" w:sz="4" w:space="0" w:color="auto"/>
              <w:bottom w:val="single" w:sz="4" w:space="0" w:color="auto"/>
            </w:tcBorders>
          </w:tcPr>
          <w:p w14:paraId="10ED3974" w14:textId="0FE0C221" w:rsidR="00CC757B" w:rsidRPr="00674896" w:rsidRDefault="00CC757B" w:rsidP="009A2373">
            <w:pPr>
              <w:jc w:val="right"/>
              <w:rPr>
                <w:sz w:val="20"/>
              </w:rPr>
            </w:pPr>
          </w:p>
        </w:tc>
        <w:tc>
          <w:tcPr>
            <w:tcW w:w="291" w:type="pct"/>
            <w:tcBorders>
              <w:top w:val="nil"/>
              <w:left w:val="nil"/>
              <w:bottom w:val="nil"/>
              <w:right w:val="nil"/>
            </w:tcBorders>
          </w:tcPr>
          <w:p w14:paraId="77C1D195" w14:textId="2AEAA181" w:rsidR="00CC757B" w:rsidRPr="00674896" w:rsidRDefault="00CC757B" w:rsidP="00CC757B">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6192350B" w14:textId="77777777" w:rsidR="00CC757B" w:rsidRPr="00674896" w:rsidRDefault="00CC757B" w:rsidP="00CC757B">
            <w:pPr>
              <w:rPr>
                <w:sz w:val="20"/>
              </w:rPr>
            </w:pPr>
            <w:r w:rsidRPr="00674896">
              <w:rPr>
                <w:sz w:val="20"/>
              </w:rPr>
              <w:t>HNC/HND/NVQ</w:t>
            </w:r>
          </w:p>
        </w:tc>
        <w:tc>
          <w:tcPr>
            <w:tcW w:w="291" w:type="pct"/>
            <w:tcBorders>
              <w:top w:val="nil"/>
              <w:left w:val="nil"/>
              <w:bottom w:val="single" w:sz="12" w:space="0" w:color="auto"/>
              <w:right w:val="single" w:sz="12" w:space="0" w:color="auto"/>
            </w:tcBorders>
          </w:tcPr>
          <w:p w14:paraId="4109C0D6" w14:textId="77777777" w:rsidR="00CC757B" w:rsidRPr="00674896" w:rsidRDefault="00CC757B" w:rsidP="009A2373">
            <w:pPr>
              <w:jc w:val="right"/>
              <w:rPr>
                <w:sz w:val="20"/>
              </w:rPr>
            </w:pPr>
            <w:r w:rsidRPr="00674896">
              <w:rPr>
                <w:sz w:val="20"/>
              </w:rPr>
              <w:t>1%</w:t>
            </w:r>
          </w:p>
        </w:tc>
        <w:tc>
          <w:tcPr>
            <w:tcW w:w="293" w:type="pct"/>
            <w:tcBorders>
              <w:top w:val="nil"/>
              <w:left w:val="nil"/>
              <w:bottom w:val="nil"/>
              <w:right w:val="nil"/>
            </w:tcBorders>
          </w:tcPr>
          <w:p w14:paraId="2E37A36A" w14:textId="77777777" w:rsidR="00CC757B" w:rsidRPr="00674896" w:rsidRDefault="00CC757B" w:rsidP="00CC757B">
            <w:pPr>
              <w:rPr>
                <w:sz w:val="20"/>
              </w:rPr>
            </w:pPr>
          </w:p>
        </w:tc>
        <w:tc>
          <w:tcPr>
            <w:tcW w:w="731" w:type="pct"/>
            <w:tcBorders>
              <w:top w:val="nil"/>
              <w:left w:val="single" w:sz="12" w:space="0" w:color="auto"/>
              <w:bottom w:val="single" w:sz="12" w:space="0" w:color="auto"/>
              <w:right w:val="single" w:sz="12" w:space="0" w:color="auto"/>
            </w:tcBorders>
            <w:shd w:val="clear" w:color="auto" w:fill="DEEAF6" w:themeFill="accent1" w:themeFillTint="33"/>
          </w:tcPr>
          <w:p w14:paraId="2784F2E6" w14:textId="77777777" w:rsidR="00CC757B" w:rsidRPr="00674896" w:rsidRDefault="00CC757B" w:rsidP="00CC757B">
            <w:pPr>
              <w:rPr>
                <w:sz w:val="20"/>
              </w:rPr>
            </w:pPr>
            <w:r w:rsidRPr="00674896">
              <w:rPr>
                <w:sz w:val="20"/>
              </w:rPr>
              <w:t>HE in FE</w:t>
            </w:r>
          </w:p>
        </w:tc>
        <w:tc>
          <w:tcPr>
            <w:tcW w:w="277" w:type="pct"/>
            <w:tcBorders>
              <w:top w:val="nil"/>
              <w:left w:val="nil"/>
              <w:bottom w:val="single" w:sz="12" w:space="0" w:color="auto"/>
              <w:right w:val="single" w:sz="12" w:space="0" w:color="auto"/>
            </w:tcBorders>
          </w:tcPr>
          <w:p w14:paraId="32672FC8" w14:textId="77777777" w:rsidR="00CC757B" w:rsidRPr="00674896" w:rsidRDefault="00CC757B" w:rsidP="009A2373">
            <w:pPr>
              <w:jc w:val="right"/>
              <w:rPr>
                <w:sz w:val="20"/>
              </w:rPr>
            </w:pPr>
            <w:r w:rsidRPr="00674896">
              <w:rPr>
                <w:sz w:val="20"/>
              </w:rPr>
              <w:t>4%</w:t>
            </w:r>
          </w:p>
        </w:tc>
      </w:tr>
      <w:tr w:rsidR="00CC757B" w:rsidRPr="00674896" w14:paraId="7A0983CC" w14:textId="77777777" w:rsidTr="00CC757B">
        <w:trPr>
          <w:trHeight w:val="305"/>
        </w:trPr>
        <w:tc>
          <w:tcPr>
            <w:tcW w:w="622" w:type="pct"/>
            <w:tcBorders>
              <w:left w:val="nil"/>
              <w:bottom w:val="nil"/>
              <w:right w:val="nil"/>
            </w:tcBorders>
          </w:tcPr>
          <w:p w14:paraId="2474A320" w14:textId="77777777" w:rsidR="00CC757B" w:rsidRPr="00674896" w:rsidRDefault="00CC757B" w:rsidP="00CC757B">
            <w:pPr>
              <w:rPr>
                <w:sz w:val="20"/>
              </w:rPr>
            </w:pPr>
          </w:p>
        </w:tc>
        <w:tc>
          <w:tcPr>
            <w:tcW w:w="337" w:type="pct"/>
            <w:tcBorders>
              <w:top w:val="nil"/>
              <w:left w:val="nil"/>
              <w:bottom w:val="nil"/>
              <w:right w:val="single" w:sz="4" w:space="0" w:color="auto"/>
            </w:tcBorders>
          </w:tcPr>
          <w:p w14:paraId="29A2BD25" w14:textId="521627BD" w:rsidR="00CC757B" w:rsidRPr="00674896" w:rsidRDefault="00CC757B" w:rsidP="00CC757B">
            <w:pPr>
              <w:rPr>
                <w:sz w:val="20"/>
              </w:rPr>
            </w:pPr>
          </w:p>
        </w:tc>
        <w:tc>
          <w:tcPr>
            <w:tcW w:w="546" w:type="pct"/>
            <w:tcBorders>
              <w:top w:val="single" w:sz="4" w:space="0" w:color="auto"/>
              <w:left w:val="single" w:sz="4" w:space="0" w:color="auto"/>
              <w:bottom w:val="single" w:sz="4" w:space="0" w:color="auto"/>
              <w:right w:val="single" w:sz="4" w:space="0" w:color="auto"/>
            </w:tcBorders>
          </w:tcPr>
          <w:p w14:paraId="633F08F5" w14:textId="11C1CC56" w:rsidR="00CC757B" w:rsidRPr="00674896" w:rsidRDefault="00CC757B" w:rsidP="00CC757B">
            <w:pPr>
              <w:rPr>
                <w:sz w:val="20"/>
              </w:rPr>
            </w:pPr>
            <w:r w:rsidRPr="00674896">
              <w:rPr>
                <w:sz w:val="20"/>
              </w:rPr>
              <w:t>Not to HE</w:t>
            </w:r>
            <w:r w:rsidRPr="00674896">
              <w:rPr>
                <w:noProof/>
                <w:sz w:val="20"/>
                <w:lang w:eastAsia="en-GB"/>
              </w:rPr>
              <w:t xml:space="preserve"> </w:t>
            </w:r>
          </w:p>
        </w:tc>
        <w:tc>
          <w:tcPr>
            <w:tcW w:w="586" w:type="pct"/>
            <w:tcBorders>
              <w:top w:val="single" w:sz="4" w:space="0" w:color="auto"/>
              <w:left w:val="single" w:sz="4" w:space="0" w:color="auto"/>
              <w:bottom w:val="single" w:sz="4" w:space="0" w:color="auto"/>
              <w:right w:val="single" w:sz="4" w:space="0" w:color="auto"/>
            </w:tcBorders>
          </w:tcPr>
          <w:p w14:paraId="04479B04" w14:textId="5D339431" w:rsidR="00CC757B" w:rsidRPr="00674896" w:rsidRDefault="00CC757B" w:rsidP="009A2373">
            <w:pPr>
              <w:jc w:val="right"/>
              <w:rPr>
                <w:sz w:val="20"/>
              </w:rPr>
            </w:pPr>
            <w:r w:rsidRPr="00674896">
              <w:rPr>
                <w:sz w:val="20"/>
              </w:rPr>
              <w:t>90%</w:t>
            </w:r>
          </w:p>
        </w:tc>
        <w:tc>
          <w:tcPr>
            <w:tcW w:w="291" w:type="pct"/>
            <w:tcBorders>
              <w:top w:val="nil"/>
              <w:left w:val="single" w:sz="4" w:space="0" w:color="auto"/>
              <w:bottom w:val="nil"/>
              <w:right w:val="nil"/>
            </w:tcBorders>
          </w:tcPr>
          <w:p w14:paraId="4A128D2B" w14:textId="40C8FD9E" w:rsidR="00CC757B" w:rsidRPr="00674896" w:rsidRDefault="00CC757B" w:rsidP="00CC757B">
            <w:pPr>
              <w:rPr>
                <w:sz w:val="20"/>
              </w:rPr>
            </w:pPr>
          </w:p>
        </w:tc>
        <w:tc>
          <w:tcPr>
            <w:tcW w:w="1026" w:type="pct"/>
            <w:tcBorders>
              <w:top w:val="nil"/>
              <w:left w:val="single" w:sz="12" w:space="0" w:color="auto"/>
              <w:bottom w:val="single" w:sz="12" w:space="0" w:color="auto"/>
              <w:right w:val="single" w:sz="12" w:space="0" w:color="auto"/>
            </w:tcBorders>
            <w:shd w:val="clear" w:color="auto" w:fill="DEEAF6" w:themeFill="accent1" w:themeFillTint="33"/>
          </w:tcPr>
          <w:p w14:paraId="44BE849C" w14:textId="77777777" w:rsidR="00CC757B" w:rsidRPr="00674896" w:rsidRDefault="00CC757B" w:rsidP="00CC757B">
            <w:pPr>
              <w:rPr>
                <w:sz w:val="20"/>
              </w:rPr>
            </w:pPr>
            <w:r w:rsidRPr="00674896">
              <w:rPr>
                <w:sz w:val="20"/>
              </w:rPr>
              <w:t>Other undergraduate</w:t>
            </w:r>
          </w:p>
        </w:tc>
        <w:tc>
          <w:tcPr>
            <w:tcW w:w="291" w:type="pct"/>
            <w:tcBorders>
              <w:top w:val="nil"/>
              <w:left w:val="nil"/>
              <w:bottom w:val="single" w:sz="12" w:space="0" w:color="auto"/>
              <w:right w:val="single" w:sz="12" w:space="0" w:color="auto"/>
            </w:tcBorders>
          </w:tcPr>
          <w:p w14:paraId="5BF23447" w14:textId="409344B6" w:rsidR="00CC757B" w:rsidRPr="00674896" w:rsidRDefault="00CC757B" w:rsidP="009A2373">
            <w:pPr>
              <w:jc w:val="right"/>
              <w:rPr>
                <w:sz w:val="20"/>
              </w:rPr>
            </w:pPr>
            <w:r w:rsidRPr="00674896">
              <w:rPr>
                <w:sz w:val="20"/>
              </w:rPr>
              <w:t>3%</w:t>
            </w:r>
          </w:p>
        </w:tc>
        <w:tc>
          <w:tcPr>
            <w:tcW w:w="293" w:type="pct"/>
            <w:tcBorders>
              <w:top w:val="nil"/>
              <w:left w:val="nil"/>
              <w:bottom w:val="nil"/>
              <w:right w:val="nil"/>
            </w:tcBorders>
          </w:tcPr>
          <w:p w14:paraId="75CC7F4D" w14:textId="77777777" w:rsidR="00CC757B" w:rsidRPr="00674896" w:rsidRDefault="00CC757B" w:rsidP="00CC757B">
            <w:pPr>
              <w:rPr>
                <w:sz w:val="20"/>
              </w:rPr>
            </w:pPr>
          </w:p>
        </w:tc>
        <w:tc>
          <w:tcPr>
            <w:tcW w:w="731" w:type="pct"/>
            <w:tcBorders>
              <w:top w:val="nil"/>
              <w:left w:val="nil"/>
              <w:bottom w:val="nil"/>
              <w:right w:val="nil"/>
            </w:tcBorders>
          </w:tcPr>
          <w:p w14:paraId="413CA250" w14:textId="77777777" w:rsidR="00CC757B" w:rsidRPr="00674896" w:rsidRDefault="00CC757B" w:rsidP="00CC757B">
            <w:pPr>
              <w:rPr>
                <w:sz w:val="20"/>
              </w:rPr>
            </w:pPr>
          </w:p>
        </w:tc>
        <w:tc>
          <w:tcPr>
            <w:tcW w:w="277" w:type="pct"/>
            <w:tcBorders>
              <w:top w:val="nil"/>
              <w:left w:val="nil"/>
              <w:bottom w:val="nil"/>
              <w:right w:val="nil"/>
            </w:tcBorders>
          </w:tcPr>
          <w:p w14:paraId="4E2B9BEC" w14:textId="77777777" w:rsidR="00CC757B" w:rsidRPr="00674896" w:rsidRDefault="00CC757B" w:rsidP="00CC757B">
            <w:pPr>
              <w:rPr>
                <w:sz w:val="20"/>
              </w:rPr>
            </w:pPr>
          </w:p>
        </w:tc>
      </w:tr>
    </w:tbl>
    <w:p w14:paraId="45066661" w14:textId="7C793187" w:rsidR="00757B2C" w:rsidRPr="00A52AEE" w:rsidRDefault="00757B2C" w:rsidP="008D527A">
      <w:pPr>
        <w:pStyle w:val="Heading2"/>
        <w:numPr>
          <w:ilvl w:val="1"/>
          <w:numId w:val="19"/>
        </w:numPr>
      </w:pPr>
      <w:bookmarkStart w:id="140" w:name="_Toc429151355"/>
      <w:r w:rsidRPr="00A52AEE">
        <w:t>HE succes</w:t>
      </w:r>
      <w:r w:rsidR="00DF759E" w:rsidRPr="00A52AEE">
        <w:t>s m</w:t>
      </w:r>
      <w:r w:rsidRPr="00A52AEE">
        <w:t>ap</w:t>
      </w:r>
      <w:r w:rsidR="00DF759E" w:rsidRPr="00A52AEE">
        <w:t>ped</w:t>
      </w:r>
      <w:r w:rsidRPr="00A52AEE">
        <w:t xml:space="preserve"> by FE qualification type</w:t>
      </w:r>
      <w:bookmarkEnd w:id="140"/>
    </w:p>
    <w:p w14:paraId="24CCE474" w14:textId="0306B5B6" w:rsidR="005B04D0" w:rsidRPr="00A52AEE" w:rsidRDefault="00DF759E" w:rsidP="00A52AEE">
      <w:r w:rsidRPr="00A52AEE">
        <w:t>Despite the higher rates of progression of London FE and Sixth Form College students, their HE achievement rates are lower than the average for England.  The England average figures for Access, BTEC and A Level appear in red and in brackets below the London percentages for reference.</w:t>
      </w:r>
    </w:p>
    <w:p w14:paraId="62D2C9CE" w14:textId="77777777" w:rsidR="005B04D0" w:rsidRPr="00A52AEE" w:rsidRDefault="005B04D0" w:rsidP="00A52AEE"/>
    <w:p w14:paraId="0CA3BFF0" w14:textId="70BBC87A" w:rsidR="00757B2C" w:rsidRPr="00CC757B" w:rsidRDefault="00757B2C" w:rsidP="00A52AEE">
      <w:pPr>
        <w:rPr>
          <w:b/>
        </w:rPr>
      </w:pPr>
      <w:r w:rsidRPr="00CC757B">
        <w:rPr>
          <w:b/>
        </w:rPr>
        <w:t xml:space="preserve">Figure </w:t>
      </w:r>
      <w:r w:rsidR="005152F4" w:rsidRPr="00CC757B">
        <w:rPr>
          <w:b/>
        </w:rPr>
        <w:t>14</w:t>
      </w:r>
      <w:r w:rsidR="005B04D0" w:rsidRPr="00CC757B">
        <w:rPr>
          <w:b/>
        </w:rPr>
        <w:t>:</w:t>
      </w:r>
      <w:r w:rsidR="005152F4" w:rsidRPr="00CC757B">
        <w:rPr>
          <w:b/>
        </w:rPr>
        <w:t xml:space="preserve"> </w:t>
      </w:r>
      <w:r w:rsidR="005B04D0" w:rsidRPr="00CC757B">
        <w:rPr>
          <w:b/>
        </w:rPr>
        <w:t>Success r</w:t>
      </w:r>
      <w:r w:rsidRPr="00CC757B">
        <w:rPr>
          <w:b/>
        </w:rPr>
        <w:t>ate map</w:t>
      </w:r>
      <w:r w:rsidR="00DF759E" w:rsidRPr="00CC757B">
        <w:rPr>
          <w:b/>
        </w:rPr>
        <w:t>ped</w:t>
      </w:r>
      <w:r w:rsidRPr="00CC757B">
        <w:rPr>
          <w:b/>
        </w:rPr>
        <w:t xml:space="preserve"> by Level 3 qualifi</w:t>
      </w:r>
      <w:r w:rsidR="005B04D0" w:rsidRPr="00CC757B">
        <w:rPr>
          <w:b/>
        </w:rPr>
        <w:t>cation (2008 and 2009 FT First d</w:t>
      </w:r>
      <w:r w:rsidRPr="00CC757B">
        <w:rPr>
          <w:b/>
        </w:rPr>
        <w:t>egree entrants)</w:t>
      </w:r>
    </w:p>
    <w:p w14:paraId="499E2F18" w14:textId="77777777" w:rsidR="00120700" w:rsidRPr="00A52AEE" w:rsidRDefault="00120700" w:rsidP="00A52AEE"/>
    <w:tbl>
      <w:tblPr>
        <w:tblW w:w="9538" w:type="dxa"/>
        <w:tblInd w:w="108" w:type="dxa"/>
        <w:tblLook w:val="04A0" w:firstRow="1" w:lastRow="0" w:firstColumn="1" w:lastColumn="0" w:noHBand="0" w:noVBand="1"/>
      </w:tblPr>
      <w:tblGrid>
        <w:gridCol w:w="1329"/>
        <w:gridCol w:w="776"/>
        <w:gridCol w:w="1136"/>
        <w:gridCol w:w="736"/>
        <w:gridCol w:w="777"/>
        <w:gridCol w:w="2416"/>
        <w:gridCol w:w="1559"/>
        <w:gridCol w:w="850"/>
      </w:tblGrid>
      <w:tr w:rsidR="005B04D0" w:rsidRPr="00A52AEE" w14:paraId="6FEEAA80" w14:textId="77777777" w:rsidTr="0045461C">
        <w:trPr>
          <w:gridAfter w:val="2"/>
          <w:wAfter w:w="2409" w:type="dxa"/>
          <w:trHeight w:val="315"/>
        </w:trPr>
        <w:tc>
          <w:tcPr>
            <w:tcW w:w="3241" w:type="dxa"/>
            <w:gridSpan w:val="3"/>
            <w:shd w:val="clear" w:color="auto" w:fill="auto"/>
            <w:noWrap/>
            <w:vAlign w:val="bottom"/>
          </w:tcPr>
          <w:p w14:paraId="33351740" w14:textId="5ABD2A7B" w:rsidR="005B04D0" w:rsidRPr="00CC757B" w:rsidRDefault="005B04D0" w:rsidP="00A52AEE">
            <w:pPr>
              <w:rPr>
                <w:b/>
                <w:sz w:val="18"/>
              </w:rPr>
            </w:pPr>
            <w:r w:rsidRPr="00CC757B">
              <w:rPr>
                <w:b/>
                <w:color w:val="FFFFFF" w:themeColor="background1"/>
                <w:shd w:val="clear" w:color="auto" w:fill="1F4E79" w:themeFill="accent1" w:themeFillShade="80"/>
              </w:rPr>
              <w:t>ACHIEVEMENT</w:t>
            </w:r>
          </w:p>
        </w:tc>
        <w:tc>
          <w:tcPr>
            <w:tcW w:w="736" w:type="dxa"/>
            <w:shd w:val="clear" w:color="auto" w:fill="auto"/>
            <w:noWrap/>
            <w:vAlign w:val="bottom"/>
          </w:tcPr>
          <w:p w14:paraId="16C9C653" w14:textId="77777777" w:rsidR="005B04D0" w:rsidRPr="00A52AEE" w:rsidRDefault="005B04D0" w:rsidP="00A52AEE"/>
        </w:tc>
        <w:tc>
          <w:tcPr>
            <w:tcW w:w="736" w:type="dxa"/>
            <w:shd w:val="clear" w:color="auto" w:fill="auto"/>
            <w:noWrap/>
            <w:vAlign w:val="bottom"/>
          </w:tcPr>
          <w:p w14:paraId="55CA09FC" w14:textId="77777777" w:rsidR="005B04D0" w:rsidRPr="00A52AEE" w:rsidRDefault="005B04D0" w:rsidP="00A52AEE"/>
        </w:tc>
        <w:tc>
          <w:tcPr>
            <w:tcW w:w="2416" w:type="dxa"/>
            <w:tcBorders>
              <w:right w:val="single" w:sz="12" w:space="0" w:color="auto"/>
            </w:tcBorders>
            <w:shd w:val="clear" w:color="auto" w:fill="auto"/>
            <w:noWrap/>
            <w:vAlign w:val="bottom"/>
          </w:tcPr>
          <w:p w14:paraId="42EDEC5A" w14:textId="77777777" w:rsidR="005B04D0" w:rsidRPr="00A52AEE" w:rsidRDefault="005B04D0" w:rsidP="00A52AEE"/>
        </w:tc>
      </w:tr>
      <w:tr w:rsidR="00120700" w:rsidRPr="00A52AEE" w14:paraId="1AB6137C" w14:textId="77777777" w:rsidTr="0045461C">
        <w:trPr>
          <w:trHeight w:val="315"/>
        </w:trPr>
        <w:tc>
          <w:tcPr>
            <w:tcW w:w="1329" w:type="dxa"/>
            <w:shd w:val="clear" w:color="auto" w:fill="auto"/>
            <w:noWrap/>
            <w:vAlign w:val="bottom"/>
            <w:hideMark/>
          </w:tcPr>
          <w:p w14:paraId="3C0CBE55" w14:textId="77777777" w:rsidR="00120700" w:rsidRPr="00A52AEE" w:rsidRDefault="00120700" w:rsidP="00A52AEE"/>
        </w:tc>
        <w:tc>
          <w:tcPr>
            <w:tcW w:w="776" w:type="dxa"/>
            <w:shd w:val="clear" w:color="auto" w:fill="auto"/>
            <w:noWrap/>
            <w:vAlign w:val="bottom"/>
            <w:hideMark/>
          </w:tcPr>
          <w:p w14:paraId="4FEE857D" w14:textId="77777777" w:rsidR="00120700" w:rsidRPr="00A52AEE" w:rsidRDefault="00120700" w:rsidP="00A52AEE"/>
        </w:tc>
        <w:tc>
          <w:tcPr>
            <w:tcW w:w="1136" w:type="dxa"/>
            <w:tcBorders>
              <w:bottom w:val="single" w:sz="12" w:space="0" w:color="auto"/>
            </w:tcBorders>
            <w:shd w:val="clear" w:color="auto" w:fill="auto"/>
            <w:noWrap/>
            <w:vAlign w:val="bottom"/>
            <w:hideMark/>
          </w:tcPr>
          <w:p w14:paraId="0C83F89C" w14:textId="77777777" w:rsidR="00120700" w:rsidRPr="00A52AEE" w:rsidRDefault="00120700" w:rsidP="00A52AEE"/>
        </w:tc>
        <w:tc>
          <w:tcPr>
            <w:tcW w:w="736" w:type="dxa"/>
            <w:tcBorders>
              <w:bottom w:val="single" w:sz="12" w:space="0" w:color="auto"/>
            </w:tcBorders>
            <w:shd w:val="clear" w:color="auto" w:fill="auto"/>
            <w:noWrap/>
            <w:vAlign w:val="bottom"/>
            <w:hideMark/>
          </w:tcPr>
          <w:p w14:paraId="3DE5373D" w14:textId="77777777" w:rsidR="00120700" w:rsidRPr="00A52AEE" w:rsidRDefault="00120700" w:rsidP="00A52AEE"/>
        </w:tc>
        <w:tc>
          <w:tcPr>
            <w:tcW w:w="736" w:type="dxa"/>
            <w:tcBorders>
              <w:bottom w:val="single" w:sz="12" w:space="0" w:color="auto"/>
            </w:tcBorders>
            <w:shd w:val="clear" w:color="auto" w:fill="auto"/>
            <w:noWrap/>
            <w:vAlign w:val="bottom"/>
            <w:hideMark/>
          </w:tcPr>
          <w:p w14:paraId="1D84EC57" w14:textId="77777777" w:rsidR="00120700" w:rsidRPr="00A52AEE" w:rsidRDefault="00120700" w:rsidP="009A2373">
            <w:pPr>
              <w:jc w:val="right"/>
            </w:pPr>
          </w:p>
        </w:tc>
        <w:tc>
          <w:tcPr>
            <w:tcW w:w="2416" w:type="dxa"/>
            <w:tcBorders>
              <w:right w:val="single" w:sz="12" w:space="0" w:color="auto"/>
            </w:tcBorders>
            <w:shd w:val="clear" w:color="auto" w:fill="auto"/>
            <w:noWrap/>
            <w:vAlign w:val="bottom"/>
            <w:hideMark/>
          </w:tcPr>
          <w:p w14:paraId="0F6B7C88" w14:textId="77777777" w:rsidR="00120700" w:rsidRPr="00A52AEE" w:rsidRDefault="00120700" w:rsidP="009A2373">
            <w:pPr>
              <w:jc w:val="right"/>
            </w:pPr>
          </w:p>
          <w:tbl>
            <w:tblPr>
              <w:tblW w:w="0" w:type="auto"/>
              <w:tblCellSpacing w:w="0" w:type="dxa"/>
              <w:tblCellMar>
                <w:left w:w="0" w:type="dxa"/>
                <w:right w:w="0" w:type="dxa"/>
              </w:tblCellMar>
              <w:tblLook w:val="04A0" w:firstRow="1" w:lastRow="0" w:firstColumn="1" w:lastColumn="0" w:noHBand="0" w:noVBand="1"/>
            </w:tblPr>
            <w:tblGrid>
              <w:gridCol w:w="2200"/>
            </w:tblGrid>
            <w:tr w:rsidR="00120700" w:rsidRPr="00A52AEE" w14:paraId="59ED2655" w14:textId="77777777" w:rsidTr="00DA196D">
              <w:trPr>
                <w:trHeight w:val="315"/>
                <w:tblCellSpacing w:w="0" w:type="dxa"/>
              </w:trPr>
              <w:tc>
                <w:tcPr>
                  <w:tcW w:w="2200" w:type="dxa"/>
                  <w:tcBorders>
                    <w:top w:val="nil"/>
                    <w:left w:val="nil"/>
                    <w:bottom w:val="nil"/>
                    <w:right w:val="nil"/>
                  </w:tcBorders>
                  <w:shd w:val="clear" w:color="auto" w:fill="auto"/>
                  <w:noWrap/>
                  <w:vAlign w:val="bottom"/>
                  <w:hideMark/>
                </w:tcPr>
                <w:p w14:paraId="2995265A" w14:textId="77777777" w:rsidR="00120700" w:rsidRPr="00A52AEE" w:rsidRDefault="00120700" w:rsidP="009A2373">
                  <w:pPr>
                    <w:jc w:val="right"/>
                  </w:pPr>
                </w:p>
              </w:tc>
            </w:tr>
          </w:tbl>
          <w:p w14:paraId="79E46A56" w14:textId="77777777" w:rsidR="00120700" w:rsidRPr="00A52AEE" w:rsidRDefault="00120700" w:rsidP="009A2373">
            <w:pPr>
              <w:jc w:val="right"/>
            </w:pP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AD04ED1" w14:textId="77777777" w:rsidR="00120700" w:rsidRPr="00A52AEE" w:rsidRDefault="00120700" w:rsidP="00A52AEE">
            <w:r w:rsidRPr="00A52AEE">
              <w:t xml:space="preserve">Attained </w:t>
            </w:r>
          </w:p>
          <w:p w14:paraId="346C7F38" w14:textId="77777777" w:rsidR="00120700" w:rsidRPr="00A52AEE" w:rsidRDefault="00120700" w:rsidP="00A52AEE">
            <w:r w:rsidRPr="00A52AEE">
              <w:t>1st or 2:1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2DD75C" w14:textId="77777777" w:rsidR="00120700" w:rsidRPr="00A52AEE" w:rsidRDefault="00120700" w:rsidP="006B7284">
            <w:pPr>
              <w:jc w:val="right"/>
            </w:pPr>
            <w:r w:rsidRPr="00A52AEE">
              <w:t>49%</w:t>
            </w:r>
          </w:p>
          <w:p w14:paraId="41595246" w14:textId="5014D9A8" w:rsidR="00DF759E" w:rsidRPr="00A52AEE" w:rsidRDefault="00DF759E" w:rsidP="006B7284">
            <w:pPr>
              <w:jc w:val="right"/>
              <w:rPr>
                <w:color w:val="000000"/>
              </w:rPr>
            </w:pPr>
            <w:r w:rsidRPr="006B7284">
              <w:rPr>
                <w:color w:val="FF0000"/>
              </w:rPr>
              <w:t>(57%)</w:t>
            </w:r>
          </w:p>
        </w:tc>
      </w:tr>
      <w:tr w:rsidR="00120700" w:rsidRPr="00A52AEE" w14:paraId="5331CDF6" w14:textId="77777777" w:rsidTr="00120700">
        <w:trPr>
          <w:trHeight w:val="267"/>
        </w:trPr>
        <w:tc>
          <w:tcPr>
            <w:tcW w:w="1329" w:type="dxa"/>
            <w:tcBorders>
              <w:bottom w:val="single" w:sz="12" w:space="0" w:color="auto"/>
            </w:tcBorders>
            <w:shd w:val="clear" w:color="auto" w:fill="auto"/>
            <w:noWrap/>
            <w:vAlign w:val="bottom"/>
            <w:hideMark/>
          </w:tcPr>
          <w:p w14:paraId="56163D88" w14:textId="77777777" w:rsidR="00120700" w:rsidRPr="00A52AEE" w:rsidRDefault="00120700" w:rsidP="00A52AEE"/>
        </w:tc>
        <w:tc>
          <w:tcPr>
            <w:tcW w:w="776" w:type="dxa"/>
            <w:vMerge w:val="restart"/>
            <w:tcBorders>
              <w:right w:val="single" w:sz="12" w:space="0" w:color="auto"/>
            </w:tcBorders>
            <w:shd w:val="clear" w:color="auto" w:fill="auto"/>
            <w:noWrap/>
            <w:vAlign w:val="bottom"/>
            <w:hideMark/>
          </w:tcPr>
          <w:p w14:paraId="2E43812B" w14:textId="77777777" w:rsidR="00120700" w:rsidRPr="00A52AEE" w:rsidRDefault="00120700" w:rsidP="00A52AEE">
            <w:r w:rsidRPr="00A52AEE">
              <w:rPr>
                <w:noProof/>
                <w:lang w:eastAsia="en-GB"/>
              </w:rPr>
              <mc:AlternateContent>
                <mc:Choice Requires="wps">
                  <w:drawing>
                    <wp:anchor distT="0" distB="0" distL="114300" distR="114300" simplePos="0" relativeHeight="251662336" behindDoc="0" locked="0" layoutInCell="1" allowOverlap="1" wp14:anchorId="0B36DB66" wp14:editId="4D4B3475">
                      <wp:simplePos x="0" y="0"/>
                      <wp:positionH relativeFrom="column">
                        <wp:posOffset>-41910</wp:posOffset>
                      </wp:positionH>
                      <wp:positionV relativeFrom="paragraph">
                        <wp:posOffset>-130175</wp:posOffset>
                      </wp:positionV>
                      <wp:extent cx="390525" cy="161925"/>
                      <wp:effectExtent l="19050" t="57150" r="9525" b="28575"/>
                      <wp:wrapNone/>
                      <wp:docPr id="86" name="Straight Arrow Connector 86"/>
                      <wp:cNvGraphicFramePr/>
                      <a:graphic xmlns:a="http://schemas.openxmlformats.org/drawingml/2006/main">
                        <a:graphicData uri="http://schemas.microsoft.com/office/word/2010/wordprocessingShape">
                          <wps:wsp>
                            <wps:cNvCnPr/>
                            <wps:spPr>
                              <a:xfrm flipV="1">
                                <a:off x="0" y="0"/>
                                <a:ext cx="304800" cy="2857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5D7258" id="Straight Arrow Connector 86" o:spid="_x0000_s1026" type="#_x0000_t32" style="position:absolute;margin-left:-3.3pt;margin-top:-10.25pt;width:30.75pt;height:1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" strokecolor="#5b9bd5 [3204]" strokeweight="2.25pt">
                      <v:stroke endarrow="open" joinstyle="miter"/>
                    </v:shape>
                  </w:pict>
                </mc:Fallback>
              </mc:AlternateContent>
            </w:r>
          </w:p>
        </w:tc>
        <w:tc>
          <w:tcPr>
            <w:tcW w:w="187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6EBF24A3" w14:textId="77777777" w:rsidR="00120700" w:rsidRPr="00A52AEE" w:rsidRDefault="00120700" w:rsidP="00A52AEE">
            <w:r w:rsidRPr="00A52AEE">
              <w:t>Achieved First Degree</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D21F791" w14:textId="77777777" w:rsidR="00120700" w:rsidRPr="00A52AEE" w:rsidRDefault="00120700" w:rsidP="009A2373">
            <w:pPr>
              <w:jc w:val="right"/>
            </w:pPr>
            <w:r w:rsidRPr="00A52AEE">
              <w:t>52%</w:t>
            </w:r>
          </w:p>
          <w:p w14:paraId="35ED6F23" w14:textId="0B048C3C" w:rsidR="00DF759E" w:rsidRPr="00A52AEE" w:rsidRDefault="00DF759E" w:rsidP="009A2373">
            <w:pPr>
              <w:jc w:val="right"/>
              <w:rPr>
                <w:color w:val="000000"/>
              </w:rPr>
            </w:pPr>
            <w:r w:rsidRPr="009A2373">
              <w:rPr>
                <w:color w:val="FF0000"/>
              </w:rPr>
              <w:t>(62%)</w:t>
            </w:r>
          </w:p>
        </w:tc>
        <w:tc>
          <w:tcPr>
            <w:tcW w:w="2416" w:type="dxa"/>
            <w:tcBorders>
              <w:left w:val="single" w:sz="12" w:space="0" w:color="auto"/>
              <w:right w:val="single" w:sz="12" w:space="0" w:color="auto"/>
            </w:tcBorders>
            <w:shd w:val="clear" w:color="auto" w:fill="auto"/>
            <w:noWrap/>
            <w:vAlign w:val="bottom"/>
            <w:hideMark/>
          </w:tcPr>
          <w:p w14:paraId="70CD572C" w14:textId="77777777" w:rsidR="00120700" w:rsidRPr="00A52AEE" w:rsidRDefault="00120700" w:rsidP="009A2373">
            <w:pPr>
              <w:jc w:val="right"/>
            </w:pPr>
            <w:r w:rsidRPr="00A52AEE">
              <w:rPr>
                <w:noProof/>
                <w:lang w:eastAsia="en-GB"/>
              </w:rPr>
              <mc:AlternateContent>
                <mc:Choice Requires="wps">
                  <w:drawing>
                    <wp:anchor distT="0" distB="0" distL="114300" distR="114300" simplePos="0" relativeHeight="251663360" behindDoc="0" locked="0" layoutInCell="1" allowOverlap="1" wp14:anchorId="4C528AA6" wp14:editId="5928576D">
                      <wp:simplePos x="0" y="0"/>
                      <wp:positionH relativeFrom="column">
                        <wp:posOffset>138430</wp:posOffset>
                      </wp:positionH>
                      <wp:positionV relativeFrom="paragraph">
                        <wp:posOffset>-64135</wp:posOffset>
                      </wp:positionV>
                      <wp:extent cx="990600" cy="190500"/>
                      <wp:effectExtent l="19050" t="95250" r="0" b="19050"/>
                      <wp:wrapNone/>
                      <wp:docPr id="87" name="Straight Arrow Connector 87"/>
                      <wp:cNvGraphicFramePr/>
                      <a:graphic xmlns:a="http://schemas.openxmlformats.org/drawingml/2006/main">
                        <a:graphicData uri="http://schemas.microsoft.com/office/word/2010/wordprocessingShape">
                          <wps:wsp>
                            <wps:cNvCnPr/>
                            <wps:spPr>
                              <a:xfrm flipV="1">
                                <a:off x="0" y="0"/>
                                <a:ext cx="904875" cy="9906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23B337" id="Straight Arrow Connector 87" o:spid="_x0000_s1026" type="#_x0000_t32" style="position:absolute;margin-left:10.9pt;margin-top:-5.05pt;width:78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" strokecolor="#5b9bd5 [3204]" strokeweight="2.25pt">
                      <v:stroke endarrow="open" joinstyle="miter"/>
                    </v:shape>
                  </w:pict>
                </mc:Fallback>
              </mc:AlternateContent>
            </w:r>
          </w:p>
        </w:tc>
        <w:tc>
          <w:tcPr>
            <w:tcW w:w="1559" w:type="dxa"/>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10961B70" w14:textId="77777777" w:rsidR="00120700" w:rsidRPr="00A52AEE" w:rsidRDefault="00120700" w:rsidP="00A52AEE"/>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69A75341" w14:textId="77777777" w:rsidR="00120700" w:rsidRPr="00A52AEE" w:rsidRDefault="00120700" w:rsidP="006B7284">
            <w:pPr>
              <w:jc w:val="right"/>
            </w:pPr>
          </w:p>
        </w:tc>
      </w:tr>
      <w:tr w:rsidR="00120700" w:rsidRPr="00A52AEE" w14:paraId="2E773B88" w14:textId="77777777" w:rsidTr="00120700">
        <w:trPr>
          <w:trHeight w:val="360"/>
        </w:trPr>
        <w:tc>
          <w:tcPr>
            <w:tcW w:w="1329"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38B73F0B" w14:textId="77777777" w:rsidR="00120700" w:rsidRPr="00CC757B" w:rsidRDefault="00120700" w:rsidP="00A52AEE">
            <w:pPr>
              <w:rPr>
                <w:b/>
              </w:rPr>
            </w:pPr>
            <w:r w:rsidRPr="00CC757B">
              <w:rPr>
                <w:b/>
                <w:color w:val="FFFFFF" w:themeColor="background1"/>
              </w:rPr>
              <w:t xml:space="preserve">Access </w:t>
            </w:r>
          </w:p>
        </w:tc>
        <w:tc>
          <w:tcPr>
            <w:tcW w:w="776" w:type="dxa"/>
            <w:vMerge/>
            <w:tcBorders>
              <w:left w:val="single" w:sz="12" w:space="0" w:color="auto"/>
              <w:right w:val="single" w:sz="12" w:space="0" w:color="auto"/>
            </w:tcBorders>
            <w:vAlign w:val="center"/>
            <w:hideMark/>
          </w:tcPr>
          <w:p w14:paraId="68FA5951" w14:textId="77777777" w:rsidR="00120700" w:rsidRPr="00A52AEE" w:rsidRDefault="00120700" w:rsidP="00A52AEE"/>
        </w:tc>
        <w:tc>
          <w:tcPr>
            <w:tcW w:w="187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416DD6" w14:textId="77777777" w:rsidR="00120700" w:rsidRPr="00A52AEE" w:rsidRDefault="00120700" w:rsidP="00A52AEE">
            <w:r w:rsidRPr="00A52AEE">
              <w:t>Achieved Lower Award</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41F9CC8" w14:textId="4A15FBB7" w:rsidR="00120700" w:rsidRPr="00A52AEE" w:rsidRDefault="00120700" w:rsidP="009A2373">
            <w:pPr>
              <w:jc w:val="right"/>
            </w:pPr>
            <w:r w:rsidRPr="00A52AEE">
              <w:t>14%</w:t>
            </w:r>
          </w:p>
        </w:tc>
        <w:tc>
          <w:tcPr>
            <w:tcW w:w="2416" w:type="dxa"/>
            <w:tcBorders>
              <w:left w:val="single" w:sz="12" w:space="0" w:color="auto"/>
            </w:tcBorders>
            <w:shd w:val="clear" w:color="auto" w:fill="auto"/>
            <w:noWrap/>
            <w:vAlign w:val="bottom"/>
            <w:hideMark/>
          </w:tcPr>
          <w:p w14:paraId="5BCE9007" w14:textId="77777777" w:rsidR="00120700" w:rsidRPr="00A52AEE" w:rsidRDefault="00120700" w:rsidP="009A2373">
            <w:pPr>
              <w:jc w:val="right"/>
            </w:pPr>
          </w:p>
        </w:tc>
        <w:tc>
          <w:tcPr>
            <w:tcW w:w="1559" w:type="dxa"/>
            <w:tcBorders>
              <w:top w:val="single" w:sz="12" w:space="0" w:color="auto"/>
            </w:tcBorders>
            <w:shd w:val="clear" w:color="auto" w:fill="auto"/>
            <w:noWrap/>
            <w:vAlign w:val="bottom"/>
            <w:hideMark/>
          </w:tcPr>
          <w:p w14:paraId="1E78418C" w14:textId="77777777" w:rsidR="00120700" w:rsidRPr="00A52AEE" w:rsidRDefault="00120700" w:rsidP="00A52AEE"/>
        </w:tc>
        <w:tc>
          <w:tcPr>
            <w:tcW w:w="850" w:type="dxa"/>
            <w:tcBorders>
              <w:top w:val="single" w:sz="12" w:space="0" w:color="auto"/>
            </w:tcBorders>
            <w:shd w:val="clear" w:color="auto" w:fill="auto"/>
            <w:noWrap/>
            <w:vAlign w:val="bottom"/>
            <w:hideMark/>
          </w:tcPr>
          <w:p w14:paraId="06776C02" w14:textId="77777777" w:rsidR="00120700" w:rsidRPr="00A52AEE" w:rsidRDefault="00120700" w:rsidP="006B7284">
            <w:pPr>
              <w:jc w:val="right"/>
            </w:pPr>
          </w:p>
        </w:tc>
      </w:tr>
      <w:tr w:rsidR="00120700" w:rsidRPr="00A52AEE" w14:paraId="389A49A9" w14:textId="77777777" w:rsidTr="00120700">
        <w:trPr>
          <w:trHeight w:val="315"/>
        </w:trPr>
        <w:tc>
          <w:tcPr>
            <w:tcW w:w="1329" w:type="dxa"/>
            <w:tcBorders>
              <w:top w:val="single" w:sz="12" w:space="0" w:color="auto"/>
            </w:tcBorders>
            <w:shd w:val="clear" w:color="auto" w:fill="auto"/>
            <w:noWrap/>
            <w:vAlign w:val="bottom"/>
            <w:hideMark/>
          </w:tcPr>
          <w:p w14:paraId="2F3389BA" w14:textId="77777777" w:rsidR="00120700" w:rsidRPr="00A52AEE" w:rsidRDefault="00120700" w:rsidP="00A52AEE"/>
        </w:tc>
        <w:tc>
          <w:tcPr>
            <w:tcW w:w="776" w:type="dxa"/>
            <w:shd w:val="clear" w:color="auto" w:fill="auto"/>
            <w:noWrap/>
            <w:vAlign w:val="bottom"/>
            <w:hideMark/>
          </w:tcPr>
          <w:p w14:paraId="67377CAF" w14:textId="77777777" w:rsidR="00120700" w:rsidRPr="00A52AEE" w:rsidRDefault="00120700" w:rsidP="00A52AEE"/>
        </w:tc>
        <w:tc>
          <w:tcPr>
            <w:tcW w:w="1136" w:type="dxa"/>
            <w:tcBorders>
              <w:top w:val="single" w:sz="12" w:space="0" w:color="auto"/>
            </w:tcBorders>
            <w:shd w:val="clear" w:color="auto" w:fill="auto"/>
            <w:noWrap/>
            <w:vAlign w:val="bottom"/>
            <w:hideMark/>
          </w:tcPr>
          <w:p w14:paraId="56B736CA" w14:textId="77777777" w:rsidR="00120700" w:rsidRPr="00A52AEE" w:rsidRDefault="00120700" w:rsidP="00A52AEE"/>
        </w:tc>
        <w:tc>
          <w:tcPr>
            <w:tcW w:w="736" w:type="dxa"/>
            <w:tcBorders>
              <w:top w:val="single" w:sz="12" w:space="0" w:color="auto"/>
            </w:tcBorders>
            <w:shd w:val="clear" w:color="auto" w:fill="auto"/>
            <w:noWrap/>
            <w:vAlign w:val="bottom"/>
            <w:hideMark/>
          </w:tcPr>
          <w:p w14:paraId="4DBDCED4" w14:textId="77777777" w:rsidR="00120700" w:rsidRPr="00A52AEE" w:rsidRDefault="00120700" w:rsidP="00A52AEE"/>
        </w:tc>
        <w:tc>
          <w:tcPr>
            <w:tcW w:w="736" w:type="dxa"/>
            <w:tcBorders>
              <w:top w:val="single" w:sz="12" w:space="0" w:color="auto"/>
            </w:tcBorders>
            <w:shd w:val="clear" w:color="auto" w:fill="auto"/>
            <w:noWrap/>
            <w:vAlign w:val="bottom"/>
            <w:hideMark/>
          </w:tcPr>
          <w:p w14:paraId="05B486FE" w14:textId="77777777" w:rsidR="00120700" w:rsidRPr="00A52AEE" w:rsidRDefault="00120700" w:rsidP="009A2373">
            <w:pPr>
              <w:jc w:val="right"/>
            </w:pPr>
          </w:p>
        </w:tc>
        <w:tc>
          <w:tcPr>
            <w:tcW w:w="2416" w:type="dxa"/>
            <w:shd w:val="clear" w:color="auto" w:fill="auto"/>
            <w:noWrap/>
            <w:vAlign w:val="bottom"/>
            <w:hideMark/>
          </w:tcPr>
          <w:p w14:paraId="79AB67EE" w14:textId="77777777" w:rsidR="00120700" w:rsidRPr="00A52AEE" w:rsidRDefault="00120700" w:rsidP="009A2373">
            <w:pPr>
              <w:jc w:val="right"/>
            </w:pPr>
          </w:p>
        </w:tc>
        <w:tc>
          <w:tcPr>
            <w:tcW w:w="1559" w:type="dxa"/>
            <w:tcBorders>
              <w:bottom w:val="single" w:sz="12" w:space="0" w:color="auto"/>
            </w:tcBorders>
            <w:shd w:val="clear" w:color="auto" w:fill="auto"/>
            <w:noWrap/>
            <w:vAlign w:val="bottom"/>
            <w:hideMark/>
          </w:tcPr>
          <w:p w14:paraId="3FBF155D" w14:textId="77777777" w:rsidR="00120700" w:rsidRPr="00A52AEE" w:rsidRDefault="00120700" w:rsidP="00A52AEE"/>
        </w:tc>
        <w:tc>
          <w:tcPr>
            <w:tcW w:w="850" w:type="dxa"/>
            <w:tcBorders>
              <w:bottom w:val="single" w:sz="12" w:space="0" w:color="auto"/>
            </w:tcBorders>
            <w:shd w:val="clear" w:color="auto" w:fill="auto"/>
            <w:noWrap/>
            <w:vAlign w:val="bottom"/>
            <w:hideMark/>
          </w:tcPr>
          <w:p w14:paraId="20A36D06" w14:textId="77777777" w:rsidR="00120700" w:rsidRPr="00A52AEE" w:rsidRDefault="00120700" w:rsidP="006B7284">
            <w:pPr>
              <w:jc w:val="right"/>
            </w:pPr>
          </w:p>
        </w:tc>
      </w:tr>
      <w:tr w:rsidR="00120700" w:rsidRPr="00A52AEE" w14:paraId="63C649B0" w14:textId="77777777" w:rsidTr="00120700">
        <w:trPr>
          <w:trHeight w:val="315"/>
        </w:trPr>
        <w:tc>
          <w:tcPr>
            <w:tcW w:w="1329" w:type="dxa"/>
            <w:shd w:val="clear" w:color="auto" w:fill="auto"/>
            <w:noWrap/>
            <w:vAlign w:val="bottom"/>
            <w:hideMark/>
          </w:tcPr>
          <w:p w14:paraId="1208A101" w14:textId="77777777" w:rsidR="00120700" w:rsidRPr="00A52AEE" w:rsidRDefault="00120700" w:rsidP="00A52AEE"/>
        </w:tc>
        <w:tc>
          <w:tcPr>
            <w:tcW w:w="776" w:type="dxa"/>
            <w:shd w:val="clear" w:color="auto" w:fill="auto"/>
            <w:noWrap/>
            <w:vAlign w:val="bottom"/>
            <w:hideMark/>
          </w:tcPr>
          <w:p w14:paraId="70155736" w14:textId="77777777" w:rsidR="00120700" w:rsidRPr="00A52AEE" w:rsidRDefault="00120700" w:rsidP="00A52AEE"/>
        </w:tc>
        <w:tc>
          <w:tcPr>
            <w:tcW w:w="1136" w:type="dxa"/>
            <w:tcBorders>
              <w:bottom w:val="single" w:sz="12" w:space="0" w:color="auto"/>
            </w:tcBorders>
            <w:shd w:val="clear" w:color="auto" w:fill="auto"/>
            <w:noWrap/>
            <w:vAlign w:val="bottom"/>
            <w:hideMark/>
          </w:tcPr>
          <w:p w14:paraId="7DBFA721" w14:textId="77777777" w:rsidR="00120700" w:rsidRPr="00A52AEE" w:rsidRDefault="00120700" w:rsidP="00A52AEE"/>
        </w:tc>
        <w:tc>
          <w:tcPr>
            <w:tcW w:w="736" w:type="dxa"/>
            <w:tcBorders>
              <w:bottom w:val="single" w:sz="12" w:space="0" w:color="auto"/>
            </w:tcBorders>
            <w:shd w:val="clear" w:color="auto" w:fill="auto"/>
            <w:noWrap/>
            <w:vAlign w:val="bottom"/>
            <w:hideMark/>
          </w:tcPr>
          <w:p w14:paraId="3C7B8836" w14:textId="77777777" w:rsidR="00120700" w:rsidRPr="00A52AEE" w:rsidRDefault="00120700" w:rsidP="00A52AEE"/>
        </w:tc>
        <w:tc>
          <w:tcPr>
            <w:tcW w:w="736" w:type="dxa"/>
            <w:tcBorders>
              <w:bottom w:val="single" w:sz="12" w:space="0" w:color="auto"/>
            </w:tcBorders>
            <w:shd w:val="clear" w:color="auto" w:fill="auto"/>
            <w:noWrap/>
            <w:vAlign w:val="bottom"/>
            <w:hideMark/>
          </w:tcPr>
          <w:p w14:paraId="6A2556C2" w14:textId="77777777" w:rsidR="00120700" w:rsidRPr="00A52AEE" w:rsidRDefault="00120700" w:rsidP="009A2373">
            <w:pPr>
              <w:jc w:val="right"/>
            </w:pPr>
          </w:p>
        </w:tc>
        <w:tc>
          <w:tcPr>
            <w:tcW w:w="2416" w:type="dxa"/>
            <w:vMerge w:val="restart"/>
            <w:tcBorders>
              <w:right w:val="single" w:sz="12" w:space="0" w:color="auto"/>
            </w:tcBorders>
            <w:shd w:val="clear" w:color="auto" w:fill="auto"/>
            <w:noWrap/>
            <w:vAlign w:val="bottom"/>
            <w:hideMark/>
          </w:tcPr>
          <w:p w14:paraId="357E33D5" w14:textId="77777777" w:rsidR="00120700" w:rsidRPr="00A52AEE" w:rsidRDefault="00120700" w:rsidP="009A2373">
            <w:pPr>
              <w:jc w:val="right"/>
            </w:pPr>
            <w:r w:rsidRPr="00A52AEE">
              <w:rPr>
                <w:noProof/>
                <w:lang w:eastAsia="en-GB"/>
              </w:rPr>
              <mc:AlternateContent>
                <mc:Choice Requires="wps">
                  <w:drawing>
                    <wp:anchor distT="0" distB="0" distL="114300" distR="114300" simplePos="0" relativeHeight="251664384" behindDoc="0" locked="0" layoutInCell="1" allowOverlap="1" wp14:anchorId="665DAEBB" wp14:editId="7BAED227">
                      <wp:simplePos x="0" y="0"/>
                      <wp:positionH relativeFrom="column">
                        <wp:posOffset>104775</wp:posOffset>
                      </wp:positionH>
                      <wp:positionV relativeFrom="paragraph">
                        <wp:posOffset>-24765</wp:posOffset>
                      </wp:positionV>
                      <wp:extent cx="990600" cy="190500"/>
                      <wp:effectExtent l="19050" t="95250" r="0" b="19050"/>
                      <wp:wrapNone/>
                      <wp:docPr id="33" name="Straight Arrow Connector 33"/>
                      <wp:cNvGraphicFramePr/>
                      <a:graphic xmlns:a="http://schemas.openxmlformats.org/drawingml/2006/main">
                        <a:graphicData uri="http://schemas.microsoft.com/office/word/2010/wordprocessingShape">
                          <wps:wsp>
                            <wps:cNvCnPr/>
                            <wps:spPr>
                              <a:xfrm flipV="1">
                                <a:off x="0" y="0"/>
                                <a:ext cx="904875" cy="99061"/>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FCC35A" id="Straight Arrow Connector 33" o:spid="_x0000_s1026" type="#_x0000_t32" style="position:absolute;margin-left:8.25pt;margin-top:-1.95pt;width:78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" strokecolor="#4a7ebb" strokeweight="2.25pt">
                      <v:stroke endarrow="open"/>
                    </v:shape>
                  </w:pict>
                </mc:Fallback>
              </mc:AlternateConten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59746AC" w14:textId="77777777" w:rsidR="00120700" w:rsidRPr="00A52AEE" w:rsidRDefault="00120700" w:rsidP="00A52AEE">
            <w:r w:rsidRPr="00A52AEE">
              <w:t xml:space="preserve">Attained </w:t>
            </w:r>
          </w:p>
          <w:p w14:paraId="577F1B96" w14:textId="77777777" w:rsidR="00120700" w:rsidRPr="00A52AEE" w:rsidRDefault="00120700" w:rsidP="00A52AEE">
            <w:r w:rsidRPr="00A52AEE">
              <w:t>1st or 2:1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AEEF33F" w14:textId="77777777" w:rsidR="00120700" w:rsidRPr="00A52AEE" w:rsidRDefault="00120700" w:rsidP="006B7284">
            <w:pPr>
              <w:jc w:val="right"/>
            </w:pPr>
            <w:r w:rsidRPr="00A52AEE">
              <w:t>36%</w:t>
            </w:r>
          </w:p>
          <w:p w14:paraId="425220EF" w14:textId="2A898E06" w:rsidR="00DF759E" w:rsidRPr="00A52AEE" w:rsidRDefault="006B7284" w:rsidP="006B7284">
            <w:pPr>
              <w:jc w:val="right"/>
              <w:rPr>
                <w:color w:val="000000"/>
              </w:rPr>
            </w:pPr>
            <w:r w:rsidRPr="006B7284">
              <w:rPr>
                <w:color w:val="FF0000"/>
              </w:rPr>
              <w:t>(</w:t>
            </w:r>
            <w:r w:rsidR="00DF759E" w:rsidRPr="006B7284">
              <w:rPr>
                <w:color w:val="FF0000"/>
              </w:rPr>
              <w:t>50%</w:t>
            </w:r>
            <w:r w:rsidRPr="006B7284">
              <w:rPr>
                <w:color w:val="FF0000"/>
              </w:rPr>
              <w:t>)</w:t>
            </w:r>
          </w:p>
        </w:tc>
      </w:tr>
      <w:tr w:rsidR="00120700" w:rsidRPr="00A52AEE" w14:paraId="51C25556" w14:textId="77777777" w:rsidTr="00120700">
        <w:trPr>
          <w:trHeight w:val="315"/>
        </w:trPr>
        <w:tc>
          <w:tcPr>
            <w:tcW w:w="1329" w:type="dxa"/>
            <w:tcBorders>
              <w:bottom w:val="single" w:sz="12" w:space="0" w:color="auto"/>
            </w:tcBorders>
            <w:shd w:val="clear" w:color="auto" w:fill="auto"/>
            <w:noWrap/>
            <w:vAlign w:val="bottom"/>
            <w:hideMark/>
          </w:tcPr>
          <w:p w14:paraId="4905CF1C" w14:textId="77777777" w:rsidR="00120700" w:rsidRPr="00A52AEE" w:rsidRDefault="00120700" w:rsidP="00A52AEE"/>
        </w:tc>
        <w:tc>
          <w:tcPr>
            <w:tcW w:w="776" w:type="dxa"/>
            <w:vMerge w:val="restart"/>
            <w:tcBorders>
              <w:right w:val="single" w:sz="12" w:space="0" w:color="auto"/>
            </w:tcBorders>
            <w:shd w:val="clear" w:color="auto" w:fill="auto"/>
            <w:noWrap/>
            <w:vAlign w:val="bottom"/>
            <w:hideMark/>
          </w:tcPr>
          <w:p w14:paraId="7EE74DC5" w14:textId="77777777" w:rsidR="00120700" w:rsidRPr="00A52AEE" w:rsidRDefault="00120700" w:rsidP="00A52AEE">
            <w:r w:rsidRPr="00A52AEE">
              <w:rPr>
                <w:noProof/>
                <w:lang w:eastAsia="en-GB"/>
              </w:rPr>
              <mc:AlternateContent>
                <mc:Choice Requires="wps">
                  <w:drawing>
                    <wp:anchor distT="0" distB="0" distL="114300" distR="114300" simplePos="0" relativeHeight="251666432" behindDoc="0" locked="0" layoutInCell="1" allowOverlap="1" wp14:anchorId="658E59AF" wp14:editId="7CC10F09">
                      <wp:simplePos x="0" y="0"/>
                      <wp:positionH relativeFrom="column">
                        <wp:posOffset>-19050</wp:posOffset>
                      </wp:positionH>
                      <wp:positionV relativeFrom="paragraph">
                        <wp:posOffset>-135255</wp:posOffset>
                      </wp:positionV>
                      <wp:extent cx="390525" cy="161925"/>
                      <wp:effectExtent l="19050" t="57150" r="9525" b="28575"/>
                      <wp:wrapNone/>
                      <wp:docPr id="16" name="Straight Arrow Connector 16"/>
                      <wp:cNvGraphicFramePr/>
                      <a:graphic xmlns:a="http://schemas.openxmlformats.org/drawingml/2006/main">
                        <a:graphicData uri="http://schemas.microsoft.com/office/word/2010/wordprocessingShape">
                          <wps:wsp>
                            <wps:cNvCnPr/>
                            <wps:spPr>
                              <a:xfrm flipV="1">
                                <a:off x="0" y="0"/>
                                <a:ext cx="304800" cy="2857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6F55BEE" id="Straight Arrow Connector 16" o:spid="_x0000_s1026" type="#_x0000_t32" style="position:absolute;margin-left:-1.5pt;margin-top:-10.65pt;width:30.75pt;height:1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" strokecolor="#4a7ebb" strokeweight="2.25pt">
                      <v:stroke endarrow="open"/>
                    </v:shape>
                  </w:pict>
                </mc:Fallback>
              </mc:AlternateContent>
            </w:r>
          </w:p>
        </w:tc>
        <w:tc>
          <w:tcPr>
            <w:tcW w:w="187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0A9F6E4A" w14:textId="77777777" w:rsidR="00120700" w:rsidRPr="00A52AEE" w:rsidRDefault="00120700" w:rsidP="00A52AEE">
            <w:r w:rsidRPr="00A52AEE">
              <w:t>Achieved First Degree</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1E45451" w14:textId="77777777" w:rsidR="00120700" w:rsidRPr="00A52AEE" w:rsidRDefault="00120700" w:rsidP="009A2373">
            <w:pPr>
              <w:jc w:val="right"/>
            </w:pPr>
            <w:r w:rsidRPr="00A52AEE">
              <w:t>56%</w:t>
            </w:r>
          </w:p>
          <w:p w14:paraId="2156B9C4" w14:textId="488DFA8D" w:rsidR="00DF759E" w:rsidRPr="00A52AEE" w:rsidRDefault="00DF759E" w:rsidP="009A2373">
            <w:pPr>
              <w:jc w:val="right"/>
              <w:rPr>
                <w:color w:val="000000"/>
              </w:rPr>
            </w:pPr>
            <w:r w:rsidRPr="009A2373">
              <w:rPr>
                <w:color w:val="FF0000"/>
              </w:rPr>
              <w:t>(67%)</w:t>
            </w:r>
          </w:p>
        </w:tc>
        <w:tc>
          <w:tcPr>
            <w:tcW w:w="2416" w:type="dxa"/>
            <w:vMerge/>
            <w:tcBorders>
              <w:left w:val="single" w:sz="12" w:space="0" w:color="auto"/>
              <w:right w:val="single" w:sz="12" w:space="0" w:color="auto"/>
            </w:tcBorders>
            <w:vAlign w:val="center"/>
            <w:hideMark/>
          </w:tcPr>
          <w:p w14:paraId="1721667A" w14:textId="77777777" w:rsidR="00120700" w:rsidRPr="00A52AEE" w:rsidRDefault="00120700" w:rsidP="009A2373">
            <w:pPr>
              <w:jc w:val="right"/>
            </w:pPr>
          </w:p>
        </w:tc>
        <w:tc>
          <w:tcPr>
            <w:tcW w:w="1559" w:type="dxa"/>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77651ABA" w14:textId="77777777" w:rsidR="00120700" w:rsidRPr="00A52AEE" w:rsidRDefault="00120700" w:rsidP="00A52AEE"/>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7CBF4B8D" w14:textId="77777777" w:rsidR="00120700" w:rsidRPr="00A52AEE" w:rsidRDefault="00120700" w:rsidP="006B7284">
            <w:pPr>
              <w:jc w:val="right"/>
            </w:pPr>
          </w:p>
        </w:tc>
      </w:tr>
      <w:tr w:rsidR="00120700" w:rsidRPr="00A52AEE" w14:paraId="48E533D2" w14:textId="77777777" w:rsidTr="00120700">
        <w:trPr>
          <w:trHeight w:val="315"/>
        </w:trPr>
        <w:tc>
          <w:tcPr>
            <w:tcW w:w="1329"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27509A7D" w14:textId="77777777" w:rsidR="00120700" w:rsidRPr="00CC757B" w:rsidRDefault="00120700" w:rsidP="00A52AEE">
            <w:pPr>
              <w:rPr>
                <w:b/>
              </w:rPr>
            </w:pPr>
            <w:r w:rsidRPr="00CC757B">
              <w:rPr>
                <w:b/>
                <w:color w:val="FFFFFF" w:themeColor="background1"/>
              </w:rPr>
              <w:t>BTEC</w:t>
            </w:r>
          </w:p>
        </w:tc>
        <w:tc>
          <w:tcPr>
            <w:tcW w:w="776" w:type="dxa"/>
            <w:vMerge/>
            <w:tcBorders>
              <w:left w:val="single" w:sz="12" w:space="0" w:color="auto"/>
              <w:right w:val="single" w:sz="12" w:space="0" w:color="auto"/>
            </w:tcBorders>
            <w:vAlign w:val="center"/>
            <w:hideMark/>
          </w:tcPr>
          <w:p w14:paraId="5A436382" w14:textId="77777777" w:rsidR="00120700" w:rsidRPr="00A52AEE" w:rsidRDefault="00120700" w:rsidP="00A52AEE"/>
        </w:tc>
        <w:tc>
          <w:tcPr>
            <w:tcW w:w="187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4D519C" w14:textId="77777777" w:rsidR="00120700" w:rsidRPr="00A52AEE" w:rsidRDefault="00120700" w:rsidP="00A52AEE">
            <w:r w:rsidRPr="00A52AEE">
              <w:t>Achieved Lower Award</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40B047" w14:textId="3404CBB2" w:rsidR="00120700" w:rsidRPr="00A52AEE" w:rsidRDefault="00120700" w:rsidP="009A2373">
            <w:pPr>
              <w:jc w:val="right"/>
            </w:pPr>
            <w:r w:rsidRPr="00A52AEE">
              <w:t>14%</w:t>
            </w:r>
          </w:p>
        </w:tc>
        <w:tc>
          <w:tcPr>
            <w:tcW w:w="2416" w:type="dxa"/>
            <w:tcBorders>
              <w:left w:val="single" w:sz="12" w:space="0" w:color="auto"/>
            </w:tcBorders>
            <w:shd w:val="clear" w:color="auto" w:fill="auto"/>
            <w:noWrap/>
            <w:vAlign w:val="bottom"/>
            <w:hideMark/>
          </w:tcPr>
          <w:p w14:paraId="2FB76F22" w14:textId="77777777" w:rsidR="00120700" w:rsidRPr="00A52AEE" w:rsidRDefault="00120700" w:rsidP="009A2373">
            <w:pPr>
              <w:jc w:val="right"/>
            </w:pPr>
          </w:p>
        </w:tc>
        <w:tc>
          <w:tcPr>
            <w:tcW w:w="1559" w:type="dxa"/>
            <w:tcBorders>
              <w:top w:val="single" w:sz="12" w:space="0" w:color="auto"/>
            </w:tcBorders>
            <w:shd w:val="clear" w:color="auto" w:fill="auto"/>
            <w:noWrap/>
            <w:vAlign w:val="bottom"/>
            <w:hideMark/>
          </w:tcPr>
          <w:p w14:paraId="2B2F2EF0" w14:textId="77777777" w:rsidR="00120700" w:rsidRPr="00A52AEE" w:rsidRDefault="00120700" w:rsidP="00A52AEE"/>
        </w:tc>
        <w:tc>
          <w:tcPr>
            <w:tcW w:w="850" w:type="dxa"/>
            <w:tcBorders>
              <w:top w:val="single" w:sz="12" w:space="0" w:color="auto"/>
            </w:tcBorders>
            <w:shd w:val="clear" w:color="auto" w:fill="auto"/>
            <w:noWrap/>
            <w:vAlign w:val="bottom"/>
            <w:hideMark/>
          </w:tcPr>
          <w:p w14:paraId="4C2880E2" w14:textId="77777777" w:rsidR="00120700" w:rsidRPr="00A52AEE" w:rsidRDefault="00120700" w:rsidP="006B7284">
            <w:pPr>
              <w:jc w:val="right"/>
            </w:pPr>
          </w:p>
        </w:tc>
      </w:tr>
      <w:tr w:rsidR="00120700" w:rsidRPr="00A52AEE" w14:paraId="33701F69" w14:textId="77777777" w:rsidTr="00120700">
        <w:trPr>
          <w:trHeight w:val="315"/>
        </w:trPr>
        <w:tc>
          <w:tcPr>
            <w:tcW w:w="1329" w:type="dxa"/>
            <w:tcBorders>
              <w:top w:val="single" w:sz="12" w:space="0" w:color="auto"/>
            </w:tcBorders>
            <w:shd w:val="clear" w:color="auto" w:fill="auto"/>
            <w:noWrap/>
            <w:vAlign w:val="bottom"/>
            <w:hideMark/>
          </w:tcPr>
          <w:p w14:paraId="1C01D157" w14:textId="77777777" w:rsidR="00120700" w:rsidRPr="00A52AEE" w:rsidRDefault="00120700" w:rsidP="00A52AEE"/>
        </w:tc>
        <w:tc>
          <w:tcPr>
            <w:tcW w:w="776" w:type="dxa"/>
            <w:shd w:val="clear" w:color="auto" w:fill="auto"/>
            <w:noWrap/>
            <w:vAlign w:val="bottom"/>
            <w:hideMark/>
          </w:tcPr>
          <w:p w14:paraId="0CC8A61D" w14:textId="77777777" w:rsidR="00120700" w:rsidRPr="00A52AEE" w:rsidRDefault="00120700" w:rsidP="00A52AEE"/>
        </w:tc>
        <w:tc>
          <w:tcPr>
            <w:tcW w:w="1136" w:type="dxa"/>
            <w:tcBorders>
              <w:top w:val="single" w:sz="12" w:space="0" w:color="auto"/>
            </w:tcBorders>
            <w:shd w:val="clear" w:color="auto" w:fill="auto"/>
            <w:noWrap/>
            <w:vAlign w:val="bottom"/>
            <w:hideMark/>
          </w:tcPr>
          <w:p w14:paraId="08996029" w14:textId="77777777" w:rsidR="00120700" w:rsidRPr="00A52AEE" w:rsidRDefault="00120700" w:rsidP="00A52AEE"/>
        </w:tc>
        <w:tc>
          <w:tcPr>
            <w:tcW w:w="736" w:type="dxa"/>
            <w:tcBorders>
              <w:top w:val="single" w:sz="12" w:space="0" w:color="auto"/>
            </w:tcBorders>
            <w:shd w:val="clear" w:color="auto" w:fill="auto"/>
            <w:noWrap/>
            <w:vAlign w:val="bottom"/>
            <w:hideMark/>
          </w:tcPr>
          <w:p w14:paraId="7F0AAC27" w14:textId="77777777" w:rsidR="00120700" w:rsidRPr="00A52AEE" w:rsidRDefault="00120700" w:rsidP="00A52AEE"/>
        </w:tc>
        <w:tc>
          <w:tcPr>
            <w:tcW w:w="736" w:type="dxa"/>
            <w:tcBorders>
              <w:top w:val="single" w:sz="12" w:space="0" w:color="auto"/>
            </w:tcBorders>
            <w:shd w:val="clear" w:color="auto" w:fill="auto"/>
            <w:noWrap/>
            <w:vAlign w:val="bottom"/>
            <w:hideMark/>
          </w:tcPr>
          <w:p w14:paraId="577B5B43" w14:textId="77777777" w:rsidR="00120700" w:rsidRPr="00A52AEE" w:rsidRDefault="00120700" w:rsidP="009A2373">
            <w:pPr>
              <w:jc w:val="right"/>
            </w:pPr>
          </w:p>
        </w:tc>
        <w:tc>
          <w:tcPr>
            <w:tcW w:w="2416" w:type="dxa"/>
            <w:shd w:val="clear" w:color="auto" w:fill="auto"/>
            <w:noWrap/>
            <w:vAlign w:val="bottom"/>
            <w:hideMark/>
          </w:tcPr>
          <w:p w14:paraId="3269065D" w14:textId="77777777" w:rsidR="00120700" w:rsidRPr="00A52AEE" w:rsidRDefault="00120700" w:rsidP="009A2373">
            <w:pPr>
              <w:jc w:val="right"/>
            </w:pPr>
          </w:p>
        </w:tc>
        <w:tc>
          <w:tcPr>
            <w:tcW w:w="1559" w:type="dxa"/>
            <w:tcBorders>
              <w:bottom w:val="single" w:sz="12" w:space="0" w:color="auto"/>
            </w:tcBorders>
            <w:shd w:val="clear" w:color="auto" w:fill="auto"/>
            <w:noWrap/>
            <w:vAlign w:val="bottom"/>
            <w:hideMark/>
          </w:tcPr>
          <w:p w14:paraId="0225DC48" w14:textId="77777777" w:rsidR="00120700" w:rsidRPr="00A52AEE" w:rsidRDefault="00120700" w:rsidP="00A52AEE"/>
        </w:tc>
        <w:tc>
          <w:tcPr>
            <w:tcW w:w="850" w:type="dxa"/>
            <w:tcBorders>
              <w:bottom w:val="single" w:sz="12" w:space="0" w:color="auto"/>
            </w:tcBorders>
            <w:shd w:val="clear" w:color="auto" w:fill="auto"/>
            <w:noWrap/>
            <w:vAlign w:val="bottom"/>
            <w:hideMark/>
          </w:tcPr>
          <w:p w14:paraId="01805601" w14:textId="77777777" w:rsidR="00120700" w:rsidRPr="00A52AEE" w:rsidRDefault="00120700" w:rsidP="006B7284">
            <w:pPr>
              <w:jc w:val="right"/>
            </w:pPr>
          </w:p>
        </w:tc>
      </w:tr>
      <w:tr w:rsidR="00120700" w:rsidRPr="00A52AEE" w14:paraId="02D81F87" w14:textId="77777777" w:rsidTr="00120700">
        <w:trPr>
          <w:trHeight w:val="315"/>
        </w:trPr>
        <w:tc>
          <w:tcPr>
            <w:tcW w:w="1329" w:type="dxa"/>
            <w:shd w:val="clear" w:color="auto" w:fill="auto"/>
            <w:noWrap/>
            <w:vAlign w:val="bottom"/>
            <w:hideMark/>
          </w:tcPr>
          <w:p w14:paraId="6F71CEB6" w14:textId="77777777" w:rsidR="00120700" w:rsidRPr="00A52AEE" w:rsidRDefault="00120700" w:rsidP="00A52AEE"/>
        </w:tc>
        <w:tc>
          <w:tcPr>
            <w:tcW w:w="776" w:type="dxa"/>
            <w:shd w:val="clear" w:color="auto" w:fill="auto"/>
            <w:noWrap/>
            <w:vAlign w:val="bottom"/>
            <w:hideMark/>
          </w:tcPr>
          <w:p w14:paraId="7C14056D" w14:textId="77777777" w:rsidR="00120700" w:rsidRPr="00A52AEE" w:rsidRDefault="00120700" w:rsidP="00A52AEE"/>
        </w:tc>
        <w:tc>
          <w:tcPr>
            <w:tcW w:w="1136" w:type="dxa"/>
            <w:tcBorders>
              <w:bottom w:val="single" w:sz="12" w:space="0" w:color="auto"/>
            </w:tcBorders>
            <w:shd w:val="clear" w:color="auto" w:fill="auto"/>
            <w:noWrap/>
            <w:vAlign w:val="bottom"/>
            <w:hideMark/>
          </w:tcPr>
          <w:p w14:paraId="27211F02" w14:textId="77777777" w:rsidR="00120700" w:rsidRPr="00A52AEE" w:rsidRDefault="00120700" w:rsidP="00A52AEE"/>
        </w:tc>
        <w:tc>
          <w:tcPr>
            <w:tcW w:w="736" w:type="dxa"/>
            <w:tcBorders>
              <w:bottom w:val="single" w:sz="12" w:space="0" w:color="auto"/>
            </w:tcBorders>
            <w:shd w:val="clear" w:color="auto" w:fill="auto"/>
            <w:noWrap/>
            <w:vAlign w:val="bottom"/>
            <w:hideMark/>
          </w:tcPr>
          <w:p w14:paraId="3CAF65AB" w14:textId="77777777" w:rsidR="00120700" w:rsidRPr="00A52AEE" w:rsidRDefault="00120700" w:rsidP="00A52AEE"/>
        </w:tc>
        <w:tc>
          <w:tcPr>
            <w:tcW w:w="736" w:type="dxa"/>
            <w:tcBorders>
              <w:bottom w:val="single" w:sz="12" w:space="0" w:color="auto"/>
            </w:tcBorders>
            <w:shd w:val="clear" w:color="auto" w:fill="auto"/>
            <w:noWrap/>
            <w:vAlign w:val="bottom"/>
            <w:hideMark/>
          </w:tcPr>
          <w:p w14:paraId="2FDC3813" w14:textId="77777777" w:rsidR="00120700" w:rsidRPr="00A52AEE" w:rsidRDefault="00120700" w:rsidP="009A2373">
            <w:pPr>
              <w:jc w:val="right"/>
            </w:pPr>
          </w:p>
        </w:tc>
        <w:tc>
          <w:tcPr>
            <w:tcW w:w="2416" w:type="dxa"/>
            <w:vMerge w:val="restart"/>
            <w:tcBorders>
              <w:right w:val="single" w:sz="12" w:space="0" w:color="auto"/>
            </w:tcBorders>
            <w:shd w:val="clear" w:color="auto" w:fill="auto"/>
            <w:noWrap/>
            <w:vAlign w:val="bottom"/>
            <w:hideMark/>
          </w:tcPr>
          <w:p w14:paraId="2E5FFA69" w14:textId="77777777" w:rsidR="00120700" w:rsidRPr="00A52AEE" w:rsidRDefault="00120700" w:rsidP="009A2373">
            <w:pPr>
              <w:jc w:val="right"/>
            </w:pPr>
            <w:r w:rsidRPr="00A52AEE">
              <w:rPr>
                <w:noProof/>
                <w:lang w:eastAsia="en-GB"/>
              </w:rPr>
              <mc:AlternateContent>
                <mc:Choice Requires="wps">
                  <w:drawing>
                    <wp:anchor distT="0" distB="0" distL="114300" distR="114300" simplePos="0" relativeHeight="251665408" behindDoc="0" locked="0" layoutInCell="1" allowOverlap="1" wp14:anchorId="05CF402D" wp14:editId="156AC9A1">
                      <wp:simplePos x="0" y="0"/>
                      <wp:positionH relativeFrom="column">
                        <wp:posOffset>78105</wp:posOffset>
                      </wp:positionH>
                      <wp:positionV relativeFrom="paragraph">
                        <wp:posOffset>182880</wp:posOffset>
                      </wp:positionV>
                      <wp:extent cx="990600" cy="190500"/>
                      <wp:effectExtent l="19050" t="95250" r="0" b="19050"/>
                      <wp:wrapNone/>
                      <wp:docPr id="36" name="Straight Arrow Connector 36"/>
                      <wp:cNvGraphicFramePr/>
                      <a:graphic xmlns:a="http://schemas.openxmlformats.org/drawingml/2006/main">
                        <a:graphicData uri="http://schemas.microsoft.com/office/word/2010/wordprocessingShape">
                          <wps:wsp>
                            <wps:cNvCnPr/>
                            <wps:spPr>
                              <a:xfrm flipV="1">
                                <a:off x="0" y="0"/>
                                <a:ext cx="904875" cy="99061"/>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0EDBCB" id="Straight Arrow Connector 36" o:spid="_x0000_s1026" type="#_x0000_t32" style="position:absolute;margin-left:6.15pt;margin-top:14.4pt;width:78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" strokecolor="#4a7ebb" strokeweight="2.25pt">
                      <v:stroke endarrow="open"/>
                    </v:shape>
                  </w:pict>
                </mc:Fallback>
              </mc:AlternateConten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331648E4" w14:textId="77777777" w:rsidR="00120700" w:rsidRPr="00A52AEE" w:rsidRDefault="00120700" w:rsidP="00A52AEE">
            <w:r w:rsidRPr="00A52AEE">
              <w:t xml:space="preserve">Attained </w:t>
            </w:r>
          </w:p>
          <w:p w14:paraId="78F715E3" w14:textId="77777777" w:rsidR="00120700" w:rsidRPr="00A52AEE" w:rsidRDefault="00120700" w:rsidP="00A52AEE">
            <w:r w:rsidRPr="00A52AEE">
              <w:t>1st or 2:1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FCC7C8" w14:textId="77777777" w:rsidR="00120700" w:rsidRPr="00A52AEE" w:rsidRDefault="00120700" w:rsidP="006B7284">
            <w:pPr>
              <w:jc w:val="right"/>
            </w:pPr>
            <w:r w:rsidRPr="00A52AEE">
              <w:t>61%</w:t>
            </w:r>
          </w:p>
          <w:p w14:paraId="3A0F951C" w14:textId="7FEFEB0F" w:rsidR="00DF759E" w:rsidRPr="00A52AEE" w:rsidRDefault="006B7284" w:rsidP="006B7284">
            <w:pPr>
              <w:jc w:val="right"/>
              <w:rPr>
                <w:color w:val="000000"/>
              </w:rPr>
            </w:pPr>
            <w:r w:rsidRPr="006B7284">
              <w:rPr>
                <w:color w:val="FF0000"/>
              </w:rPr>
              <w:t>(</w:t>
            </w:r>
            <w:r w:rsidR="00DF759E" w:rsidRPr="006B7284">
              <w:rPr>
                <w:color w:val="FF0000"/>
              </w:rPr>
              <w:t>70%</w:t>
            </w:r>
            <w:r w:rsidRPr="006B7284">
              <w:rPr>
                <w:color w:val="FF0000"/>
              </w:rPr>
              <w:t>)</w:t>
            </w:r>
          </w:p>
        </w:tc>
      </w:tr>
      <w:tr w:rsidR="00120700" w:rsidRPr="00A52AEE" w14:paraId="525543FA" w14:textId="77777777" w:rsidTr="00120700">
        <w:trPr>
          <w:trHeight w:val="315"/>
        </w:trPr>
        <w:tc>
          <w:tcPr>
            <w:tcW w:w="1329" w:type="dxa"/>
            <w:tcBorders>
              <w:bottom w:val="single" w:sz="12" w:space="0" w:color="auto"/>
            </w:tcBorders>
            <w:shd w:val="clear" w:color="auto" w:fill="auto"/>
            <w:noWrap/>
            <w:vAlign w:val="bottom"/>
            <w:hideMark/>
          </w:tcPr>
          <w:p w14:paraId="383E350B" w14:textId="77777777" w:rsidR="00120700" w:rsidRPr="00A52AEE" w:rsidRDefault="00120700" w:rsidP="00A52AEE"/>
        </w:tc>
        <w:tc>
          <w:tcPr>
            <w:tcW w:w="776" w:type="dxa"/>
            <w:vMerge w:val="restart"/>
            <w:tcBorders>
              <w:right w:val="single" w:sz="12" w:space="0" w:color="auto"/>
            </w:tcBorders>
            <w:shd w:val="clear" w:color="auto" w:fill="auto"/>
            <w:noWrap/>
            <w:vAlign w:val="bottom"/>
            <w:hideMark/>
          </w:tcPr>
          <w:p w14:paraId="4585A6EA" w14:textId="77777777" w:rsidR="00120700" w:rsidRPr="00A52AEE" w:rsidRDefault="00120700" w:rsidP="00A52AEE">
            <w:r w:rsidRPr="00A52AEE">
              <w:rPr>
                <w:noProof/>
                <w:lang w:eastAsia="en-GB"/>
              </w:rPr>
              <mc:AlternateContent>
                <mc:Choice Requires="wps">
                  <w:drawing>
                    <wp:anchor distT="0" distB="0" distL="114300" distR="114300" simplePos="0" relativeHeight="251667456" behindDoc="0" locked="0" layoutInCell="1" allowOverlap="1" wp14:anchorId="26D073C2" wp14:editId="3CC5D49E">
                      <wp:simplePos x="0" y="0"/>
                      <wp:positionH relativeFrom="column">
                        <wp:posOffset>-38100</wp:posOffset>
                      </wp:positionH>
                      <wp:positionV relativeFrom="paragraph">
                        <wp:posOffset>-159385</wp:posOffset>
                      </wp:positionV>
                      <wp:extent cx="390525" cy="161925"/>
                      <wp:effectExtent l="19050" t="57150" r="9525" b="28575"/>
                      <wp:wrapNone/>
                      <wp:docPr id="37" name="Straight Arrow Connector 37"/>
                      <wp:cNvGraphicFramePr/>
                      <a:graphic xmlns:a="http://schemas.openxmlformats.org/drawingml/2006/main">
                        <a:graphicData uri="http://schemas.microsoft.com/office/word/2010/wordprocessingShape">
                          <wps:wsp>
                            <wps:cNvCnPr/>
                            <wps:spPr>
                              <a:xfrm flipV="1">
                                <a:off x="0" y="0"/>
                                <a:ext cx="304800" cy="2857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6DE0A9B" id="Straight Arrow Connector 37" o:spid="_x0000_s1026" type="#_x0000_t32" style="position:absolute;margin-left:-3pt;margin-top:-12.55pt;width:30.75pt;height:12.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" strokecolor="#4a7ebb" strokeweight="2.25pt">
                      <v:stroke endarrow="open"/>
                    </v:shape>
                  </w:pict>
                </mc:Fallback>
              </mc:AlternateContent>
            </w:r>
          </w:p>
        </w:tc>
        <w:tc>
          <w:tcPr>
            <w:tcW w:w="1872"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noWrap/>
            <w:vAlign w:val="center"/>
            <w:hideMark/>
          </w:tcPr>
          <w:p w14:paraId="3361272A" w14:textId="77777777" w:rsidR="00120700" w:rsidRPr="00A52AEE" w:rsidRDefault="00120700" w:rsidP="00A52AEE">
            <w:r w:rsidRPr="00A52AEE">
              <w:t>Achieved First Degree</w:t>
            </w:r>
          </w:p>
        </w:tc>
        <w:tc>
          <w:tcPr>
            <w:tcW w:w="73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9D1C0DA" w14:textId="77777777" w:rsidR="00120700" w:rsidRPr="00A52AEE" w:rsidRDefault="00120700" w:rsidP="009A2373">
            <w:pPr>
              <w:jc w:val="right"/>
            </w:pPr>
            <w:r w:rsidRPr="00A52AEE">
              <w:t>80%</w:t>
            </w:r>
          </w:p>
          <w:p w14:paraId="31284D07" w14:textId="5EF1F311" w:rsidR="00DF759E" w:rsidRPr="00A52AEE" w:rsidRDefault="00DF759E" w:rsidP="009A2373">
            <w:pPr>
              <w:jc w:val="right"/>
              <w:rPr>
                <w:color w:val="000000"/>
              </w:rPr>
            </w:pPr>
            <w:r w:rsidRPr="009A2373">
              <w:rPr>
                <w:color w:val="FF0000"/>
              </w:rPr>
              <w:t>(83%)</w:t>
            </w:r>
          </w:p>
        </w:tc>
        <w:tc>
          <w:tcPr>
            <w:tcW w:w="2416" w:type="dxa"/>
            <w:vMerge/>
            <w:tcBorders>
              <w:left w:val="single" w:sz="12" w:space="0" w:color="auto"/>
              <w:right w:val="single" w:sz="12" w:space="0" w:color="auto"/>
            </w:tcBorders>
            <w:vAlign w:val="center"/>
            <w:hideMark/>
          </w:tcPr>
          <w:p w14:paraId="721FC60E" w14:textId="77777777" w:rsidR="00120700" w:rsidRPr="00A52AEE" w:rsidRDefault="00120700" w:rsidP="009A2373">
            <w:pPr>
              <w:jc w:val="right"/>
            </w:pPr>
          </w:p>
        </w:tc>
        <w:tc>
          <w:tcPr>
            <w:tcW w:w="1559" w:type="dxa"/>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47FDEFFC" w14:textId="77777777" w:rsidR="00120700" w:rsidRPr="00A52AEE" w:rsidRDefault="00120700" w:rsidP="00A52AEE"/>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73EC7BC6" w14:textId="77777777" w:rsidR="00120700" w:rsidRPr="00A52AEE" w:rsidRDefault="00120700" w:rsidP="006B7284">
            <w:pPr>
              <w:jc w:val="right"/>
            </w:pPr>
          </w:p>
        </w:tc>
      </w:tr>
      <w:tr w:rsidR="00120700" w:rsidRPr="00A52AEE" w14:paraId="356DD61F" w14:textId="77777777" w:rsidTr="00120700">
        <w:trPr>
          <w:trHeight w:val="315"/>
        </w:trPr>
        <w:tc>
          <w:tcPr>
            <w:tcW w:w="1329" w:type="dxa"/>
            <w:tcBorders>
              <w:top w:val="single" w:sz="12" w:space="0" w:color="auto"/>
              <w:left w:val="single" w:sz="12" w:space="0" w:color="auto"/>
              <w:right w:val="single" w:sz="12" w:space="0" w:color="auto"/>
            </w:tcBorders>
            <w:shd w:val="clear" w:color="auto" w:fill="1F4E79" w:themeFill="accent1" w:themeFillShade="80"/>
            <w:vAlign w:val="center"/>
            <w:hideMark/>
          </w:tcPr>
          <w:p w14:paraId="2C1DC123" w14:textId="77777777" w:rsidR="00120700" w:rsidRPr="00CC757B" w:rsidRDefault="00120700" w:rsidP="00A52AEE">
            <w:pPr>
              <w:rPr>
                <w:b/>
              </w:rPr>
            </w:pPr>
            <w:r w:rsidRPr="00CC757B">
              <w:rPr>
                <w:b/>
                <w:color w:val="FFFFFF" w:themeColor="background1"/>
              </w:rPr>
              <w:t>A Level</w:t>
            </w:r>
          </w:p>
        </w:tc>
        <w:tc>
          <w:tcPr>
            <w:tcW w:w="776" w:type="dxa"/>
            <w:vMerge/>
            <w:tcBorders>
              <w:left w:val="single" w:sz="12" w:space="0" w:color="auto"/>
              <w:right w:val="single" w:sz="4" w:space="0" w:color="auto"/>
            </w:tcBorders>
            <w:vAlign w:val="center"/>
            <w:hideMark/>
          </w:tcPr>
          <w:p w14:paraId="0C872419" w14:textId="77777777" w:rsidR="00120700" w:rsidRPr="00A52AEE" w:rsidRDefault="00120700" w:rsidP="00A52AEE"/>
        </w:tc>
        <w:tc>
          <w:tcPr>
            <w:tcW w:w="1872"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809864" w14:textId="77777777" w:rsidR="00120700" w:rsidRPr="00A52AEE" w:rsidRDefault="00120700" w:rsidP="00A52AEE">
            <w:r w:rsidRPr="00A52AEE">
              <w:t>Achieved Lower Award</w:t>
            </w:r>
          </w:p>
        </w:tc>
        <w:tc>
          <w:tcPr>
            <w:tcW w:w="73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630ED7" w14:textId="4809B4FB" w:rsidR="00120700" w:rsidRPr="00A52AEE" w:rsidRDefault="00120700" w:rsidP="009A2373">
            <w:pPr>
              <w:jc w:val="right"/>
            </w:pPr>
            <w:r w:rsidRPr="00A52AEE">
              <w:t>7%</w:t>
            </w:r>
          </w:p>
        </w:tc>
        <w:tc>
          <w:tcPr>
            <w:tcW w:w="2416" w:type="dxa"/>
            <w:tcBorders>
              <w:left w:val="single" w:sz="4" w:space="0" w:color="auto"/>
            </w:tcBorders>
            <w:shd w:val="clear" w:color="auto" w:fill="auto"/>
            <w:noWrap/>
            <w:vAlign w:val="bottom"/>
            <w:hideMark/>
          </w:tcPr>
          <w:p w14:paraId="023D3822" w14:textId="77777777" w:rsidR="00120700" w:rsidRPr="00A52AEE" w:rsidRDefault="00120700" w:rsidP="009A2373">
            <w:pPr>
              <w:jc w:val="right"/>
            </w:pPr>
          </w:p>
        </w:tc>
        <w:tc>
          <w:tcPr>
            <w:tcW w:w="1559" w:type="dxa"/>
            <w:tcBorders>
              <w:top w:val="single" w:sz="12" w:space="0" w:color="auto"/>
            </w:tcBorders>
            <w:shd w:val="clear" w:color="auto" w:fill="auto"/>
            <w:noWrap/>
            <w:vAlign w:val="bottom"/>
            <w:hideMark/>
          </w:tcPr>
          <w:p w14:paraId="019F24A8" w14:textId="77777777" w:rsidR="00120700" w:rsidRPr="00A52AEE" w:rsidRDefault="00120700" w:rsidP="00A52AEE"/>
        </w:tc>
        <w:tc>
          <w:tcPr>
            <w:tcW w:w="850" w:type="dxa"/>
            <w:tcBorders>
              <w:top w:val="single" w:sz="12" w:space="0" w:color="auto"/>
            </w:tcBorders>
            <w:shd w:val="clear" w:color="auto" w:fill="auto"/>
            <w:noWrap/>
            <w:vAlign w:val="bottom"/>
            <w:hideMark/>
          </w:tcPr>
          <w:p w14:paraId="514DEC44" w14:textId="77777777" w:rsidR="00120700" w:rsidRPr="00A52AEE" w:rsidRDefault="00120700" w:rsidP="006B7284">
            <w:pPr>
              <w:jc w:val="right"/>
            </w:pPr>
          </w:p>
        </w:tc>
      </w:tr>
      <w:tr w:rsidR="00120700" w:rsidRPr="00A52AEE" w14:paraId="7A15727F" w14:textId="77777777" w:rsidTr="00120700">
        <w:trPr>
          <w:trHeight w:val="315"/>
        </w:trPr>
        <w:tc>
          <w:tcPr>
            <w:tcW w:w="1329" w:type="dxa"/>
            <w:shd w:val="clear" w:color="auto" w:fill="auto"/>
            <w:noWrap/>
            <w:vAlign w:val="bottom"/>
            <w:hideMark/>
          </w:tcPr>
          <w:p w14:paraId="51BC3FCC" w14:textId="77777777" w:rsidR="00120700" w:rsidRPr="00A52AEE" w:rsidRDefault="00120700" w:rsidP="00A52AEE"/>
        </w:tc>
        <w:tc>
          <w:tcPr>
            <w:tcW w:w="776" w:type="dxa"/>
            <w:shd w:val="clear" w:color="auto" w:fill="auto"/>
            <w:noWrap/>
            <w:vAlign w:val="bottom"/>
            <w:hideMark/>
          </w:tcPr>
          <w:p w14:paraId="3DE85B76" w14:textId="77777777" w:rsidR="00120700" w:rsidRPr="00A52AEE" w:rsidRDefault="00120700" w:rsidP="00A52AEE"/>
        </w:tc>
        <w:tc>
          <w:tcPr>
            <w:tcW w:w="1136" w:type="dxa"/>
            <w:tcBorders>
              <w:top w:val="single" w:sz="4" w:space="0" w:color="auto"/>
            </w:tcBorders>
            <w:shd w:val="clear" w:color="auto" w:fill="auto"/>
            <w:noWrap/>
            <w:vAlign w:val="bottom"/>
            <w:hideMark/>
          </w:tcPr>
          <w:p w14:paraId="16099C5B" w14:textId="77777777" w:rsidR="00120700" w:rsidRPr="00A52AEE" w:rsidRDefault="00120700" w:rsidP="00A52AEE"/>
        </w:tc>
        <w:tc>
          <w:tcPr>
            <w:tcW w:w="736" w:type="dxa"/>
            <w:tcBorders>
              <w:top w:val="single" w:sz="4" w:space="0" w:color="auto"/>
            </w:tcBorders>
            <w:shd w:val="clear" w:color="auto" w:fill="auto"/>
            <w:noWrap/>
            <w:vAlign w:val="bottom"/>
            <w:hideMark/>
          </w:tcPr>
          <w:p w14:paraId="09C00469" w14:textId="77777777" w:rsidR="00120700" w:rsidRPr="00A52AEE" w:rsidRDefault="00120700" w:rsidP="00A52AEE"/>
        </w:tc>
        <w:tc>
          <w:tcPr>
            <w:tcW w:w="736" w:type="dxa"/>
            <w:tcBorders>
              <w:top w:val="single" w:sz="4" w:space="0" w:color="auto"/>
            </w:tcBorders>
            <w:shd w:val="clear" w:color="auto" w:fill="auto"/>
            <w:noWrap/>
            <w:vAlign w:val="bottom"/>
            <w:hideMark/>
          </w:tcPr>
          <w:p w14:paraId="2675F036" w14:textId="77777777" w:rsidR="00120700" w:rsidRPr="00A52AEE" w:rsidRDefault="00120700" w:rsidP="009A2373">
            <w:pPr>
              <w:jc w:val="right"/>
            </w:pPr>
          </w:p>
        </w:tc>
        <w:tc>
          <w:tcPr>
            <w:tcW w:w="2416" w:type="dxa"/>
            <w:shd w:val="clear" w:color="auto" w:fill="auto"/>
            <w:noWrap/>
            <w:vAlign w:val="bottom"/>
            <w:hideMark/>
          </w:tcPr>
          <w:p w14:paraId="158D06B6" w14:textId="77777777" w:rsidR="00120700" w:rsidRPr="00A52AEE" w:rsidRDefault="00120700" w:rsidP="009A2373">
            <w:pPr>
              <w:jc w:val="right"/>
            </w:pPr>
          </w:p>
        </w:tc>
        <w:tc>
          <w:tcPr>
            <w:tcW w:w="1559" w:type="dxa"/>
            <w:shd w:val="clear" w:color="auto" w:fill="auto"/>
            <w:noWrap/>
            <w:vAlign w:val="bottom"/>
            <w:hideMark/>
          </w:tcPr>
          <w:p w14:paraId="5E472558" w14:textId="77777777" w:rsidR="00120700" w:rsidRPr="00A52AEE" w:rsidRDefault="00120700" w:rsidP="00A52AEE"/>
        </w:tc>
        <w:tc>
          <w:tcPr>
            <w:tcW w:w="850" w:type="dxa"/>
            <w:shd w:val="clear" w:color="auto" w:fill="auto"/>
            <w:noWrap/>
            <w:vAlign w:val="bottom"/>
            <w:hideMark/>
          </w:tcPr>
          <w:p w14:paraId="6A7087C5" w14:textId="77777777" w:rsidR="00120700" w:rsidRPr="00A52AEE" w:rsidRDefault="00120700" w:rsidP="006B7284">
            <w:pPr>
              <w:jc w:val="right"/>
            </w:pPr>
          </w:p>
        </w:tc>
      </w:tr>
      <w:tr w:rsidR="00120700" w:rsidRPr="00A52AEE" w14:paraId="432E9FCA" w14:textId="77777777" w:rsidTr="00120700">
        <w:trPr>
          <w:trHeight w:val="315"/>
        </w:trPr>
        <w:tc>
          <w:tcPr>
            <w:tcW w:w="1329" w:type="dxa"/>
            <w:shd w:val="clear" w:color="auto" w:fill="auto"/>
            <w:noWrap/>
            <w:vAlign w:val="bottom"/>
          </w:tcPr>
          <w:p w14:paraId="4CDA79EA" w14:textId="77777777" w:rsidR="00120700" w:rsidRPr="00A52AEE" w:rsidRDefault="00120700" w:rsidP="00A52AEE"/>
        </w:tc>
        <w:tc>
          <w:tcPr>
            <w:tcW w:w="776" w:type="dxa"/>
            <w:shd w:val="clear" w:color="auto" w:fill="auto"/>
            <w:noWrap/>
            <w:vAlign w:val="bottom"/>
          </w:tcPr>
          <w:p w14:paraId="7483F2BA" w14:textId="77777777" w:rsidR="00120700" w:rsidRPr="00A52AEE" w:rsidRDefault="00120700" w:rsidP="00A52AEE"/>
        </w:tc>
        <w:tc>
          <w:tcPr>
            <w:tcW w:w="1136" w:type="dxa"/>
            <w:shd w:val="clear" w:color="auto" w:fill="auto"/>
            <w:noWrap/>
            <w:vAlign w:val="bottom"/>
          </w:tcPr>
          <w:p w14:paraId="0503B8EB" w14:textId="77777777" w:rsidR="00120700" w:rsidRPr="00A52AEE" w:rsidRDefault="00120700" w:rsidP="00A52AEE"/>
        </w:tc>
        <w:tc>
          <w:tcPr>
            <w:tcW w:w="736" w:type="dxa"/>
            <w:shd w:val="clear" w:color="auto" w:fill="auto"/>
            <w:noWrap/>
            <w:vAlign w:val="bottom"/>
          </w:tcPr>
          <w:p w14:paraId="7AD9BFD9" w14:textId="77777777" w:rsidR="00120700" w:rsidRPr="00A52AEE" w:rsidRDefault="00120700" w:rsidP="00A52AEE"/>
        </w:tc>
        <w:tc>
          <w:tcPr>
            <w:tcW w:w="736" w:type="dxa"/>
            <w:shd w:val="clear" w:color="auto" w:fill="auto"/>
            <w:noWrap/>
            <w:vAlign w:val="bottom"/>
          </w:tcPr>
          <w:p w14:paraId="0EA1D5AE" w14:textId="77777777" w:rsidR="00120700" w:rsidRPr="00A52AEE" w:rsidRDefault="00120700" w:rsidP="009A2373">
            <w:pPr>
              <w:jc w:val="right"/>
            </w:pPr>
          </w:p>
        </w:tc>
        <w:tc>
          <w:tcPr>
            <w:tcW w:w="2416" w:type="dxa"/>
            <w:shd w:val="clear" w:color="auto" w:fill="auto"/>
            <w:noWrap/>
            <w:vAlign w:val="bottom"/>
          </w:tcPr>
          <w:p w14:paraId="718F32C6" w14:textId="77777777" w:rsidR="00120700" w:rsidRPr="00A52AEE" w:rsidRDefault="00120700" w:rsidP="009A2373">
            <w:pPr>
              <w:jc w:val="right"/>
            </w:pPr>
          </w:p>
        </w:tc>
        <w:tc>
          <w:tcPr>
            <w:tcW w:w="1559" w:type="dxa"/>
            <w:tcBorders>
              <w:bottom w:val="single" w:sz="12" w:space="0" w:color="auto"/>
            </w:tcBorders>
            <w:shd w:val="clear" w:color="auto" w:fill="auto"/>
            <w:noWrap/>
            <w:vAlign w:val="bottom"/>
          </w:tcPr>
          <w:p w14:paraId="1D9BC979" w14:textId="77777777" w:rsidR="00120700" w:rsidRPr="00A52AEE" w:rsidRDefault="00120700" w:rsidP="00A52AEE"/>
        </w:tc>
        <w:tc>
          <w:tcPr>
            <w:tcW w:w="850" w:type="dxa"/>
            <w:shd w:val="clear" w:color="auto" w:fill="auto"/>
            <w:noWrap/>
            <w:vAlign w:val="bottom"/>
          </w:tcPr>
          <w:p w14:paraId="7C8CDE07" w14:textId="77777777" w:rsidR="00120700" w:rsidRPr="00A52AEE" w:rsidRDefault="00120700" w:rsidP="006B7284">
            <w:pPr>
              <w:jc w:val="right"/>
            </w:pPr>
          </w:p>
        </w:tc>
      </w:tr>
      <w:tr w:rsidR="00120700" w:rsidRPr="00A52AEE" w14:paraId="15931441" w14:textId="77777777" w:rsidTr="00120700">
        <w:trPr>
          <w:trHeight w:val="315"/>
        </w:trPr>
        <w:tc>
          <w:tcPr>
            <w:tcW w:w="1329" w:type="dxa"/>
            <w:tcBorders>
              <w:bottom w:val="single" w:sz="4" w:space="0" w:color="auto"/>
            </w:tcBorders>
            <w:shd w:val="clear" w:color="auto" w:fill="auto"/>
            <w:noWrap/>
            <w:vAlign w:val="bottom"/>
          </w:tcPr>
          <w:p w14:paraId="25B069D1" w14:textId="77777777" w:rsidR="00120700" w:rsidRPr="00A52AEE" w:rsidRDefault="00120700" w:rsidP="00A52AEE"/>
        </w:tc>
        <w:tc>
          <w:tcPr>
            <w:tcW w:w="776" w:type="dxa"/>
            <w:shd w:val="clear" w:color="auto" w:fill="auto"/>
            <w:noWrap/>
            <w:vAlign w:val="bottom"/>
          </w:tcPr>
          <w:p w14:paraId="7BD82AB3" w14:textId="77777777" w:rsidR="00120700" w:rsidRPr="00A52AEE" w:rsidRDefault="00120700" w:rsidP="00A52AEE"/>
        </w:tc>
        <w:tc>
          <w:tcPr>
            <w:tcW w:w="1136" w:type="dxa"/>
            <w:shd w:val="clear" w:color="auto" w:fill="auto"/>
            <w:noWrap/>
            <w:vAlign w:val="bottom"/>
          </w:tcPr>
          <w:p w14:paraId="2EEB0293" w14:textId="77777777" w:rsidR="00120700" w:rsidRPr="00A52AEE" w:rsidRDefault="00120700" w:rsidP="00A52AEE"/>
        </w:tc>
        <w:tc>
          <w:tcPr>
            <w:tcW w:w="736" w:type="dxa"/>
            <w:shd w:val="clear" w:color="auto" w:fill="auto"/>
            <w:noWrap/>
            <w:vAlign w:val="bottom"/>
          </w:tcPr>
          <w:p w14:paraId="08CE8A76" w14:textId="77777777" w:rsidR="00120700" w:rsidRPr="00A52AEE" w:rsidRDefault="00120700" w:rsidP="00A52AEE"/>
        </w:tc>
        <w:tc>
          <w:tcPr>
            <w:tcW w:w="736" w:type="dxa"/>
            <w:shd w:val="clear" w:color="auto" w:fill="auto"/>
            <w:noWrap/>
            <w:vAlign w:val="bottom"/>
          </w:tcPr>
          <w:p w14:paraId="76A28829" w14:textId="77777777" w:rsidR="00120700" w:rsidRPr="00A52AEE" w:rsidRDefault="00120700" w:rsidP="009A2373">
            <w:pPr>
              <w:jc w:val="right"/>
            </w:pPr>
          </w:p>
        </w:tc>
        <w:tc>
          <w:tcPr>
            <w:tcW w:w="2416" w:type="dxa"/>
            <w:tcBorders>
              <w:right w:val="single" w:sz="4" w:space="0" w:color="auto"/>
            </w:tcBorders>
            <w:shd w:val="clear" w:color="auto" w:fill="auto"/>
            <w:noWrap/>
            <w:vAlign w:val="bottom"/>
          </w:tcPr>
          <w:p w14:paraId="544E8F0B" w14:textId="77777777" w:rsidR="00120700" w:rsidRPr="00A52AEE" w:rsidRDefault="00120700" w:rsidP="009A2373">
            <w:pPr>
              <w:jc w:val="right"/>
            </w:pPr>
          </w:p>
        </w:tc>
        <w:tc>
          <w:tcPr>
            <w:tcW w:w="1559" w:type="dxa"/>
            <w:vMerge w:val="restart"/>
            <w:tcBorders>
              <w:top w:val="single" w:sz="12" w:space="0" w:color="auto"/>
              <w:left w:val="single" w:sz="4" w:space="0" w:color="auto"/>
              <w:bottom w:val="single" w:sz="4" w:space="0" w:color="auto"/>
              <w:right w:val="single" w:sz="12" w:space="0" w:color="auto"/>
            </w:tcBorders>
            <w:shd w:val="clear" w:color="auto" w:fill="DEEAF6" w:themeFill="accent1" w:themeFillTint="33"/>
            <w:noWrap/>
            <w:vAlign w:val="center"/>
          </w:tcPr>
          <w:p w14:paraId="724349B1" w14:textId="77777777" w:rsidR="00120700" w:rsidRPr="00A52AEE" w:rsidRDefault="00120700" w:rsidP="00A52AEE">
            <w:r w:rsidRPr="00A52AEE">
              <w:t xml:space="preserve">Attained </w:t>
            </w:r>
          </w:p>
          <w:p w14:paraId="64D28677" w14:textId="1A6EEF7C" w:rsidR="00120700" w:rsidRPr="00A52AEE" w:rsidRDefault="00120700" w:rsidP="00A52AEE">
            <w:r w:rsidRPr="00A52AEE">
              <w:t>1st or 2:1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B7D6B87" w14:textId="1B2918B6" w:rsidR="00120700" w:rsidRPr="00A52AEE" w:rsidRDefault="00120700" w:rsidP="006B7284">
            <w:pPr>
              <w:jc w:val="right"/>
            </w:pPr>
            <w:r w:rsidRPr="00A52AEE">
              <w:t>42%</w:t>
            </w:r>
          </w:p>
        </w:tc>
      </w:tr>
      <w:tr w:rsidR="00120700" w:rsidRPr="00A52AEE" w14:paraId="3717A247" w14:textId="11E5FEED" w:rsidTr="00120700">
        <w:trPr>
          <w:trHeight w:val="315"/>
        </w:trPr>
        <w:tc>
          <w:tcPr>
            <w:tcW w:w="1329"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tcPr>
          <w:p w14:paraId="4D83DCD0" w14:textId="77777777" w:rsidR="00120700" w:rsidRPr="00A52AEE" w:rsidRDefault="00120700" w:rsidP="00A52AEE"/>
          <w:p w14:paraId="5306F8CE" w14:textId="77777777" w:rsidR="00120700" w:rsidRPr="00CC757B" w:rsidRDefault="00120700" w:rsidP="00A52AEE">
            <w:pPr>
              <w:rPr>
                <w:b/>
                <w:color w:val="FFFFFF" w:themeColor="background1"/>
              </w:rPr>
            </w:pPr>
            <w:r w:rsidRPr="00CC757B">
              <w:rPr>
                <w:b/>
                <w:color w:val="FFFFFF" w:themeColor="background1"/>
              </w:rPr>
              <w:t>NVQ</w:t>
            </w:r>
          </w:p>
          <w:p w14:paraId="0FFEDC8A" w14:textId="43D4EF3B" w:rsidR="00120700" w:rsidRPr="00A52AEE" w:rsidRDefault="00120700" w:rsidP="00A52AEE"/>
        </w:tc>
        <w:tc>
          <w:tcPr>
            <w:tcW w:w="776" w:type="dxa"/>
            <w:tcBorders>
              <w:left w:val="single" w:sz="4" w:space="0" w:color="auto"/>
            </w:tcBorders>
            <w:shd w:val="clear" w:color="auto" w:fill="auto"/>
            <w:noWrap/>
            <w:vAlign w:val="center"/>
          </w:tcPr>
          <w:p w14:paraId="3F5F41D8" w14:textId="44A11AAA" w:rsidR="00120700" w:rsidRPr="00A52AEE" w:rsidRDefault="00120700" w:rsidP="00A52AEE">
            <w:r w:rsidRPr="00A52AEE">
              <w:rPr>
                <w:noProof/>
                <w:lang w:eastAsia="en-GB"/>
              </w:rPr>
              <mc:AlternateContent>
                <mc:Choice Requires="wps">
                  <w:drawing>
                    <wp:anchor distT="0" distB="0" distL="114300" distR="114300" simplePos="0" relativeHeight="251670528" behindDoc="0" locked="0" layoutInCell="1" allowOverlap="1" wp14:anchorId="7388C1D9" wp14:editId="0C7A94E8">
                      <wp:simplePos x="0" y="0"/>
                      <wp:positionH relativeFrom="column">
                        <wp:posOffset>-21590</wp:posOffset>
                      </wp:positionH>
                      <wp:positionV relativeFrom="paragraph">
                        <wp:posOffset>-56515</wp:posOffset>
                      </wp:positionV>
                      <wp:extent cx="390525" cy="161925"/>
                      <wp:effectExtent l="19050" t="57150" r="9525" b="28575"/>
                      <wp:wrapNone/>
                      <wp:docPr id="40" name="Straight Arrow Connector 40"/>
                      <wp:cNvGraphicFramePr/>
                      <a:graphic xmlns:a="http://schemas.openxmlformats.org/drawingml/2006/main">
                        <a:graphicData uri="http://schemas.microsoft.com/office/word/2010/wordprocessingShape">
                          <wps:wsp>
                            <wps:cNvCnPr/>
                            <wps:spPr>
                              <a:xfrm flipV="1">
                                <a:off x="0" y="0"/>
                                <a:ext cx="304800" cy="2857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9EFD9B" id="Straight Arrow Connector 40" o:spid="_x0000_s1026" type="#_x0000_t32" style="position:absolute;margin-left:-1.7pt;margin-top:-4.45pt;width:30.75pt;height:1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" strokecolor="#4a7ebb" strokeweight="2.25pt">
                      <v:stroke endarrow="open"/>
                    </v:shape>
                  </w:pict>
                </mc:Fallback>
              </mc:AlternateContent>
            </w:r>
          </w:p>
        </w:tc>
        <w:tc>
          <w:tcPr>
            <w:tcW w:w="187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14:paraId="4629B786" w14:textId="69C361DD" w:rsidR="00120700" w:rsidRPr="00A52AEE" w:rsidRDefault="00120700" w:rsidP="00A52AEE">
            <w:r w:rsidRPr="00A52AEE">
              <w:t>Achieved First Degree</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9726FD0" w14:textId="00D6F81D" w:rsidR="00120700" w:rsidRPr="00A52AEE" w:rsidRDefault="00120700" w:rsidP="009A2373">
            <w:pPr>
              <w:jc w:val="right"/>
            </w:pPr>
            <w:r w:rsidRPr="00A52AEE">
              <w:t>59%</w:t>
            </w:r>
          </w:p>
        </w:tc>
        <w:tc>
          <w:tcPr>
            <w:tcW w:w="2416" w:type="dxa"/>
            <w:tcBorders>
              <w:right w:val="single" w:sz="4" w:space="0" w:color="auto"/>
            </w:tcBorders>
            <w:shd w:val="clear" w:color="auto" w:fill="auto"/>
            <w:noWrap/>
            <w:vAlign w:val="center"/>
          </w:tcPr>
          <w:p w14:paraId="46385A20" w14:textId="3E46E6E0" w:rsidR="00120700" w:rsidRPr="00A52AEE" w:rsidRDefault="00120700" w:rsidP="009A2373">
            <w:pPr>
              <w:jc w:val="right"/>
            </w:pPr>
            <w:r w:rsidRPr="00A52AEE">
              <w:rPr>
                <w:noProof/>
                <w:lang w:eastAsia="en-GB"/>
              </w:rPr>
              <mc:AlternateContent>
                <mc:Choice Requires="wps">
                  <w:drawing>
                    <wp:anchor distT="0" distB="0" distL="114300" distR="114300" simplePos="0" relativeHeight="251671552" behindDoc="0" locked="0" layoutInCell="1" allowOverlap="1" wp14:anchorId="4113EE46" wp14:editId="55AF4426">
                      <wp:simplePos x="0" y="0"/>
                      <wp:positionH relativeFrom="column">
                        <wp:posOffset>7620</wp:posOffset>
                      </wp:positionH>
                      <wp:positionV relativeFrom="paragraph">
                        <wp:posOffset>268605</wp:posOffset>
                      </wp:positionV>
                      <wp:extent cx="990600" cy="190500"/>
                      <wp:effectExtent l="19050" t="95250" r="0" b="19050"/>
                      <wp:wrapNone/>
                      <wp:docPr id="42" name="Straight Arrow Connector 42"/>
                      <wp:cNvGraphicFramePr/>
                      <a:graphic xmlns:a="http://schemas.openxmlformats.org/drawingml/2006/main">
                        <a:graphicData uri="http://schemas.microsoft.com/office/word/2010/wordprocessingShape">
                          <wps:wsp>
                            <wps:cNvCnPr/>
                            <wps:spPr>
                              <a:xfrm flipV="1">
                                <a:off x="0" y="0"/>
                                <a:ext cx="904875" cy="99061"/>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1D9D4C" id="Straight Arrow Connector 42" o:spid="_x0000_s1026" type="#_x0000_t32" style="position:absolute;margin-left:.6pt;margin-top:21.15pt;width:78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" strokecolor="#4a7ebb" strokeweight="2.25pt">
                      <v:stroke endarrow="open"/>
                    </v:shape>
                  </w:pict>
                </mc:Fallback>
              </mc:AlternateContent>
            </w:r>
          </w:p>
        </w:tc>
        <w:tc>
          <w:tcPr>
            <w:tcW w:w="1559" w:type="dxa"/>
            <w:vMerge/>
            <w:tcBorders>
              <w:left w:val="single" w:sz="4" w:space="0" w:color="auto"/>
              <w:bottom w:val="single" w:sz="4" w:space="0" w:color="auto"/>
            </w:tcBorders>
            <w:shd w:val="clear" w:color="auto" w:fill="auto"/>
            <w:noWrap/>
            <w:vAlign w:val="center"/>
          </w:tcPr>
          <w:p w14:paraId="7AE6561D" w14:textId="77777777" w:rsidR="00120700" w:rsidRPr="00A52AEE" w:rsidRDefault="00120700" w:rsidP="00A52AEE"/>
        </w:tc>
        <w:tc>
          <w:tcPr>
            <w:tcW w:w="850" w:type="dxa"/>
            <w:vMerge/>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14:paraId="7182843A" w14:textId="77777777" w:rsidR="00120700" w:rsidRPr="00A52AEE" w:rsidRDefault="00120700" w:rsidP="006B7284">
            <w:pPr>
              <w:jc w:val="right"/>
            </w:pPr>
          </w:p>
        </w:tc>
      </w:tr>
      <w:tr w:rsidR="00120700" w:rsidRPr="00A52AEE" w14:paraId="3CFCE831" w14:textId="77777777" w:rsidTr="00120700">
        <w:trPr>
          <w:trHeight w:val="315"/>
        </w:trPr>
        <w:tc>
          <w:tcPr>
            <w:tcW w:w="1329" w:type="dxa"/>
            <w:tcBorders>
              <w:top w:val="single" w:sz="4" w:space="0" w:color="auto"/>
            </w:tcBorders>
            <w:shd w:val="clear" w:color="auto" w:fill="auto"/>
            <w:noWrap/>
            <w:vAlign w:val="bottom"/>
          </w:tcPr>
          <w:p w14:paraId="492C6D13" w14:textId="77777777" w:rsidR="00120700" w:rsidRPr="00A52AEE" w:rsidRDefault="00120700" w:rsidP="00A52AEE"/>
        </w:tc>
        <w:tc>
          <w:tcPr>
            <w:tcW w:w="776" w:type="dxa"/>
            <w:shd w:val="clear" w:color="auto" w:fill="auto"/>
            <w:noWrap/>
            <w:vAlign w:val="bottom"/>
          </w:tcPr>
          <w:p w14:paraId="4861418D" w14:textId="77777777" w:rsidR="00120700" w:rsidRPr="00A52AEE" w:rsidRDefault="00120700" w:rsidP="00A52AEE"/>
        </w:tc>
        <w:tc>
          <w:tcPr>
            <w:tcW w:w="1872"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14:paraId="227E09ED" w14:textId="7A1C6A4E" w:rsidR="00120700" w:rsidRPr="00A52AEE" w:rsidRDefault="00120700" w:rsidP="00A52AEE">
            <w:r w:rsidRPr="00A52AEE">
              <w:t>Achieved Lower Award</w:t>
            </w:r>
          </w:p>
        </w:tc>
        <w:tc>
          <w:tcPr>
            <w:tcW w:w="736"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584F8ABC" w14:textId="51F91A1F" w:rsidR="00120700" w:rsidRPr="00A52AEE" w:rsidRDefault="00120700" w:rsidP="009A2373">
            <w:pPr>
              <w:jc w:val="right"/>
            </w:pPr>
            <w:r w:rsidRPr="00A52AEE">
              <w:t>14%</w:t>
            </w:r>
          </w:p>
        </w:tc>
        <w:tc>
          <w:tcPr>
            <w:tcW w:w="2416" w:type="dxa"/>
            <w:shd w:val="clear" w:color="auto" w:fill="auto"/>
            <w:noWrap/>
            <w:vAlign w:val="bottom"/>
          </w:tcPr>
          <w:p w14:paraId="7E8A2CA1" w14:textId="77777777" w:rsidR="00120700" w:rsidRPr="00A52AEE" w:rsidRDefault="00120700" w:rsidP="009A2373">
            <w:pPr>
              <w:jc w:val="right"/>
            </w:pPr>
          </w:p>
        </w:tc>
        <w:tc>
          <w:tcPr>
            <w:tcW w:w="1559" w:type="dxa"/>
            <w:tcBorders>
              <w:top w:val="single" w:sz="4" w:space="0" w:color="auto"/>
              <w:bottom w:val="single" w:sz="12" w:space="0" w:color="auto"/>
            </w:tcBorders>
            <w:shd w:val="clear" w:color="auto" w:fill="auto"/>
            <w:noWrap/>
            <w:vAlign w:val="bottom"/>
          </w:tcPr>
          <w:p w14:paraId="15DF10A1" w14:textId="77777777" w:rsidR="00120700" w:rsidRPr="00A52AEE" w:rsidRDefault="00120700" w:rsidP="00A52AEE"/>
        </w:tc>
        <w:tc>
          <w:tcPr>
            <w:tcW w:w="850" w:type="dxa"/>
            <w:tcBorders>
              <w:bottom w:val="single" w:sz="12" w:space="0" w:color="auto"/>
            </w:tcBorders>
            <w:shd w:val="clear" w:color="auto" w:fill="auto"/>
            <w:noWrap/>
            <w:vAlign w:val="bottom"/>
          </w:tcPr>
          <w:p w14:paraId="298DB8F2" w14:textId="77777777" w:rsidR="00120700" w:rsidRPr="00A52AEE" w:rsidRDefault="00120700" w:rsidP="006B7284">
            <w:pPr>
              <w:jc w:val="right"/>
            </w:pPr>
          </w:p>
        </w:tc>
      </w:tr>
      <w:tr w:rsidR="00120700" w:rsidRPr="00A52AEE" w14:paraId="30662CDC" w14:textId="77777777" w:rsidTr="00120700">
        <w:trPr>
          <w:trHeight w:val="315"/>
        </w:trPr>
        <w:tc>
          <w:tcPr>
            <w:tcW w:w="1329" w:type="dxa"/>
            <w:shd w:val="clear" w:color="auto" w:fill="auto"/>
            <w:noWrap/>
            <w:vAlign w:val="bottom"/>
            <w:hideMark/>
          </w:tcPr>
          <w:p w14:paraId="23D65B7D" w14:textId="77777777" w:rsidR="00120700" w:rsidRPr="00A52AEE" w:rsidRDefault="00120700" w:rsidP="00A52AEE"/>
        </w:tc>
        <w:tc>
          <w:tcPr>
            <w:tcW w:w="776" w:type="dxa"/>
            <w:shd w:val="clear" w:color="auto" w:fill="auto"/>
            <w:noWrap/>
            <w:vAlign w:val="bottom"/>
            <w:hideMark/>
          </w:tcPr>
          <w:p w14:paraId="71808CDE" w14:textId="77777777" w:rsidR="00120700" w:rsidRPr="00A52AEE" w:rsidRDefault="00120700" w:rsidP="00A52AEE"/>
        </w:tc>
        <w:tc>
          <w:tcPr>
            <w:tcW w:w="1136" w:type="dxa"/>
            <w:tcBorders>
              <w:top w:val="single" w:sz="4" w:space="0" w:color="auto"/>
              <w:bottom w:val="single" w:sz="12" w:space="0" w:color="auto"/>
            </w:tcBorders>
            <w:shd w:val="clear" w:color="auto" w:fill="auto"/>
            <w:noWrap/>
            <w:vAlign w:val="bottom"/>
            <w:hideMark/>
          </w:tcPr>
          <w:p w14:paraId="6BA92545" w14:textId="77777777" w:rsidR="00120700" w:rsidRPr="00A52AEE" w:rsidRDefault="00120700" w:rsidP="00A52AEE"/>
        </w:tc>
        <w:tc>
          <w:tcPr>
            <w:tcW w:w="736" w:type="dxa"/>
            <w:tcBorders>
              <w:top w:val="single" w:sz="4" w:space="0" w:color="auto"/>
              <w:bottom w:val="single" w:sz="12" w:space="0" w:color="auto"/>
            </w:tcBorders>
            <w:shd w:val="clear" w:color="auto" w:fill="auto"/>
            <w:noWrap/>
            <w:vAlign w:val="bottom"/>
            <w:hideMark/>
          </w:tcPr>
          <w:p w14:paraId="5307B563" w14:textId="77777777" w:rsidR="00120700" w:rsidRPr="00A52AEE" w:rsidRDefault="00120700" w:rsidP="00A52AEE"/>
        </w:tc>
        <w:tc>
          <w:tcPr>
            <w:tcW w:w="736" w:type="dxa"/>
            <w:tcBorders>
              <w:top w:val="single" w:sz="4" w:space="0" w:color="auto"/>
              <w:bottom w:val="single" w:sz="12" w:space="0" w:color="auto"/>
            </w:tcBorders>
            <w:shd w:val="clear" w:color="auto" w:fill="auto"/>
            <w:noWrap/>
            <w:vAlign w:val="bottom"/>
            <w:hideMark/>
          </w:tcPr>
          <w:p w14:paraId="69C67167" w14:textId="77777777" w:rsidR="00120700" w:rsidRPr="00A52AEE" w:rsidRDefault="00120700" w:rsidP="009A2373">
            <w:pPr>
              <w:jc w:val="right"/>
            </w:pPr>
          </w:p>
        </w:tc>
        <w:tc>
          <w:tcPr>
            <w:tcW w:w="2416" w:type="dxa"/>
            <w:vMerge w:val="restart"/>
            <w:tcBorders>
              <w:right w:val="single" w:sz="12" w:space="0" w:color="auto"/>
            </w:tcBorders>
            <w:shd w:val="clear" w:color="auto" w:fill="auto"/>
            <w:noWrap/>
            <w:vAlign w:val="bottom"/>
            <w:hideMark/>
          </w:tcPr>
          <w:p w14:paraId="7CF95F78" w14:textId="77777777" w:rsidR="00120700" w:rsidRPr="00A52AEE" w:rsidRDefault="00120700" w:rsidP="009A2373">
            <w:pPr>
              <w:jc w:val="right"/>
            </w:pPr>
            <w:r w:rsidRPr="00A52AEE">
              <w:rPr>
                <w:noProof/>
                <w:lang w:eastAsia="en-GB"/>
              </w:rPr>
              <mc:AlternateContent>
                <mc:Choice Requires="wps">
                  <w:drawing>
                    <wp:anchor distT="0" distB="0" distL="114300" distR="114300" simplePos="0" relativeHeight="251668480" behindDoc="0" locked="0" layoutInCell="1" allowOverlap="1" wp14:anchorId="5866BBBA" wp14:editId="3FD644AA">
                      <wp:simplePos x="0" y="0"/>
                      <wp:positionH relativeFrom="column">
                        <wp:posOffset>109855</wp:posOffset>
                      </wp:positionH>
                      <wp:positionV relativeFrom="paragraph">
                        <wp:posOffset>324485</wp:posOffset>
                      </wp:positionV>
                      <wp:extent cx="1057275" cy="200025"/>
                      <wp:effectExtent l="19050" t="95250" r="0" b="28575"/>
                      <wp:wrapNone/>
                      <wp:docPr id="38" name="Straight Arrow Connector 38"/>
                      <wp:cNvGraphicFramePr/>
                      <a:graphic xmlns:a="http://schemas.openxmlformats.org/drawingml/2006/main">
                        <a:graphicData uri="http://schemas.microsoft.com/office/word/2010/wordprocessingShape">
                          <wps:wsp>
                            <wps:cNvCnPr/>
                            <wps:spPr>
                              <a:xfrm flipV="1">
                                <a:off x="0" y="0"/>
                                <a:ext cx="1057275" cy="2000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4256EB" id="Straight Arrow Connector 38" o:spid="_x0000_s1026" type="#_x0000_t32" style="position:absolute;margin-left:8.65pt;margin-top:25.55pt;width:83.2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" strokecolor="#4a7ebb" strokeweight="2.25pt">
                      <v:stroke endarrow="open"/>
                    </v:shape>
                  </w:pict>
                </mc:Fallback>
              </mc:AlternateConten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05D083BF" w14:textId="77777777" w:rsidR="00120700" w:rsidRPr="00A52AEE" w:rsidRDefault="00120700" w:rsidP="00A52AEE">
            <w:r w:rsidRPr="00A52AEE">
              <w:t xml:space="preserve">Attained </w:t>
            </w:r>
          </w:p>
          <w:p w14:paraId="2B5AE152" w14:textId="77777777" w:rsidR="00120700" w:rsidRPr="00A52AEE" w:rsidRDefault="00120700" w:rsidP="00A52AEE">
            <w:r w:rsidRPr="00A52AEE">
              <w:t>1st or 2:1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82E3B3" w14:textId="79250B31" w:rsidR="00120700" w:rsidRPr="00A52AEE" w:rsidRDefault="00120700" w:rsidP="006B7284">
            <w:pPr>
              <w:jc w:val="right"/>
            </w:pPr>
            <w:r w:rsidRPr="00A52AEE">
              <w:t>47%</w:t>
            </w:r>
          </w:p>
        </w:tc>
      </w:tr>
      <w:tr w:rsidR="00120700" w:rsidRPr="00A52AEE" w14:paraId="52445AC8" w14:textId="77777777" w:rsidTr="00120700">
        <w:trPr>
          <w:trHeight w:val="315"/>
        </w:trPr>
        <w:tc>
          <w:tcPr>
            <w:tcW w:w="1329" w:type="dxa"/>
            <w:tcBorders>
              <w:bottom w:val="single" w:sz="12" w:space="0" w:color="auto"/>
            </w:tcBorders>
            <w:shd w:val="clear" w:color="auto" w:fill="auto"/>
            <w:noWrap/>
            <w:vAlign w:val="bottom"/>
            <w:hideMark/>
          </w:tcPr>
          <w:p w14:paraId="5AD3BDCD" w14:textId="77777777" w:rsidR="00120700" w:rsidRPr="00A52AEE" w:rsidRDefault="00120700" w:rsidP="00A52AEE"/>
        </w:tc>
        <w:tc>
          <w:tcPr>
            <w:tcW w:w="776" w:type="dxa"/>
            <w:vMerge w:val="restart"/>
            <w:tcBorders>
              <w:right w:val="single" w:sz="12" w:space="0" w:color="auto"/>
            </w:tcBorders>
            <w:shd w:val="clear" w:color="auto" w:fill="auto"/>
            <w:noWrap/>
            <w:vAlign w:val="bottom"/>
            <w:hideMark/>
          </w:tcPr>
          <w:p w14:paraId="08253F10" w14:textId="77777777" w:rsidR="00120700" w:rsidRPr="00A52AEE" w:rsidRDefault="00120700" w:rsidP="00A52AEE">
            <w:r w:rsidRPr="00A52AEE">
              <w:rPr>
                <w:noProof/>
                <w:lang w:eastAsia="en-GB"/>
              </w:rPr>
              <mc:AlternateContent>
                <mc:Choice Requires="wps">
                  <w:drawing>
                    <wp:anchor distT="0" distB="0" distL="114300" distR="114300" simplePos="0" relativeHeight="251669504" behindDoc="0" locked="0" layoutInCell="1" allowOverlap="1" wp14:anchorId="4929E06C" wp14:editId="1A1505F3">
                      <wp:simplePos x="0" y="0"/>
                      <wp:positionH relativeFrom="column">
                        <wp:posOffset>-19050</wp:posOffset>
                      </wp:positionH>
                      <wp:positionV relativeFrom="paragraph">
                        <wp:posOffset>-164465</wp:posOffset>
                      </wp:positionV>
                      <wp:extent cx="390525" cy="161925"/>
                      <wp:effectExtent l="1905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304800" cy="2857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CC66905" id="Straight Arrow Connector 20" o:spid="_x0000_s1026" type="#_x0000_t32" style="position:absolute;margin-left:-1.5pt;margin-top:-12.95pt;width:30.75pt;height:12.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" strokecolor="#4a7ebb" strokeweight="2.25pt">
                      <v:stroke endarrow="open"/>
                    </v:shape>
                  </w:pict>
                </mc:Fallback>
              </mc:AlternateContent>
            </w:r>
          </w:p>
        </w:tc>
        <w:tc>
          <w:tcPr>
            <w:tcW w:w="187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17F0F745" w14:textId="77777777" w:rsidR="00120700" w:rsidRPr="00A52AEE" w:rsidRDefault="00120700" w:rsidP="00A52AEE">
            <w:r w:rsidRPr="00A52AEE">
              <w:t>Achieved First Degree</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24ADD39" w14:textId="32F67C20" w:rsidR="00120700" w:rsidRPr="00A52AEE" w:rsidRDefault="00120700" w:rsidP="009A2373">
            <w:pPr>
              <w:jc w:val="right"/>
            </w:pPr>
            <w:r w:rsidRPr="00A52AEE">
              <w:t>57%</w:t>
            </w:r>
          </w:p>
        </w:tc>
        <w:tc>
          <w:tcPr>
            <w:tcW w:w="2416" w:type="dxa"/>
            <w:vMerge/>
            <w:tcBorders>
              <w:left w:val="single" w:sz="12" w:space="0" w:color="auto"/>
              <w:right w:val="single" w:sz="12" w:space="0" w:color="auto"/>
            </w:tcBorders>
            <w:vAlign w:val="center"/>
            <w:hideMark/>
          </w:tcPr>
          <w:p w14:paraId="5D158E4D" w14:textId="77777777" w:rsidR="00120700" w:rsidRPr="00A52AEE" w:rsidRDefault="00120700" w:rsidP="009A2373">
            <w:pPr>
              <w:jc w:val="right"/>
            </w:pPr>
          </w:p>
        </w:tc>
        <w:tc>
          <w:tcPr>
            <w:tcW w:w="1559" w:type="dxa"/>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1F00FB76" w14:textId="77777777" w:rsidR="00120700" w:rsidRPr="00A52AEE" w:rsidRDefault="00120700" w:rsidP="00A52AEE"/>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03BBAF65" w14:textId="77777777" w:rsidR="00120700" w:rsidRPr="00A52AEE" w:rsidRDefault="00120700" w:rsidP="00A52AEE"/>
        </w:tc>
      </w:tr>
      <w:tr w:rsidR="00120700" w:rsidRPr="00A52AEE" w14:paraId="6313D748" w14:textId="77777777" w:rsidTr="00120700">
        <w:trPr>
          <w:trHeight w:val="315"/>
        </w:trPr>
        <w:tc>
          <w:tcPr>
            <w:tcW w:w="1329"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235B8120" w14:textId="77777777" w:rsidR="00120700" w:rsidRPr="00CC757B" w:rsidRDefault="00120700" w:rsidP="00A52AEE">
            <w:pPr>
              <w:rPr>
                <w:b/>
              </w:rPr>
            </w:pPr>
            <w:r w:rsidRPr="00CC757B">
              <w:rPr>
                <w:b/>
                <w:color w:val="FFFFFF" w:themeColor="background1"/>
              </w:rPr>
              <w:t>Other Vocational</w:t>
            </w:r>
          </w:p>
        </w:tc>
        <w:tc>
          <w:tcPr>
            <w:tcW w:w="776" w:type="dxa"/>
            <w:vMerge/>
            <w:tcBorders>
              <w:left w:val="single" w:sz="12" w:space="0" w:color="auto"/>
              <w:right w:val="single" w:sz="12" w:space="0" w:color="auto"/>
            </w:tcBorders>
            <w:vAlign w:val="center"/>
            <w:hideMark/>
          </w:tcPr>
          <w:p w14:paraId="087573A2" w14:textId="77777777" w:rsidR="00120700" w:rsidRPr="00A52AEE" w:rsidRDefault="00120700" w:rsidP="00A52AEE"/>
        </w:tc>
        <w:tc>
          <w:tcPr>
            <w:tcW w:w="187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CE1BA83" w14:textId="77777777" w:rsidR="00120700" w:rsidRPr="00A52AEE" w:rsidRDefault="00120700" w:rsidP="00A52AEE">
            <w:r w:rsidRPr="00A52AEE">
              <w:t>Achieved Lower Award</w:t>
            </w:r>
          </w:p>
        </w:tc>
        <w:tc>
          <w:tcPr>
            <w:tcW w:w="7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ABCF0F5" w14:textId="113E26B7" w:rsidR="00120700" w:rsidRPr="00A52AEE" w:rsidRDefault="00120700" w:rsidP="009A2373">
            <w:pPr>
              <w:jc w:val="right"/>
            </w:pPr>
            <w:r w:rsidRPr="00A52AEE">
              <w:t>14%</w:t>
            </w:r>
          </w:p>
        </w:tc>
        <w:tc>
          <w:tcPr>
            <w:tcW w:w="2416" w:type="dxa"/>
            <w:tcBorders>
              <w:left w:val="single" w:sz="12" w:space="0" w:color="auto"/>
            </w:tcBorders>
            <w:shd w:val="clear" w:color="auto" w:fill="auto"/>
            <w:noWrap/>
            <w:vAlign w:val="bottom"/>
            <w:hideMark/>
          </w:tcPr>
          <w:p w14:paraId="5D74B7C6" w14:textId="77777777" w:rsidR="00120700" w:rsidRPr="00A52AEE" w:rsidRDefault="00120700" w:rsidP="009A2373">
            <w:pPr>
              <w:jc w:val="right"/>
            </w:pPr>
          </w:p>
        </w:tc>
        <w:tc>
          <w:tcPr>
            <w:tcW w:w="1559" w:type="dxa"/>
            <w:tcBorders>
              <w:top w:val="single" w:sz="12" w:space="0" w:color="auto"/>
            </w:tcBorders>
            <w:shd w:val="clear" w:color="auto" w:fill="auto"/>
            <w:noWrap/>
            <w:vAlign w:val="bottom"/>
            <w:hideMark/>
          </w:tcPr>
          <w:p w14:paraId="61BB1FCA" w14:textId="77777777" w:rsidR="00120700" w:rsidRPr="00A52AEE" w:rsidRDefault="00120700" w:rsidP="00A52AEE"/>
        </w:tc>
        <w:tc>
          <w:tcPr>
            <w:tcW w:w="850" w:type="dxa"/>
            <w:tcBorders>
              <w:top w:val="single" w:sz="12" w:space="0" w:color="auto"/>
            </w:tcBorders>
            <w:shd w:val="clear" w:color="auto" w:fill="auto"/>
            <w:noWrap/>
            <w:vAlign w:val="bottom"/>
            <w:hideMark/>
          </w:tcPr>
          <w:p w14:paraId="62BF61B2" w14:textId="77777777" w:rsidR="00120700" w:rsidRPr="00A52AEE" w:rsidRDefault="00120700" w:rsidP="00A52AEE"/>
        </w:tc>
      </w:tr>
    </w:tbl>
    <w:p w14:paraId="334BF5AA" w14:textId="77777777" w:rsidR="00120700" w:rsidRPr="00A52AEE" w:rsidRDefault="00120700" w:rsidP="00A52AEE"/>
    <w:p w14:paraId="0B5AF8A3" w14:textId="041C4790" w:rsidR="00757B2C" w:rsidRPr="00A52AEE" w:rsidRDefault="00757B2C" w:rsidP="00A52AEE"/>
    <w:p w14:paraId="17D9F99A" w14:textId="1F379B42" w:rsidR="00757B2C" w:rsidRPr="00A52AEE" w:rsidRDefault="00757B2C" w:rsidP="008D527A">
      <w:pPr>
        <w:pStyle w:val="Heading2"/>
        <w:numPr>
          <w:ilvl w:val="1"/>
          <w:numId w:val="19"/>
        </w:numPr>
      </w:pPr>
      <w:bookmarkStart w:id="141" w:name="_Toc429151356"/>
      <w:r w:rsidRPr="00A52AEE">
        <w:t>Age and HE progression summary</w:t>
      </w:r>
      <w:bookmarkEnd w:id="141"/>
    </w:p>
    <w:p w14:paraId="4411113B" w14:textId="2B0F3A29" w:rsidR="00757B2C" w:rsidRPr="00A52AEE" w:rsidRDefault="004E52FE" w:rsidP="00A52AEE">
      <w:r>
        <w:t>Table 43</w:t>
      </w:r>
      <w:r w:rsidR="00757B2C" w:rsidRPr="00A52AEE">
        <w:t xml:space="preserve"> is provided to enable easier comparisons of the Level 3 cohort</w:t>
      </w:r>
      <w:r w:rsidR="00F35E56" w:rsidRPr="00A52AEE">
        <w:t xml:space="preserve"> </w:t>
      </w:r>
      <w:r w:rsidR="00757B2C" w:rsidRPr="00A52AEE">
        <w:t>and their HE progression by age group.</w:t>
      </w:r>
    </w:p>
    <w:p w14:paraId="5DCEE8D6" w14:textId="77777777" w:rsidR="00757B2C" w:rsidRPr="00A52AEE" w:rsidRDefault="00757B2C" w:rsidP="00A52AEE"/>
    <w:p w14:paraId="65C742DD" w14:textId="6800584F" w:rsidR="00757B2C" w:rsidRPr="00CC757B" w:rsidRDefault="0022142D" w:rsidP="00A52AEE">
      <w:pPr>
        <w:rPr>
          <w:b/>
        </w:rPr>
      </w:pPr>
      <w:r>
        <w:rPr>
          <w:b/>
        </w:rPr>
        <w:t>Table 43</w:t>
      </w:r>
      <w:r w:rsidR="00757B2C" w:rsidRPr="00CC757B">
        <w:rPr>
          <w:b/>
        </w:rPr>
        <w:t xml:space="preserve">: Age summary: characteristics of </w:t>
      </w:r>
      <w:r w:rsidR="00813163" w:rsidRPr="00CC757B">
        <w:rPr>
          <w:b/>
        </w:rPr>
        <w:t>the London cohorts</w:t>
      </w:r>
      <w:r w:rsidR="00757B2C" w:rsidRPr="00CC757B">
        <w:rPr>
          <w:b/>
        </w:rPr>
        <w:t xml:space="preserve"> and HE progression</w:t>
      </w:r>
    </w:p>
    <w:p w14:paraId="1D3328EE" w14:textId="77777777" w:rsidR="00120700" w:rsidRPr="00A52AEE" w:rsidRDefault="00120700" w:rsidP="00A52AEE"/>
    <w:tbl>
      <w:tblPr>
        <w:tblW w:w="10073" w:type="dxa"/>
        <w:tblInd w:w="118" w:type="dxa"/>
        <w:tblLook w:val="04A0" w:firstRow="1" w:lastRow="0" w:firstColumn="1" w:lastColumn="0" w:noHBand="0" w:noVBand="1"/>
      </w:tblPr>
      <w:tblGrid>
        <w:gridCol w:w="7080"/>
        <w:gridCol w:w="1073"/>
        <w:gridCol w:w="960"/>
        <w:gridCol w:w="960"/>
      </w:tblGrid>
      <w:tr w:rsidR="00CC757B" w:rsidRPr="00CC757B" w14:paraId="766B72DB" w14:textId="77777777" w:rsidTr="00120700">
        <w:trPr>
          <w:trHeight w:val="915"/>
        </w:trPr>
        <w:tc>
          <w:tcPr>
            <w:tcW w:w="7080" w:type="dxa"/>
            <w:tcBorders>
              <w:top w:val="single" w:sz="8" w:space="0" w:color="auto"/>
              <w:left w:val="single" w:sz="8" w:space="0" w:color="auto"/>
              <w:bottom w:val="single" w:sz="8" w:space="0" w:color="auto"/>
              <w:right w:val="single" w:sz="8" w:space="0" w:color="auto"/>
            </w:tcBorders>
            <w:shd w:val="clear" w:color="auto" w:fill="1F4E79" w:themeFill="accent1" w:themeFillShade="80"/>
            <w:vAlign w:val="center"/>
            <w:hideMark/>
          </w:tcPr>
          <w:p w14:paraId="285D126C" w14:textId="10A55053" w:rsidR="00757B2C" w:rsidRPr="00CC757B" w:rsidRDefault="0045461C" w:rsidP="00A52AEE">
            <w:pPr>
              <w:rPr>
                <w:b/>
                <w:color w:val="FFFFFF" w:themeColor="background1"/>
              </w:rPr>
            </w:pPr>
            <w:r w:rsidRPr="00CC757B">
              <w:rPr>
                <w:b/>
                <w:color w:val="FFFFFF" w:themeColor="background1"/>
              </w:rPr>
              <w:t>Level 3 characteristics</w:t>
            </w:r>
          </w:p>
        </w:tc>
        <w:tc>
          <w:tcPr>
            <w:tcW w:w="1073"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15986F8F" w14:textId="00743EB8" w:rsidR="00757B2C" w:rsidRPr="00CC757B" w:rsidRDefault="005175E4" w:rsidP="00CC757B">
            <w:pPr>
              <w:jc w:val="center"/>
              <w:rPr>
                <w:b/>
                <w:color w:val="FFFFFF" w:themeColor="background1"/>
              </w:rPr>
            </w:pPr>
            <w:r w:rsidRPr="00CC757B">
              <w:rPr>
                <w:b/>
                <w:color w:val="FFFFFF" w:themeColor="background1"/>
              </w:rPr>
              <w:t>17-19</w:t>
            </w:r>
          </w:p>
        </w:tc>
        <w:tc>
          <w:tcPr>
            <w:tcW w:w="960"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13FC8EE1" w14:textId="6C1BA5A9" w:rsidR="00757B2C" w:rsidRPr="00CC757B" w:rsidRDefault="00757B2C" w:rsidP="00CC757B">
            <w:pPr>
              <w:jc w:val="center"/>
              <w:rPr>
                <w:b/>
                <w:color w:val="FFFFFF" w:themeColor="background1"/>
              </w:rPr>
            </w:pPr>
            <w:r w:rsidRPr="00CC757B">
              <w:rPr>
                <w:b/>
                <w:color w:val="FFFFFF" w:themeColor="background1"/>
              </w:rPr>
              <w:t>20-24</w:t>
            </w:r>
          </w:p>
        </w:tc>
        <w:tc>
          <w:tcPr>
            <w:tcW w:w="960" w:type="dxa"/>
            <w:tcBorders>
              <w:top w:val="single" w:sz="8" w:space="0" w:color="auto"/>
              <w:left w:val="nil"/>
              <w:bottom w:val="single" w:sz="8" w:space="0" w:color="auto"/>
              <w:right w:val="single" w:sz="8" w:space="0" w:color="auto"/>
            </w:tcBorders>
            <w:shd w:val="clear" w:color="auto" w:fill="1F4E79" w:themeFill="accent1" w:themeFillShade="80"/>
            <w:vAlign w:val="center"/>
            <w:hideMark/>
          </w:tcPr>
          <w:p w14:paraId="5B01FD9E" w14:textId="7BAF2DF7" w:rsidR="00757B2C" w:rsidRPr="00CC757B" w:rsidRDefault="00757B2C" w:rsidP="00CC757B">
            <w:pPr>
              <w:jc w:val="center"/>
              <w:rPr>
                <w:b/>
                <w:color w:val="FFFFFF" w:themeColor="background1"/>
              </w:rPr>
            </w:pPr>
            <w:r w:rsidRPr="00CC757B">
              <w:rPr>
                <w:b/>
                <w:color w:val="FFFFFF" w:themeColor="background1"/>
              </w:rPr>
              <w:t>25+</w:t>
            </w:r>
          </w:p>
        </w:tc>
      </w:tr>
      <w:tr w:rsidR="006B7B96" w:rsidRPr="00A52AEE" w14:paraId="14FD1F69"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1322414F" w14:textId="77777777" w:rsidR="006B7B96" w:rsidRPr="00A52AEE" w:rsidRDefault="006B7B96" w:rsidP="00A52AEE">
            <w:r w:rsidRPr="00A52AEE">
              <w:t>Combined  Level 3 tracked cohort 2007-2011</w:t>
            </w:r>
          </w:p>
        </w:tc>
        <w:tc>
          <w:tcPr>
            <w:tcW w:w="1073" w:type="dxa"/>
            <w:tcBorders>
              <w:top w:val="nil"/>
              <w:left w:val="nil"/>
              <w:bottom w:val="single" w:sz="8" w:space="0" w:color="auto"/>
              <w:right w:val="single" w:sz="8" w:space="0" w:color="auto"/>
            </w:tcBorders>
            <w:shd w:val="clear" w:color="auto" w:fill="auto"/>
            <w:hideMark/>
          </w:tcPr>
          <w:p w14:paraId="24303005" w14:textId="67F68DA4" w:rsidR="006B7B96" w:rsidRPr="00A52AEE" w:rsidRDefault="006B7B96" w:rsidP="00CC757B">
            <w:pPr>
              <w:jc w:val="right"/>
            </w:pPr>
            <w:r w:rsidRPr="00A52AEE">
              <w:t>117</w:t>
            </w:r>
            <w:r w:rsidR="00C435ED" w:rsidRPr="00A52AEE">
              <w:t>,</w:t>
            </w:r>
            <w:r w:rsidRPr="00A52AEE">
              <w:t>940</w:t>
            </w:r>
          </w:p>
        </w:tc>
        <w:tc>
          <w:tcPr>
            <w:tcW w:w="960" w:type="dxa"/>
            <w:tcBorders>
              <w:top w:val="nil"/>
              <w:left w:val="nil"/>
              <w:bottom w:val="single" w:sz="8" w:space="0" w:color="auto"/>
              <w:right w:val="single" w:sz="8" w:space="0" w:color="auto"/>
            </w:tcBorders>
            <w:shd w:val="clear" w:color="auto" w:fill="auto"/>
            <w:hideMark/>
          </w:tcPr>
          <w:p w14:paraId="67AEEBC2" w14:textId="78A4B9D2" w:rsidR="006B7B96" w:rsidRPr="00A52AEE" w:rsidRDefault="00B03408" w:rsidP="00CC757B">
            <w:pPr>
              <w:jc w:val="right"/>
            </w:pPr>
            <w:r w:rsidRPr="00A52AEE">
              <w:t>25</w:t>
            </w:r>
            <w:r w:rsidR="00C435ED" w:rsidRPr="00A52AEE">
              <w:t>,</w:t>
            </w:r>
            <w:r w:rsidRPr="00A52AEE">
              <w:t>745</w:t>
            </w:r>
          </w:p>
        </w:tc>
        <w:tc>
          <w:tcPr>
            <w:tcW w:w="960" w:type="dxa"/>
            <w:tcBorders>
              <w:top w:val="nil"/>
              <w:left w:val="nil"/>
              <w:bottom w:val="single" w:sz="8" w:space="0" w:color="auto"/>
              <w:right w:val="single" w:sz="8" w:space="0" w:color="auto"/>
            </w:tcBorders>
            <w:shd w:val="clear" w:color="auto" w:fill="auto"/>
            <w:hideMark/>
          </w:tcPr>
          <w:p w14:paraId="3C97574E" w14:textId="6279A70C" w:rsidR="006B7B96" w:rsidRPr="00A52AEE" w:rsidRDefault="00B03408" w:rsidP="00CC757B">
            <w:pPr>
              <w:jc w:val="right"/>
            </w:pPr>
            <w:r w:rsidRPr="00A52AEE">
              <w:t>77</w:t>
            </w:r>
            <w:r w:rsidR="00C435ED" w:rsidRPr="00A52AEE">
              <w:t>,</w:t>
            </w:r>
            <w:r w:rsidRPr="00A52AEE">
              <w:t>820</w:t>
            </w:r>
          </w:p>
        </w:tc>
      </w:tr>
      <w:tr w:rsidR="006B7B96" w:rsidRPr="00A52AEE" w14:paraId="1DD84BDF" w14:textId="77777777" w:rsidTr="00165CF8">
        <w:trPr>
          <w:trHeight w:val="58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4DAAAAFA" w14:textId="77777777" w:rsidR="006B7B96" w:rsidRPr="00A52AEE" w:rsidRDefault="006B7B96" w:rsidP="00A52AEE">
            <w:r w:rsidRPr="00A52AEE">
              <w:t>Change in achiever population 2007-2011</w:t>
            </w:r>
          </w:p>
        </w:tc>
        <w:tc>
          <w:tcPr>
            <w:tcW w:w="1073" w:type="dxa"/>
            <w:tcBorders>
              <w:top w:val="nil"/>
              <w:left w:val="nil"/>
              <w:bottom w:val="single" w:sz="8" w:space="0" w:color="auto"/>
              <w:right w:val="single" w:sz="8" w:space="0" w:color="auto"/>
            </w:tcBorders>
            <w:shd w:val="clear" w:color="auto" w:fill="auto"/>
            <w:vAlign w:val="center"/>
            <w:hideMark/>
          </w:tcPr>
          <w:p w14:paraId="276E1CA0" w14:textId="12BDAA52" w:rsidR="006B7B96" w:rsidRPr="00A52AEE" w:rsidRDefault="006B7B96" w:rsidP="00CC757B">
            <w:pPr>
              <w:jc w:val="right"/>
            </w:pPr>
            <w:r w:rsidRPr="00A52AEE">
              <w:t>7</w:t>
            </w:r>
            <w:r w:rsidR="0045461C" w:rsidRPr="00A52AEE">
              <w:t>,</w:t>
            </w:r>
            <w:r w:rsidRPr="00A52AEE">
              <w:t>235 (+33%)</w:t>
            </w:r>
          </w:p>
        </w:tc>
        <w:tc>
          <w:tcPr>
            <w:tcW w:w="960" w:type="dxa"/>
            <w:tcBorders>
              <w:top w:val="nil"/>
              <w:left w:val="nil"/>
              <w:bottom w:val="single" w:sz="8" w:space="0" w:color="auto"/>
              <w:right w:val="single" w:sz="8" w:space="0" w:color="auto"/>
            </w:tcBorders>
            <w:shd w:val="clear" w:color="auto" w:fill="auto"/>
            <w:vAlign w:val="center"/>
            <w:hideMark/>
          </w:tcPr>
          <w:p w14:paraId="4FFE12BF" w14:textId="445A1A82" w:rsidR="006B7B96" w:rsidRPr="00A52AEE" w:rsidRDefault="00B03408" w:rsidP="00CC757B">
            <w:pPr>
              <w:jc w:val="right"/>
            </w:pPr>
            <w:r w:rsidRPr="00A52AEE">
              <w:t>145</w:t>
            </w:r>
          </w:p>
          <w:p w14:paraId="464CFDDE" w14:textId="612216A1" w:rsidR="006B7B96" w:rsidRPr="00A52AEE" w:rsidRDefault="006B7B96" w:rsidP="00CC757B">
            <w:pPr>
              <w:jc w:val="right"/>
            </w:pPr>
            <w:r w:rsidRPr="00A52AEE">
              <w:t>(+3%)</w:t>
            </w:r>
          </w:p>
        </w:tc>
        <w:tc>
          <w:tcPr>
            <w:tcW w:w="960" w:type="dxa"/>
            <w:tcBorders>
              <w:top w:val="nil"/>
              <w:left w:val="nil"/>
              <w:bottom w:val="single" w:sz="8" w:space="0" w:color="auto"/>
              <w:right w:val="single" w:sz="8" w:space="0" w:color="auto"/>
            </w:tcBorders>
            <w:shd w:val="clear" w:color="auto" w:fill="auto"/>
            <w:vAlign w:val="center"/>
            <w:hideMark/>
          </w:tcPr>
          <w:p w14:paraId="516E0918" w14:textId="057CB565" w:rsidR="006B7B96" w:rsidRPr="00A52AEE" w:rsidRDefault="00B03408" w:rsidP="00CC757B">
            <w:pPr>
              <w:jc w:val="right"/>
            </w:pPr>
            <w:r w:rsidRPr="00A52AEE">
              <w:t>-3</w:t>
            </w:r>
            <w:r w:rsidR="0045461C" w:rsidRPr="00A52AEE">
              <w:t>,</w:t>
            </w:r>
            <w:r w:rsidRPr="00A52AEE">
              <w:t>055</w:t>
            </w:r>
          </w:p>
          <w:p w14:paraId="12B3FC07" w14:textId="055FC041" w:rsidR="006B7B96" w:rsidRPr="00A52AEE" w:rsidRDefault="006B7B96" w:rsidP="00CC757B">
            <w:pPr>
              <w:jc w:val="right"/>
            </w:pPr>
            <w:r w:rsidRPr="00A52AEE">
              <w:t xml:space="preserve"> (-20%)</w:t>
            </w:r>
          </w:p>
        </w:tc>
      </w:tr>
      <w:tr w:rsidR="00757B2C" w:rsidRPr="00A52AEE" w14:paraId="36077BD2"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0DE36DC0" w14:textId="77777777" w:rsidR="00757B2C" w:rsidRPr="00A52AEE" w:rsidRDefault="00757B2C" w:rsidP="00A52AEE">
            <w:r w:rsidRPr="00A52AEE">
              <w:t>% studying Access to HE</w:t>
            </w:r>
          </w:p>
        </w:tc>
        <w:tc>
          <w:tcPr>
            <w:tcW w:w="1073" w:type="dxa"/>
            <w:tcBorders>
              <w:top w:val="nil"/>
              <w:left w:val="nil"/>
              <w:bottom w:val="single" w:sz="8" w:space="0" w:color="auto"/>
              <w:right w:val="single" w:sz="8" w:space="0" w:color="auto"/>
            </w:tcBorders>
            <w:shd w:val="clear" w:color="auto" w:fill="auto"/>
            <w:vAlign w:val="center"/>
            <w:hideMark/>
          </w:tcPr>
          <w:p w14:paraId="68F61A04" w14:textId="01359451" w:rsidR="00757B2C" w:rsidRPr="00A52AEE" w:rsidRDefault="00B03408" w:rsidP="00CC757B">
            <w:pPr>
              <w:jc w:val="right"/>
            </w:pPr>
            <w:r w:rsidRPr="00A52AEE">
              <w:t>3</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450FF4B" w14:textId="11DDEF9E" w:rsidR="00757B2C" w:rsidRPr="00A52AEE" w:rsidRDefault="00B03408" w:rsidP="00CC757B">
            <w:pPr>
              <w:jc w:val="right"/>
            </w:pPr>
            <w:r w:rsidRPr="00A52AEE">
              <w:t>30</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725EB30A" w14:textId="1169D241" w:rsidR="00757B2C" w:rsidRPr="00A52AEE" w:rsidRDefault="00B03408" w:rsidP="00CC757B">
            <w:pPr>
              <w:jc w:val="right"/>
            </w:pPr>
            <w:r w:rsidRPr="00A52AEE">
              <w:t>15</w:t>
            </w:r>
            <w:r w:rsidR="00757B2C" w:rsidRPr="00A52AEE">
              <w:t>%</w:t>
            </w:r>
          </w:p>
        </w:tc>
      </w:tr>
      <w:tr w:rsidR="00757B2C" w:rsidRPr="00A52AEE" w14:paraId="521485E0"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5826046C" w14:textId="77777777" w:rsidR="00757B2C" w:rsidRPr="00A52AEE" w:rsidRDefault="00757B2C" w:rsidP="00A52AEE">
            <w:r w:rsidRPr="00A52AEE">
              <w:t>% studying BTEC</w:t>
            </w:r>
          </w:p>
        </w:tc>
        <w:tc>
          <w:tcPr>
            <w:tcW w:w="1073" w:type="dxa"/>
            <w:tcBorders>
              <w:top w:val="nil"/>
              <w:left w:val="nil"/>
              <w:bottom w:val="single" w:sz="8" w:space="0" w:color="auto"/>
              <w:right w:val="single" w:sz="8" w:space="0" w:color="auto"/>
            </w:tcBorders>
            <w:shd w:val="clear" w:color="auto" w:fill="auto"/>
            <w:vAlign w:val="center"/>
            <w:hideMark/>
          </w:tcPr>
          <w:p w14:paraId="45849AF8" w14:textId="4264E449" w:rsidR="00757B2C" w:rsidRPr="00A52AEE" w:rsidRDefault="00B03408" w:rsidP="00CC757B">
            <w:pPr>
              <w:jc w:val="right"/>
            </w:pPr>
            <w:r w:rsidRPr="00A52AEE">
              <w:t>44</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0B39FFFA" w14:textId="32CA922A" w:rsidR="00757B2C" w:rsidRPr="00A52AEE" w:rsidRDefault="00B03408" w:rsidP="00CC757B">
            <w:pPr>
              <w:jc w:val="right"/>
            </w:pPr>
            <w:r w:rsidRPr="00A52AEE">
              <w:t>27</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B1DD22B" w14:textId="2650D8A2" w:rsidR="00757B2C" w:rsidRPr="00A52AEE" w:rsidRDefault="00B03408" w:rsidP="00CC757B">
            <w:pPr>
              <w:jc w:val="right"/>
            </w:pPr>
            <w:r w:rsidRPr="00A52AEE">
              <w:t>7</w:t>
            </w:r>
            <w:r w:rsidR="00757B2C" w:rsidRPr="00A52AEE">
              <w:t>%</w:t>
            </w:r>
          </w:p>
        </w:tc>
      </w:tr>
      <w:tr w:rsidR="00757B2C" w:rsidRPr="00A52AEE" w14:paraId="1F91089A"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7860BC70" w14:textId="3A279E69" w:rsidR="00757B2C" w:rsidRPr="00A52AEE" w:rsidRDefault="00757B2C" w:rsidP="00A52AEE">
            <w:r w:rsidRPr="00A52AEE">
              <w:t xml:space="preserve">% studying A </w:t>
            </w:r>
            <w:r w:rsidR="0021637B" w:rsidRPr="00A52AEE">
              <w:t>Level</w:t>
            </w:r>
          </w:p>
        </w:tc>
        <w:tc>
          <w:tcPr>
            <w:tcW w:w="1073" w:type="dxa"/>
            <w:tcBorders>
              <w:top w:val="nil"/>
              <w:left w:val="nil"/>
              <w:bottom w:val="single" w:sz="8" w:space="0" w:color="auto"/>
              <w:right w:val="single" w:sz="8" w:space="0" w:color="auto"/>
            </w:tcBorders>
            <w:shd w:val="clear" w:color="auto" w:fill="auto"/>
            <w:vAlign w:val="center"/>
            <w:hideMark/>
          </w:tcPr>
          <w:p w14:paraId="3229FB44" w14:textId="6FC93D9E" w:rsidR="00757B2C" w:rsidRPr="00A52AEE" w:rsidRDefault="00B03408" w:rsidP="00CC757B">
            <w:pPr>
              <w:jc w:val="right"/>
            </w:pPr>
            <w:r w:rsidRPr="00A52AEE">
              <w:t>37</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0F992CCF" w14:textId="3F886DCC" w:rsidR="00757B2C" w:rsidRPr="00A52AEE" w:rsidRDefault="00B03408" w:rsidP="00CC757B">
            <w:pPr>
              <w:jc w:val="right"/>
            </w:pPr>
            <w:r w:rsidRPr="00A52AEE">
              <w:t>4</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0258B128" w14:textId="5AF3BE7D" w:rsidR="00757B2C" w:rsidRPr="00A52AEE" w:rsidRDefault="00B03408" w:rsidP="00CC757B">
            <w:pPr>
              <w:jc w:val="right"/>
            </w:pPr>
            <w:r w:rsidRPr="00A52AEE">
              <w:t>0</w:t>
            </w:r>
            <w:r w:rsidR="00757B2C" w:rsidRPr="00A52AEE">
              <w:t>%</w:t>
            </w:r>
          </w:p>
        </w:tc>
      </w:tr>
      <w:tr w:rsidR="00B03408" w:rsidRPr="00A52AEE" w14:paraId="243FC91E"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tcPr>
          <w:p w14:paraId="39DCA39F" w14:textId="2A233652" w:rsidR="00B03408" w:rsidRPr="00A52AEE" w:rsidRDefault="00B03408" w:rsidP="00A52AEE">
            <w:r w:rsidRPr="00A52AEE">
              <w:t>% studying NVQ</w:t>
            </w:r>
          </w:p>
        </w:tc>
        <w:tc>
          <w:tcPr>
            <w:tcW w:w="1073" w:type="dxa"/>
            <w:tcBorders>
              <w:top w:val="nil"/>
              <w:left w:val="nil"/>
              <w:bottom w:val="single" w:sz="8" w:space="0" w:color="auto"/>
              <w:right w:val="single" w:sz="8" w:space="0" w:color="auto"/>
            </w:tcBorders>
            <w:shd w:val="clear" w:color="auto" w:fill="auto"/>
            <w:vAlign w:val="center"/>
          </w:tcPr>
          <w:p w14:paraId="607DECEB" w14:textId="70244F8C" w:rsidR="00B03408" w:rsidRPr="00A52AEE" w:rsidRDefault="00B03408" w:rsidP="00CC757B">
            <w:pPr>
              <w:jc w:val="right"/>
            </w:pPr>
            <w:r w:rsidRPr="00A52AEE">
              <w:t>3%</w:t>
            </w:r>
          </w:p>
        </w:tc>
        <w:tc>
          <w:tcPr>
            <w:tcW w:w="960" w:type="dxa"/>
            <w:tcBorders>
              <w:top w:val="nil"/>
              <w:left w:val="nil"/>
              <w:bottom w:val="single" w:sz="8" w:space="0" w:color="auto"/>
              <w:right w:val="single" w:sz="8" w:space="0" w:color="auto"/>
            </w:tcBorders>
            <w:shd w:val="clear" w:color="auto" w:fill="auto"/>
            <w:vAlign w:val="center"/>
          </w:tcPr>
          <w:p w14:paraId="59F6CB43" w14:textId="0C8BF435" w:rsidR="00B03408" w:rsidRPr="00A52AEE" w:rsidRDefault="00B03408" w:rsidP="00CC757B">
            <w:pPr>
              <w:jc w:val="right"/>
            </w:pPr>
            <w:r w:rsidRPr="00A52AEE">
              <w:t>14%</w:t>
            </w:r>
          </w:p>
        </w:tc>
        <w:tc>
          <w:tcPr>
            <w:tcW w:w="960" w:type="dxa"/>
            <w:tcBorders>
              <w:top w:val="nil"/>
              <w:left w:val="nil"/>
              <w:bottom w:val="single" w:sz="8" w:space="0" w:color="auto"/>
              <w:right w:val="single" w:sz="8" w:space="0" w:color="auto"/>
            </w:tcBorders>
            <w:shd w:val="clear" w:color="auto" w:fill="auto"/>
            <w:vAlign w:val="center"/>
          </w:tcPr>
          <w:p w14:paraId="6BE0A5A6" w14:textId="23E7BEB5" w:rsidR="00B03408" w:rsidRPr="00A52AEE" w:rsidRDefault="00B03408" w:rsidP="00CC757B">
            <w:pPr>
              <w:jc w:val="right"/>
            </w:pPr>
            <w:r w:rsidRPr="00A52AEE">
              <w:t>34%</w:t>
            </w:r>
          </w:p>
        </w:tc>
      </w:tr>
      <w:tr w:rsidR="00757B2C" w:rsidRPr="00A52AEE" w14:paraId="0EDF2422"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1A03B0DA" w14:textId="77777777" w:rsidR="00757B2C" w:rsidRPr="00A52AEE" w:rsidRDefault="00757B2C" w:rsidP="00A52AEE">
            <w:r w:rsidRPr="00A52AEE">
              <w:t>% studying Other voc.</w:t>
            </w:r>
          </w:p>
        </w:tc>
        <w:tc>
          <w:tcPr>
            <w:tcW w:w="1073" w:type="dxa"/>
            <w:tcBorders>
              <w:top w:val="nil"/>
              <w:left w:val="nil"/>
              <w:bottom w:val="single" w:sz="8" w:space="0" w:color="auto"/>
              <w:right w:val="single" w:sz="8" w:space="0" w:color="auto"/>
            </w:tcBorders>
            <w:shd w:val="clear" w:color="auto" w:fill="auto"/>
            <w:vAlign w:val="center"/>
            <w:hideMark/>
          </w:tcPr>
          <w:p w14:paraId="1AA44874" w14:textId="32BF05DE" w:rsidR="00757B2C" w:rsidRPr="00A52AEE" w:rsidRDefault="00B03408" w:rsidP="00CC757B">
            <w:pPr>
              <w:jc w:val="right"/>
            </w:pPr>
            <w:r w:rsidRPr="00A52AEE">
              <w:t>10</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2B7C58E4" w14:textId="591B968A" w:rsidR="00757B2C" w:rsidRPr="00A52AEE" w:rsidRDefault="00B03408" w:rsidP="00CC757B">
            <w:pPr>
              <w:jc w:val="right"/>
            </w:pPr>
            <w:r w:rsidRPr="00A52AEE">
              <w:t>24</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5C6AF8FF" w14:textId="47225797" w:rsidR="00757B2C" w:rsidRPr="00A52AEE" w:rsidRDefault="00B03408" w:rsidP="00CC757B">
            <w:pPr>
              <w:jc w:val="right"/>
            </w:pPr>
            <w:r w:rsidRPr="00A52AEE">
              <w:t>44</w:t>
            </w:r>
            <w:r w:rsidR="00757B2C" w:rsidRPr="00A52AEE">
              <w:t>%</w:t>
            </w:r>
          </w:p>
        </w:tc>
      </w:tr>
      <w:tr w:rsidR="00757B2C" w:rsidRPr="00A52AEE" w14:paraId="196EDD61"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2179E97F" w14:textId="77777777" w:rsidR="00757B2C" w:rsidRPr="00A52AEE" w:rsidRDefault="00757B2C" w:rsidP="00A52AEE">
            <w:r w:rsidRPr="00A52AEE">
              <w:t>% Female</w:t>
            </w:r>
          </w:p>
        </w:tc>
        <w:tc>
          <w:tcPr>
            <w:tcW w:w="1073" w:type="dxa"/>
            <w:tcBorders>
              <w:top w:val="nil"/>
              <w:left w:val="nil"/>
              <w:bottom w:val="single" w:sz="8" w:space="0" w:color="auto"/>
              <w:right w:val="single" w:sz="8" w:space="0" w:color="auto"/>
            </w:tcBorders>
            <w:shd w:val="clear" w:color="auto" w:fill="auto"/>
            <w:vAlign w:val="center"/>
            <w:hideMark/>
          </w:tcPr>
          <w:p w14:paraId="5CFF6901" w14:textId="49905AD3" w:rsidR="00757B2C" w:rsidRPr="00A52AEE" w:rsidRDefault="00757B2C" w:rsidP="00CC757B">
            <w:pPr>
              <w:jc w:val="right"/>
            </w:pPr>
            <w:r w:rsidRPr="00A52AEE">
              <w:t>5</w:t>
            </w:r>
            <w:r w:rsidR="00B03408" w:rsidRPr="00A52AEE">
              <w:t>3</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D6C2A39" w14:textId="2E9E37EF" w:rsidR="00757B2C" w:rsidRPr="00A52AEE" w:rsidRDefault="00757B2C" w:rsidP="00CC757B">
            <w:pPr>
              <w:jc w:val="right"/>
            </w:pPr>
            <w:r w:rsidRPr="00A52AEE">
              <w:t>5</w:t>
            </w:r>
            <w:r w:rsidR="00B03408" w:rsidRPr="00A52AEE">
              <w:t>4</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99CA4E6" w14:textId="33807A19" w:rsidR="00757B2C" w:rsidRPr="00A52AEE" w:rsidRDefault="00757B2C" w:rsidP="00CC757B">
            <w:pPr>
              <w:jc w:val="right"/>
            </w:pPr>
            <w:r w:rsidRPr="00A52AEE">
              <w:t>6</w:t>
            </w:r>
            <w:r w:rsidR="00B03408" w:rsidRPr="00A52AEE">
              <w:t>1</w:t>
            </w:r>
            <w:r w:rsidRPr="00A52AEE">
              <w:t>%</w:t>
            </w:r>
          </w:p>
        </w:tc>
      </w:tr>
      <w:tr w:rsidR="00757B2C" w:rsidRPr="00A52AEE" w14:paraId="26648885"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4D2F9333" w14:textId="77777777" w:rsidR="00757B2C" w:rsidRPr="00A52AEE" w:rsidRDefault="00757B2C" w:rsidP="00A52AEE">
            <w:r w:rsidRPr="00A52AEE">
              <w:t>% Male</w:t>
            </w:r>
          </w:p>
        </w:tc>
        <w:tc>
          <w:tcPr>
            <w:tcW w:w="1073" w:type="dxa"/>
            <w:tcBorders>
              <w:top w:val="nil"/>
              <w:left w:val="nil"/>
              <w:bottom w:val="single" w:sz="8" w:space="0" w:color="auto"/>
              <w:right w:val="single" w:sz="8" w:space="0" w:color="auto"/>
            </w:tcBorders>
            <w:shd w:val="clear" w:color="auto" w:fill="auto"/>
            <w:vAlign w:val="center"/>
            <w:hideMark/>
          </w:tcPr>
          <w:p w14:paraId="352EF7E0" w14:textId="0D89E4D7" w:rsidR="00757B2C" w:rsidRPr="00A52AEE" w:rsidRDefault="00757B2C" w:rsidP="00CC757B">
            <w:pPr>
              <w:jc w:val="right"/>
            </w:pPr>
            <w:r w:rsidRPr="00A52AEE">
              <w:t>4</w:t>
            </w:r>
            <w:r w:rsidR="00B03408" w:rsidRPr="00A52AEE">
              <w:t>7</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65E818E0" w14:textId="245A99A9" w:rsidR="00757B2C" w:rsidRPr="00A52AEE" w:rsidRDefault="00757B2C" w:rsidP="00CC757B">
            <w:pPr>
              <w:jc w:val="right"/>
            </w:pPr>
            <w:r w:rsidRPr="00A52AEE">
              <w:t>4</w:t>
            </w:r>
            <w:r w:rsidR="00B03408" w:rsidRPr="00A52AEE">
              <w:t>6</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140F34AD" w14:textId="33271A88" w:rsidR="00757B2C" w:rsidRPr="00A52AEE" w:rsidRDefault="00B03408" w:rsidP="00CC757B">
            <w:pPr>
              <w:jc w:val="right"/>
            </w:pPr>
            <w:r w:rsidRPr="00A52AEE">
              <w:t>39</w:t>
            </w:r>
            <w:r w:rsidR="00757B2C" w:rsidRPr="00A52AEE">
              <w:t>%</w:t>
            </w:r>
          </w:p>
        </w:tc>
      </w:tr>
      <w:tr w:rsidR="00757B2C" w:rsidRPr="00A52AEE" w14:paraId="01A67680"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79D62E94" w14:textId="77777777" w:rsidR="00757B2C" w:rsidRPr="00A52AEE" w:rsidRDefault="00757B2C" w:rsidP="00A52AEE">
            <w:r w:rsidRPr="00A52AEE">
              <w:t>% White</w:t>
            </w:r>
          </w:p>
        </w:tc>
        <w:tc>
          <w:tcPr>
            <w:tcW w:w="1073" w:type="dxa"/>
            <w:tcBorders>
              <w:top w:val="nil"/>
              <w:left w:val="nil"/>
              <w:bottom w:val="single" w:sz="8" w:space="0" w:color="auto"/>
              <w:right w:val="single" w:sz="8" w:space="0" w:color="auto"/>
            </w:tcBorders>
            <w:shd w:val="clear" w:color="auto" w:fill="auto"/>
            <w:vAlign w:val="center"/>
            <w:hideMark/>
          </w:tcPr>
          <w:p w14:paraId="28C5E2EC" w14:textId="77777777" w:rsidR="00757B2C" w:rsidRPr="00A52AEE" w:rsidRDefault="00757B2C" w:rsidP="00CC757B">
            <w:pPr>
              <w:jc w:val="right"/>
            </w:pPr>
            <w:r w:rsidRPr="00A52AEE">
              <w:t>57%</w:t>
            </w:r>
          </w:p>
        </w:tc>
        <w:tc>
          <w:tcPr>
            <w:tcW w:w="960" w:type="dxa"/>
            <w:tcBorders>
              <w:top w:val="nil"/>
              <w:left w:val="nil"/>
              <w:bottom w:val="single" w:sz="8" w:space="0" w:color="auto"/>
              <w:right w:val="single" w:sz="8" w:space="0" w:color="auto"/>
            </w:tcBorders>
            <w:shd w:val="clear" w:color="auto" w:fill="auto"/>
            <w:vAlign w:val="center"/>
            <w:hideMark/>
          </w:tcPr>
          <w:p w14:paraId="4A9F34A7" w14:textId="77777777" w:rsidR="00757B2C" w:rsidRPr="00A52AEE" w:rsidRDefault="00757B2C" w:rsidP="00CC757B">
            <w:pPr>
              <w:jc w:val="right"/>
            </w:pPr>
            <w:r w:rsidRPr="00A52AEE">
              <w:t>9%</w:t>
            </w:r>
          </w:p>
        </w:tc>
        <w:tc>
          <w:tcPr>
            <w:tcW w:w="960" w:type="dxa"/>
            <w:tcBorders>
              <w:top w:val="nil"/>
              <w:left w:val="nil"/>
              <w:bottom w:val="single" w:sz="8" w:space="0" w:color="auto"/>
              <w:right w:val="single" w:sz="8" w:space="0" w:color="auto"/>
            </w:tcBorders>
            <w:shd w:val="clear" w:color="auto" w:fill="auto"/>
            <w:vAlign w:val="center"/>
            <w:hideMark/>
          </w:tcPr>
          <w:p w14:paraId="58B3B7FE" w14:textId="77777777" w:rsidR="00757B2C" w:rsidRPr="00A52AEE" w:rsidRDefault="00757B2C" w:rsidP="00CC757B">
            <w:pPr>
              <w:jc w:val="right"/>
            </w:pPr>
            <w:r w:rsidRPr="00A52AEE">
              <w:t>34%</w:t>
            </w:r>
          </w:p>
        </w:tc>
      </w:tr>
      <w:tr w:rsidR="00757B2C" w:rsidRPr="00A52AEE" w14:paraId="3223A84A"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6A1CBD33" w14:textId="77777777" w:rsidR="00757B2C" w:rsidRPr="00A52AEE" w:rsidRDefault="00757B2C" w:rsidP="00A52AEE">
            <w:r w:rsidRPr="00A52AEE">
              <w:t>% Black and Minority Ethnic (BME)</w:t>
            </w:r>
          </w:p>
        </w:tc>
        <w:tc>
          <w:tcPr>
            <w:tcW w:w="1073" w:type="dxa"/>
            <w:tcBorders>
              <w:top w:val="nil"/>
              <w:left w:val="nil"/>
              <w:bottom w:val="single" w:sz="8" w:space="0" w:color="auto"/>
              <w:right w:val="single" w:sz="8" w:space="0" w:color="auto"/>
            </w:tcBorders>
            <w:shd w:val="clear" w:color="auto" w:fill="auto"/>
            <w:vAlign w:val="center"/>
            <w:hideMark/>
          </w:tcPr>
          <w:p w14:paraId="6B935047" w14:textId="53AA91BB" w:rsidR="00757B2C" w:rsidRPr="00A52AEE" w:rsidRDefault="00B03408" w:rsidP="00CC757B">
            <w:pPr>
              <w:jc w:val="right"/>
            </w:pPr>
            <w:r w:rsidRPr="00A52AEE">
              <w:t>66</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0D7B97AD" w14:textId="561964FB" w:rsidR="00757B2C" w:rsidRPr="00A52AEE" w:rsidRDefault="00B03408" w:rsidP="00CC757B">
            <w:pPr>
              <w:jc w:val="right"/>
            </w:pPr>
            <w:r w:rsidRPr="00A52AEE">
              <w:t>57</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59768044" w14:textId="715A199F" w:rsidR="00757B2C" w:rsidRPr="00A52AEE" w:rsidRDefault="00B03408" w:rsidP="00CC757B">
            <w:pPr>
              <w:jc w:val="right"/>
            </w:pPr>
            <w:r w:rsidRPr="00A52AEE">
              <w:t>42</w:t>
            </w:r>
            <w:r w:rsidR="00757B2C" w:rsidRPr="00A52AEE">
              <w:t>%</w:t>
            </w:r>
          </w:p>
        </w:tc>
      </w:tr>
      <w:tr w:rsidR="00757B2C" w:rsidRPr="00CC757B" w14:paraId="08EC299C" w14:textId="77777777" w:rsidTr="008029F5">
        <w:trPr>
          <w:trHeight w:val="315"/>
        </w:trPr>
        <w:tc>
          <w:tcPr>
            <w:tcW w:w="10073" w:type="dxa"/>
            <w:gridSpan w:val="4"/>
            <w:tcBorders>
              <w:top w:val="single" w:sz="8" w:space="0" w:color="auto"/>
              <w:left w:val="single" w:sz="8" w:space="0" w:color="auto"/>
              <w:bottom w:val="single" w:sz="8" w:space="0" w:color="auto"/>
              <w:right w:val="single" w:sz="8" w:space="0" w:color="000000"/>
            </w:tcBorders>
            <w:shd w:val="clear" w:color="auto" w:fill="1F4E79" w:themeFill="accent1" w:themeFillShade="80"/>
            <w:vAlign w:val="center"/>
            <w:hideMark/>
          </w:tcPr>
          <w:p w14:paraId="675C740C" w14:textId="77777777" w:rsidR="008029F5" w:rsidRPr="00CC757B" w:rsidRDefault="008029F5" w:rsidP="00A52AEE">
            <w:pPr>
              <w:rPr>
                <w:b/>
                <w:color w:val="FFFFFF" w:themeColor="background1"/>
              </w:rPr>
            </w:pPr>
          </w:p>
          <w:p w14:paraId="165BFD9E" w14:textId="77777777" w:rsidR="008029F5" w:rsidRPr="00CC757B" w:rsidRDefault="0045461C" w:rsidP="00A52AEE">
            <w:pPr>
              <w:rPr>
                <w:b/>
                <w:color w:val="FFFFFF" w:themeColor="background1"/>
              </w:rPr>
            </w:pPr>
            <w:r w:rsidRPr="00CC757B">
              <w:rPr>
                <w:b/>
                <w:color w:val="FFFFFF" w:themeColor="background1"/>
              </w:rPr>
              <w:t>Progression</w:t>
            </w:r>
          </w:p>
          <w:p w14:paraId="1CFBF4D4" w14:textId="621D5663" w:rsidR="00757B2C" w:rsidRPr="00CC757B" w:rsidRDefault="00757B2C" w:rsidP="00A52AEE">
            <w:pPr>
              <w:rPr>
                <w:b/>
                <w:color w:val="FFFFFF" w:themeColor="background1"/>
              </w:rPr>
            </w:pPr>
          </w:p>
        </w:tc>
      </w:tr>
      <w:tr w:rsidR="00DD2452" w:rsidRPr="00A52AEE" w14:paraId="5E6A9A47"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6704E8D0" w14:textId="77777777" w:rsidR="00DD2452" w:rsidRPr="00A52AEE" w:rsidRDefault="00DD2452" w:rsidP="00A52AEE">
            <w:r w:rsidRPr="00A52AEE">
              <w:t>Combined number of HE entrants of tracked cohort 2007-2011</w:t>
            </w:r>
          </w:p>
        </w:tc>
        <w:tc>
          <w:tcPr>
            <w:tcW w:w="1073" w:type="dxa"/>
            <w:tcBorders>
              <w:top w:val="nil"/>
              <w:left w:val="nil"/>
              <w:bottom w:val="single" w:sz="8" w:space="0" w:color="auto"/>
              <w:right w:val="single" w:sz="8" w:space="0" w:color="auto"/>
            </w:tcBorders>
            <w:shd w:val="clear" w:color="auto" w:fill="auto"/>
            <w:hideMark/>
          </w:tcPr>
          <w:p w14:paraId="426454AB" w14:textId="531CC838" w:rsidR="00DD2452" w:rsidRPr="00A52AEE" w:rsidRDefault="00DD2452" w:rsidP="00CC757B">
            <w:pPr>
              <w:jc w:val="right"/>
            </w:pPr>
            <w:r w:rsidRPr="00A52AEE">
              <w:t>76</w:t>
            </w:r>
            <w:r w:rsidR="0045461C" w:rsidRPr="00A52AEE">
              <w:t>,</w:t>
            </w:r>
            <w:r w:rsidRPr="00A52AEE">
              <w:t>396</w:t>
            </w:r>
          </w:p>
        </w:tc>
        <w:tc>
          <w:tcPr>
            <w:tcW w:w="960" w:type="dxa"/>
            <w:tcBorders>
              <w:top w:val="nil"/>
              <w:left w:val="nil"/>
              <w:bottom w:val="single" w:sz="8" w:space="0" w:color="auto"/>
              <w:right w:val="single" w:sz="8" w:space="0" w:color="auto"/>
            </w:tcBorders>
            <w:shd w:val="clear" w:color="auto" w:fill="auto"/>
            <w:hideMark/>
          </w:tcPr>
          <w:p w14:paraId="1E110D8C" w14:textId="42C40FA2" w:rsidR="00DD2452" w:rsidRPr="00A52AEE" w:rsidRDefault="00DD2452" w:rsidP="00CC757B">
            <w:pPr>
              <w:jc w:val="right"/>
            </w:pPr>
            <w:r w:rsidRPr="00A52AEE">
              <w:t>12</w:t>
            </w:r>
            <w:r w:rsidR="0045461C" w:rsidRPr="00A52AEE">
              <w:t>,</w:t>
            </w:r>
            <w:r w:rsidRPr="00A52AEE">
              <w:t>394</w:t>
            </w:r>
          </w:p>
        </w:tc>
        <w:tc>
          <w:tcPr>
            <w:tcW w:w="960" w:type="dxa"/>
            <w:tcBorders>
              <w:top w:val="nil"/>
              <w:left w:val="nil"/>
              <w:bottom w:val="single" w:sz="8" w:space="0" w:color="auto"/>
              <w:right w:val="single" w:sz="8" w:space="0" w:color="auto"/>
            </w:tcBorders>
            <w:shd w:val="clear" w:color="auto" w:fill="auto"/>
            <w:hideMark/>
          </w:tcPr>
          <w:p w14:paraId="0F417D24" w14:textId="63F42318" w:rsidR="00DD2452" w:rsidRPr="00A52AEE" w:rsidRDefault="00DD2452" w:rsidP="00CC757B">
            <w:pPr>
              <w:jc w:val="right"/>
            </w:pPr>
            <w:r w:rsidRPr="00A52AEE">
              <w:t>19</w:t>
            </w:r>
            <w:r w:rsidR="0045461C" w:rsidRPr="00A52AEE">
              <w:t>,</w:t>
            </w:r>
            <w:r w:rsidRPr="00A52AEE">
              <w:t>258</w:t>
            </w:r>
          </w:p>
        </w:tc>
      </w:tr>
      <w:tr w:rsidR="00757B2C" w:rsidRPr="00A52AEE" w14:paraId="6D706C97"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3AAD8B95" w14:textId="77777777" w:rsidR="00757B2C" w:rsidRPr="00A52AEE" w:rsidRDefault="00757B2C" w:rsidP="00A52AEE">
            <w:r w:rsidRPr="00A52AEE">
              <w:t>% immediate progression rate to HE</w:t>
            </w:r>
          </w:p>
        </w:tc>
        <w:tc>
          <w:tcPr>
            <w:tcW w:w="1073" w:type="dxa"/>
            <w:tcBorders>
              <w:top w:val="nil"/>
              <w:left w:val="nil"/>
              <w:bottom w:val="single" w:sz="8" w:space="0" w:color="auto"/>
              <w:right w:val="single" w:sz="8" w:space="0" w:color="auto"/>
            </w:tcBorders>
            <w:shd w:val="clear" w:color="auto" w:fill="auto"/>
            <w:vAlign w:val="center"/>
            <w:hideMark/>
          </w:tcPr>
          <w:p w14:paraId="2ED09B49" w14:textId="1C373052" w:rsidR="00757B2C" w:rsidRPr="00A52AEE" w:rsidRDefault="00DD2452" w:rsidP="00CC757B">
            <w:pPr>
              <w:jc w:val="right"/>
            </w:pPr>
            <w:r w:rsidRPr="00A52AEE">
              <w:t>56</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13E2164A" w14:textId="5E413E17" w:rsidR="00757B2C" w:rsidRPr="00A52AEE" w:rsidRDefault="00DD2452" w:rsidP="00CC757B">
            <w:pPr>
              <w:jc w:val="right"/>
            </w:pPr>
            <w:r w:rsidRPr="00A52AEE">
              <w:t>40</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637DD565" w14:textId="4AAEE9AB" w:rsidR="00757B2C" w:rsidRPr="00A52AEE" w:rsidRDefault="00DD2452" w:rsidP="00CC757B">
            <w:pPr>
              <w:jc w:val="right"/>
            </w:pPr>
            <w:r w:rsidRPr="00A52AEE">
              <w:t>17</w:t>
            </w:r>
            <w:r w:rsidR="00757B2C" w:rsidRPr="00A52AEE">
              <w:t>%</w:t>
            </w:r>
          </w:p>
        </w:tc>
      </w:tr>
      <w:tr w:rsidR="005B57B0" w:rsidRPr="00A52AEE" w14:paraId="2919444F"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0D02C216" w14:textId="77777777" w:rsidR="005B57B0" w:rsidRPr="00A52AEE" w:rsidRDefault="005B57B0" w:rsidP="00A52AEE">
            <w:r w:rsidRPr="00A52AEE">
              <w:t>% progression rate for Access to HE</w:t>
            </w:r>
          </w:p>
        </w:tc>
        <w:tc>
          <w:tcPr>
            <w:tcW w:w="1073" w:type="dxa"/>
            <w:tcBorders>
              <w:top w:val="nil"/>
              <w:left w:val="nil"/>
              <w:bottom w:val="single" w:sz="8" w:space="0" w:color="auto"/>
              <w:right w:val="single" w:sz="8" w:space="0" w:color="auto"/>
            </w:tcBorders>
            <w:shd w:val="clear" w:color="auto" w:fill="auto"/>
            <w:hideMark/>
          </w:tcPr>
          <w:p w14:paraId="3DDC88C1" w14:textId="6D6F797F" w:rsidR="005B57B0" w:rsidRPr="00A52AEE" w:rsidRDefault="005B57B0" w:rsidP="00CC757B">
            <w:pPr>
              <w:jc w:val="right"/>
              <w:rPr>
                <w:rFonts w:cs="Arial"/>
              </w:rPr>
            </w:pPr>
            <w:r w:rsidRPr="00A52AEE">
              <w:t>72%</w:t>
            </w:r>
          </w:p>
        </w:tc>
        <w:tc>
          <w:tcPr>
            <w:tcW w:w="960" w:type="dxa"/>
            <w:tcBorders>
              <w:top w:val="nil"/>
              <w:left w:val="nil"/>
              <w:bottom w:val="single" w:sz="8" w:space="0" w:color="auto"/>
              <w:right w:val="single" w:sz="8" w:space="0" w:color="auto"/>
            </w:tcBorders>
            <w:shd w:val="clear" w:color="auto" w:fill="auto"/>
            <w:hideMark/>
          </w:tcPr>
          <w:p w14:paraId="507727E2" w14:textId="33F924AF" w:rsidR="005B57B0" w:rsidRPr="00A52AEE" w:rsidRDefault="005B57B0" w:rsidP="00CC757B">
            <w:pPr>
              <w:jc w:val="right"/>
              <w:rPr>
                <w:rFonts w:cs="Arial"/>
              </w:rPr>
            </w:pPr>
            <w:r w:rsidRPr="00A52AEE">
              <w:t>69%</w:t>
            </w:r>
          </w:p>
        </w:tc>
        <w:tc>
          <w:tcPr>
            <w:tcW w:w="960" w:type="dxa"/>
            <w:tcBorders>
              <w:top w:val="nil"/>
              <w:left w:val="nil"/>
              <w:bottom w:val="single" w:sz="8" w:space="0" w:color="auto"/>
              <w:right w:val="single" w:sz="8" w:space="0" w:color="auto"/>
            </w:tcBorders>
            <w:shd w:val="clear" w:color="auto" w:fill="auto"/>
            <w:hideMark/>
          </w:tcPr>
          <w:p w14:paraId="0641E5CB" w14:textId="5F773D7F" w:rsidR="005B57B0" w:rsidRPr="00A52AEE" w:rsidRDefault="005B57B0" w:rsidP="00CC757B">
            <w:pPr>
              <w:jc w:val="right"/>
              <w:rPr>
                <w:rFonts w:cs="Arial"/>
              </w:rPr>
            </w:pPr>
            <w:r w:rsidRPr="00A52AEE">
              <w:t>67%</w:t>
            </w:r>
          </w:p>
        </w:tc>
      </w:tr>
      <w:tr w:rsidR="005B57B0" w:rsidRPr="00A52AEE" w14:paraId="08EF87A7"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495E60F1" w14:textId="7B65BBE2" w:rsidR="005B57B0" w:rsidRPr="00A52AEE" w:rsidRDefault="005B57B0" w:rsidP="00A52AEE">
            <w:r w:rsidRPr="00A52AEE">
              <w:t xml:space="preserve">% progression rate for A </w:t>
            </w:r>
            <w:r w:rsidR="0021637B" w:rsidRPr="00A52AEE">
              <w:t>Level</w:t>
            </w:r>
          </w:p>
        </w:tc>
        <w:tc>
          <w:tcPr>
            <w:tcW w:w="1073" w:type="dxa"/>
            <w:tcBorders>
              <w:top w:val="nil"/>
              <w:left w:val="nil"/>
              <w:bottom w:val="single" w:sz="8" w:space="0" w:color="auto"/>
              <w:right w:val="single" w:sz="8" w:space="0" w:color="auto"/>
            </w:tcBorders>
            <w:shd w:val="clear" w:color="auto" w:fill="auto"/>
            <w:vAlign w:val="bottom"/>
            <w:hideMark/>
          </w:tcPr>
          <w:p w14:paraId="44B9DA03" w14:textId="47B2B9B5" w:rsidR="005B57B0" w:rsidRPr="00A52AEE" w:rsidRDefault="005B57B0" w:rsidP="00CC757B">
            <w:pPr>
              <w:jc w:val="right"/>
              <w:rPr>
                <w:rFonts w:cs="Arial"/>
              </w:rPr>
            </w:pPr>
            <w:r w:rsidRPr="00A52AEE">
              <w:t>73%</w:t>
            </w:r>
          </w:p>
        </w:tc>
        <w:tc>
          <w:tcPr>
            <w:tcW w:w="960" w:type="dxa"/>
            <w:tcBorders>
              <w:top w:val="nil"/>
              <w:left w:val="nil"/>
              <w:bottom w:val="single" w:sz="8" w:space="0" w:color="auto"/>
              <w:right w:val="single" w:sz="8" w:space="0" w:color="auto"/>
            </w:tcBorders>
            <w:shd w:val="clear" w:color="auto" w:fill="auto"/>
            <w:vAlign w:val="bottom"/>
            <w:hideMark/>
          </w:tcPr>
          <w:p w14:paraId="28ED847A" w14:textId="2B8D3A25" w:rsidR="005B57B0" w:rsidRPr="00A52AEE" w:rsidRDefault="005B57B0" w:rsidP="00CC757B">
            <w:pPr>
              <w:jc w:val="right"/>
              <w:rPr>
                <w:rFonts w:cs="Arial"/>
              </w:rPr>
            </w:pPr>
            <w:r w:rsidRPr="00A52AEE">
              <w:t>64%</w:t>
            </w:r>
          </w:p>
        </w:tc>
        <w:tc>
          <w:tcPr>
            <w:tcW w:w="960" w:type="dxa"/>
            <w:tcBorders>
              <w:top w:val="nil"/>
              <w:left w:val="nil"/>
              <w:bottom w:val="single" w:sz="8" w:space="0" w:color="auto"/>
              <w:right w:val="single" w:sz="8" w:space="0" w:color="auto"/>
            </w:tcBorders>
            <w:shd w:val="clear" w:color="auto" w:fill="auto"/>
            <w:vAlign w:val="bottom"/>
            <w:hideMark/>
          </w:tcPr>
          <w:p w14:paraId="3AFFF890" w14:textId="63A4A2ED" w:rsidR="005B57B0" w:rsidRPr="00A52AEE" w:rsidRDefault="005B57B0" w:rsidP="00CC757B">
            <w:pPr>
              <w:jc w:val="right"/>
              <w:rPr>
                <w:rFonts w:cs="Arial"/>
              </w:rPr>
            </w:pPr>
            <w:r w:rsidRPr="00A52AEE">
              <w:t>63%</w:t>
            </w:r>
          </w:p>
        </w:tc>
      </w:tr>
      <w:tr w:rsidR="005B57B0" w:rsidRPr="00A52AEE" w14:paraId="471F053D"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6833D540" w14:textId="77777777" w:rsidR="005B57B0" w:rsidRPr="00A52AEE" w:rsidRDefault="005B57B0" w:rsidP="00A52AEE">
            <w:r w:rsidRPr="00A52AEE">
              <w:t>% progression rate for BTEC</w:t>
            </w:r>
          </w:p>
        </w:tc>
        <w:tc>
          <w:tcPr>
            <w:tcW w:w="1073" w:type="dxa"/>
            <w:tcBorders>
              <w:top w:val="nil"/>
              <w:left w:val="nil"/>
              <w:bottom w:val="single" w:sz="8" w:space="0" w:color="auto"/>
              <w:right w:val="single" w:sz="8" w:space="0" w:color="auto"/>
            </w:tcBorders>
            <w:shd w:val="clear" w:color="auto" w:fill="auto"/>
            <w:vAlign w:val="bottom"/>
            <w:hideMark/>
          </w:tcPr>
          <w:p w14:paraId="2788F24F" w14:textId="380E5D4F" w:rsidR="005B57B0" w:rsidRPr="00A52AEE" w:rsidRDefault="005B57B0" w:rsidP="00CC757B">
            <w:pPr>
              <w:jc w:val="right"/>
              <w:rPr>
                <w:rFonts w:cs="Arial"/>
              </w:rPr>
            </w:pPr>
            <w:r w:rsidRPr="00A52AEE">
              <w:t>52%</w:t>
            </w:r>
          </w:p>
        </w:tc>
        <w:tc>
          <w:tcPr>
            <w:tcW w:w="960" w:type="dxa"/>
            <w:tcBorders>
              <w:top w:val="nil"/>
              <w:left w:val="nil"/>
              <w:bottom w:val="single" w:sz="8" w:space="0" w:color="auto"/>
              <w:right w:val="single" w:sz="8" w:space="0" w:color="auto"/>
            </w:tcBorders>
            <w:shd w:val="clear" w:color="auto" w:fill="auto"/>
            <w:vAlign w:val="bottom"/>
            <w:hideMark/>
          </w:tcPr>
          <w:p w14:paraId="4BC4966B" w14:textId="1C018DA3" w:rsidR="005B57B0" w:rsidRPr="00A52AEE" w:rsidRDefault="005B57B0" w:rsidP="00CC757B">
            <w:pPr>
              <w:jc w:val="right"/>
              <w:rPr>
                <w:rFonts w:cs="Arial"/>
              </w:rPr>
            </w:pPr>
            <w:r w:rsidRPr="00A52AEE">
              <w:t>45%</w:t>
            </w:r>
          </w:p>
        </w:tc>
        <w:tc>
          <w:tcPr>
            <w:tcW w:w="960" w:type="dxa"/>
            <w:tcBorders>
              <w:top w:val="nil"/>
              <w:left w:val="nil"/>
              <w:bottom w:val="single" w:sz="8" w:space="0" w:color="auto"/>
              <w:right w:val="single" w:sz="8" w:space="0" w:color="auto"/>
            </w:tcBorders>
            <w:shd w:val="clear" w:color="auto" w:fill="auto"/>
            <w:vAlign w:val="bottom"/>
            <w:hideMark/>
          </w:tcPr>
          <w:p w14:paraId="4FCB58EB" w14:textId="533B445D" w:rsidR="005B57B0" w:rsidRPr="00A52AEE" w:rsidRDefault="005B57B0" w:rsidP="00CC757B">
            <w:pPr>
              <w:jc w:val="right"/>
              <w:rPr>
                <w:rFonts w:cs="Arial"/>
              </w:rPr>
            </w:pPr>
            <w:r w:rsidRPr="00A52AEE">
              <w:t>27%</w:t>
            </w:r>
          </w:p>
        </w:tc>
      </w:tr>
      <w:tr w:rsidR="005B57B0" w:rsidRPr="00A52AEE" w14:paraId="7B6349F4"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0C18D526" w14:textId="77777777" w:rsidR="005B57B0" w:rsidRPr="00A52AEE" w:rsidRDefault="005B57B0" w:rsidP="00A52AEE">
            <w:r w:rsidRPr="00A52AEE">
              <w:t>% progression rate for Other Vocational</w:t>
            </w:r>
          </w:p>
        </w:tc>
        <w:tc>
          <w:tcPr>
            <w:tcW w:w="1073" w:type="dxa"/>
            <w:tcBorders>
              <w:top w:val="nil"/>
              <w:left w:val="nil"/>
              <w:bottom w:val="single" w:sz="8" w:space="0" w:color="auto"/>
              <w:right w:val="single" w:sz="8" w:space="0" w:color="auto"/>
            </w:tcBorders>
            <w:shd w:val="clear" w:color="auto" w:fill="auto"/>
            <w:vAlign w:val="bottom"/>
            <w:hideMark/>
          </w:tcPr>
          <w:p w14:paraId="2FB5BA12" w14:textId="3B8AEDBF" w:rsidR="005B57B0" w:rsidRPr="00A52AEE" w:rsidRDefault="005B57B0" w:rsidP="00CC757B">
            <w:pPr>
              <w:jc w:val="right"/>
              <w:rPr>
                <w:rFonts w:cs="Arial"/>
              </w:rPr>
            </w:pPr>
            <w:r w:rsidRPr="00A52AEE">
              <w:t>21%</w:t>
            </w:r>
          </w:p>
        </w:tc>
        <w:tc>
          <w:tcPr>
            <w:tcW w:w="960" w:type="dxa"/>
            <w:tcBorders>
              <w:top w:val="nil"/>
              <w:left w:val="nil"/>
              <w:bottom w:val="single" w:sz="8" w:space="0" w:color="auto"/>
              <w:right w:val="single" w:sz="8" w:space="0" w:color="auto"/>
            </w:tcBorders>
            <w:shd w:val="clear" w:color="auto" w:fill="auto"/>
            <w:vAlign w:val="bottom"/>
            <w:hideMark/>
          </w:tcPr>
          <w:p w14:paraId="69AFFEE8" w14:textId="432FA381" w:rsidR="005B57B0" w:rsidRPr="00A52AEE" w:rsidRDefault="005B57B0" w:rsidP="00CC757B">
            <w:pPr>
              <w:jc w:val="right"/>
              <w:rPr>
                <w:rFonts w:cs="Arial"/>
              </w:rPr>
            </w:pPr>
            <w:r w:rsidRPr="00A52AEE">
              <w:t>11%</w:t>
            </w:r>
          </w:p>
        </w:tc>
        <w:tc>
          <w:tcPr>
            <w:tcW w:w="960" w:type="dxa"/>
            <w:tcBorders>
              <w:top w:val="nil"/>
              <w:left w:val="nil"/>
              <w:bottom w:val="single" w:sz="8" w:space="0" w:color="auto"/>
              <w:right w:val="single" w:sz="8" w:space="0" w:color="auto"/>
            </w:tcBorders>
            <w:shd w:val="clear" w:color="auto" w:fill="auto"/>
            <w:vAlign w:val="bottom"/>
            <w:hideMark/>
          </w:tcPr>
          <w:p w14:paraId="1FD2F73B" w14:textId="44CF430C" w:rsidR="005B57B0" w:rsidRPr="00A52AEE" w:rsidRDefault="005B57B0" w:rsidP="00CC757B">
            <w:pPr>
              <w:jc w:val="right"/>
              <w:rPr>
                <w:rFonts w:cs="Arial"/>
              </w:rPr>
            </w:pPr>
            <w:r w:rsidRPr="00A52AEE">
              <w:t>8%</w:t>
            </w:r>
          </w:p>
        </w:tc>
      </w:tr>
      <w:tr w:rsidR="00757B2C" w:rsidRPr="00A52AEE" w14:paraId="7290A666"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2B190656" w14:textId="77777777" w:rsidR="00757B2C" w:rsidRPr="00A52AEE" w:rsidRDefault="00757B2C" w:rsidP="00A52AEE">
            <w:r w:rsidRPr="00A52AEE">
              <w:t>% of 2007-08 cohort who enter HE within 3 years of Level 3 study</w:t>
            </w:r>
          </w:p>
        </w:tc>
        <w:tc>
          <w:tcPr>
            <w:tcW w:w="1073" w:type="dxa"/>
            <w:tcBorders>
              <w:top w:val="nil"/>
              <w:left w:val="nil"/>
              <w:bottom w:val="single" w:sz="8" w:space="0" w:color="auto"/>
              <w:right w:val="single" w:sz="8" w:space="0" w:color="auto"/>
            </w:tcBorders>
            <w:shd w:val="clear" w:color="auto" w:fill="auto"/>
            <w:vAlign w:val="center"/>
            <w:hideMark/>
          </w:tcPr>
          <w:p w14:paraId="7A14CBE8" w14:textId="2306ED2B" w:rsidR="00757B2C" w:rsidRPr="00A52AEE" w:rsidRDefault="00757B2C" w:rsidP="00CC757B">
            <w:pPr>
              <w:jc w:val="right"/>
            </w:pPr>
            <w:r w:rsidRPr="00A52AEE">
              <w:t>9</w:t>
            </w:r>
            <w:r w:rsidR="005B57B0" w:rsidRPr="00A52AEE">
              <w:t>5</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0ADF8C1B" w14:textId="77777777" w:rsidR="00757B2C" w:rsidRPr="00A52AEE" w:rsidRDefault="00757B2C" w:rsidP="00CC757B">
            <w:pPr>
              <w:jc w:val="right"/>
            </w:pPr>
            <w:r w:rsidRPr="00A52AEE">
              <w:t>92%</w:t>
            </w:r>
          </w:p>
        </w:tc>
        <w:tc>
          <w:tcPr>
            <w:tcW w:w="960" w:type="dxa"/>
            <w:tcBorders>
              <w:top w:val="nil"/>
              <w:left w:val="nil"/>
              <w:bottom w:val="single" w:sz="8" w:space="0" w:color="auto"/>
              <w:right w:val="single" w:sz="8" w:space="0" w:color="auto"/>
            </w:tcBorders>
            <w:shd w:val="clear" w:color="auto" w:fill="auto"/>
            <w:vAlign w:val="center"/>
            <w:hideMark/>
          </w:tcPr>
          <w:p w14:paraId="3D0E8EFF" w14:textId="3C502FB3" w:rsidR="00757B2C" w:rsidRPr="00A52AEE" w:rsidRDefault="00757B2C" w:rsidP="00CC757B">
            <w:pPr>
              <w:jc w:val="right"/>
            </w:pPr>
            <w:r w:rsidRPr="00A52AEE">
              <w:t>8</w:t>
            </w:r>
            <w:r w:rsidR="005B57B0" w:rsidRPr="00A52AEE">
              <w:t>1</w:t>
            </w:r>
            <w:r w:rsidRPr="00A52AEE">
              <w:t>%</w:t>
            </w:r>
          </w:p>
        </w:tc>
      </w:tr>
      <w:tr w:rsidR="00757B2C" w:rsidRPr="00A52AEE" w14:paraId="0359B940"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324C881F" w14:textId="77777777" w:rsidR="00757B2C" w:rsidRPr="00A52AEE" w:rsidRDefault="00757B2C" w:rsidP="00A52AEE">
            <w:r w:rsidRPr="00A52AEE">
              <w:t>% of 2007-08 cohort who enter HE 4-5 years on from Level 3 study</w:t>
            </w:r>
          </w:p>
        </w:tc>
        <w:tc>
          <w:tcPr>
            <w:tcW w:w="1073" w:type="dxa"/>
            <w:tcBorders>
              <w:top w:val="nil"/>
              <w:left w:val="nil"/>
              <w:bottom w:val="single" w:sz="8" w:space="0" w:color="auto"/>
              <w:right w:val="single" w:sz="8" w:space="0" w:color="auto"/>
            </w:tcBorders>
            <w:shd w:val="clear" w:color="auto" w:fill="auto"/>
            <w:vAlign w:val="center"/>
            <w:hideMark/>
          </w:tcPr>
          <w:p w14:paraId="3D0EEAD9" w14:textId="77777777" w:rsidR="00757B2C" w:rsidRPr="00A52AEE" w:rsidRDefault="00757B2C" w:rsidP="00CC757B">
            <w:pPr>
              <w:jc w:val="right"/>
            </w:pPr>
            <w:r w:rsidRPr="00A52AEE">
              <w:t>4%</w:t>
            </w:r>
          </w:p>
        </w:tc>
        <w:tc>
          <w:tcPr>
            <w:tcW w:w="960" w:type="dxa"/>
            <w:tcBorders>
              <w:top w:val="nil"/>
              <w:left w:val="nil"/>
              <w:bottom w:val="single" w:sz="8" w:space="0" w:color="auto"/>
              <w:right w:val="single" w:sz="8" w:space="0" w:color="auto"/>
            </w:tcBorders>
            <w:shd w:val="clear" w:color="auto" w:fill="auto"/>
            <w:vAlign w:val="center"/>
            <w:hideMark/>
          </w:tcPr>
          <w:p w14:paraId="00545BA8" w14:textId="23377BB6" w:rsidR="00757B2C" w:rsidRPr="00A52AEE" w:rsidRDefault="005B57B0" w:rsidP="00CC757B">
            <w:pPr>
              <w:jc w:val="right"/>
            </w:pPr>
            <w:r w:rsidRPr="00A52AEE">
              <w:t>9</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3F4CE0D2" w14:textId="782C9752" w:rsidR="00757B2C" w:rsidRPr="00A52AEE" w:rsidRDefault="00757B2C" w:rsidP="00CC757B">
            <w:pPr>
              <w:jc w:val="right"/>
            </w:pPr>
            <w:r w:rsidRPr="00A52AEE">
              <w:t>1</w:t>
            </w:r>
            <w:r w:rsidR="005B57B0" w:rsidRPr="00A52AEE">
              <w:t>4</w:t>
            </w:r>
            <w:r w:rsidRPr="00A52AEE">
              <w:t>%</w:t>
            </w:r>
          </w:p>
        </w:tc>
      </w:tr>
      <w:tr w:rsidR="00757B2C" w:rsidRPr="00A52AEE" w14:paraId="20387484"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24248FC3" w14:textId="03B0B3D3" w:rsidR="00757B2C" w:rsidRPr="00A52AEE" w:rsidRDefault="00757B2C" w:rsidP="00A52AEE">
            <w:r w:rsidRPr="00A52AEE">
              <w:t xml:space="preserve">% </w:t>
            </w:r>
            <w:r w:rsidR="008029F5" w:rsidRPr="00A52AEE">
              <w:t>of HE entrants who study First d</w:t>
            </w:r>
            <w:r w:rsidRPr="00A52AEE">
              <w:t>egree</w:t>
            </w:r>
          </w:p>
        </w:tc>
        <w:tc>
          <w:tcPr>
            <w:tcW w:w="1073" w:type="dxa"/>
            <w:tcBorders>
              <w:top w:val="nil"/>
              <w:left w:val="nil"/>
              <w:bottom w:val="single" w:sz="8" w:space="0" w:color="auto"/>
              <w:right w:val="single" w:sz="8" w:space="0" w:color="auto"/>
            </w:tcBorders>
            <w:shd w:val="clear" w:color="auto" w:fill="auto"/>
            <w:vAlign w:val="center"/>
            <w:hideMark/>
          </w:tcPr>
          <w:p w14:paraId="29ABF891" w14:textId="4E250588" w:rsidR="00757B2C" w:rsidRPr="00A52AEE" w:rsidRDefault="005B57B0" w:rsidP="00CC757B">
            <w:pPr>
              <w:jc w:val="right"/>
            </w:pPr>
            <w:r w:rsidRPr="00A52AEE">
              <w:t>92</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56BAC84" w14:textId="4DD813A3" w:rsidR="00757B2C" w:rsidRPr="00A52AEE" w:rsidRDefault="005B57B0" w:rsidP="00CC757B">
            <w:pPr>
              <w:jc w:val="right"/>
            </w:pPr>
            <w:r w:rsidRPr="00A52AEE">
              <w:t>83</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EC615A0" w14:textId="54B17FA6" w:rsidR="00757B2C" w:rsidRPr="00A52AEE" w:rsidRDefault="005B57B0" w:rsidP="00CC757B">
            <w:pPr>
              <w:jc w:val="right"/>
            </w:pPr>
            <w:r w:rsidRPr="00A52AEE">
              <w:t>56</w:t>
            </w:r>
            <w:r w:rsidR="00757B2C" w:rsidRPr="00A52AEE">
              <w:t>%</w:t>
            </w:r>
          </w:p>
        </w:tc>
      </w:tr>
      <w:tr w:rsidR="00757B2C" w:rsidRPr="00A52AEE" w14:paraId="2C02104F"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30DABA2E" w14:textId="00EE0FFD" w:rsidR="00757B2C" w:rsidRPr="00A52AEE" w:rsidRDefault="008029F5" w:rsidP="00A52AEE">
            <w:r w:rsidRPr="00A52AEE">
              <w:t>% of HE entrants who study sub d</w:t>
            </w:r>
            <w:r w:rsidR="00757B2C" w:rsidRPr="00A52AEE">
              <w:t>egree</w:t>
            </w:r>
          </w:p>
        </w:tc>
        <w:tc>
          <w:tcPr>
            <w:tcW w:w="1073" w:type="dxa"/>
            <w:tcBorders>
              <w:top w:val="nil"/>
              <w:left w:val="nil"/>
              <w:bottom w:val="single" w:sz="8" w:space="0" w:color="auto"/>
              <w:right w:val="single" w:sz="8" w:space="0" w:color="auto"/>
            </w:tcBorders>
            <w:shd w:val="clear" w:color="auto" w:fill="auto"/>
            <w:vAlign w:val="center"/>
            <w:hideMark/>
          </w:tcPr>
          <w:p w14:paraId="52254276" w14:textId="5F570586" w:rsidR="00757B2C" w:rsidRPr="00A52AEE" w:rsidRDefault="005B57B0" w:rsidP="00CC757B">
            <w:pPr>
              <w:jc w:val="right"/>
            </w:pPr>
            <w:r w:rsidRPr="00A52AEE">
              <w:t>8</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7A739B34" w14:textId="2DF6686C" w:rsidR="00757B2C" w:rsidRPr="00A52AEE" w:rsidRDefault="005B57B0" w:rsidP="00CC757B">
            <w:pPr>
              <w:jc w:val="right"/>
            </w:pPr>
            <w:r w:rsidRPr="00A52AEE">
              <w:t>17</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0162123" w14:textId="5A51B8AE" w:rsidR="00757B2C" w:rsidRPr="00A52AEE" w:rsidRDefault="005B57B0" w:rsidP="00CC757B">
            <w:pPr>
              <w:jc w:val="right"/>
            </w:pPr>
            <w:r w:rsidRPr="00A52AEE">
              <w:t>44</w:t>
            </w:r>
            <w:r w:rsidR="00757B2C" w:rsidRPr="00A52AEE">
              <w:t>%</w:t>
            </w:r>
          </w:p>
        </w:tc>
      </w:tr>
      <w:tr w:rsidR="00757B2C" w:rsidRPr="00A52AEE" w14:paraId="0BABE605"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6638834F" w14:textId="77777777" w:rsidR="00757B2C" w:rsidRPr="00A52AEE" w:rsidRDefault="00757B2C" w:rsidP="00A52AEE">
            <w:r w:rsidRPr="00A52AEE">
              <w:t>% of total HE entrants studying in University</w:t>
            </w:r>
          </w:p>
        </w:tc>
        <w:tc>
          <w:tcPr>
            <w:tcW w:w="1073" w:type="dxa"/>
            <w:tcBorders>
              <w:top w:val="nil"/>
              <w:left w:val="nil"/>
              <w:bottom w:val="single" w:sz="8" w:space="0" w:color="auto"/>
              <w:right w:val="single" w:sz="8" w:space="0" w:color="auto"/>
            </w:tcBorders>
            <w:shd w:val="clear" w:color="auto" w:fill="auto"/>
            <w:vAlign w:val="center"/>
            <w:hideMark/>
          </w:tcPr>
          <w:p w14:paraId="21125B06" w14:textId="4930F510" w:rsidR="00757B2C" w:rsidRPr="00A52AEE" w:rsidRDefault="00757B2C" w:rsidP="00CC757B">
            <w:pPr>
              <w:jc w:val="right"/>
            </w:pPr>
            <w:r w:rsidRPr="00A52AEE">
              <w:t>9</w:t>
            </w:r>
            <w:r w:rsidR="005B57B0" w:rsidRPr="00A52AEE">
              <w:t>4</w:t>
            </w:r>
            <w:r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583AA92E" w14:textId="1B1E8F8C" w:rsidR="00757B2C" w:rsidRPr="00A52AEE" w:rsidRDefault="005B57B0" w:rsidP="00CC757B">
            <w:pPr>
              <w:jc w:val="right"/>
            </w:pPr>
            <w:r w:rsidRPr="00A52AEE">
              <w:t>90</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5D7925CC" w14:textId="05AF0465" w:rsidR="00757B2C" w:rsidRPr="00A52AEE" w:rsidRDefault="005B57B0" w:rsidP="00CC757B">
            <w:pPr>
              <w:jc w:val="right"/>
            </w:pPr>
            <w:r w:rsidRPr="00A52AEE">
              <w:t>73</w:t>
            </w:r>
            <w:r w:rsidR="00757B2C" w:rsidRPr="00A52AEE">
              <w:t>%</w:t>
            </w:r>
          </w:p>
        </w:tc>
      </w:tr>
      <w:tr w:rsidR="00757B2C" w:rsidRPr="00A52AEE" w14:paraId="7A3995A5" w14:textId="77777777" w:rsidTr="00165CF8">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5CA3F84D" w14:textId="77777777" w:rsidR="00757B2C" w:rsidRPr="00A52AEE" w:rsidRDefault="00757B2C" w:rsidP="00A52AEE">
            <w:r w:rsidRPr="00A52AEE">
              <w:t>% of total HE entrants studying HE in FE</w:t>
            </w:r>
          </w:p>
        </w:tc>
        <w:tc>
          <w:tcPr>
            <w:tcW w:w="1073" w:type="dxa"/>
            <w:tcBorders>
              <w:top w:val="nil"/>
              <w:left w:val="nil"/>
              <w:bottom w:val="single" w:sz="8" w:space="0" w:color="auto"/>
              <w:right w:val="single" w:sz="8" w:space="0" w:color="auto"/>
            </w:tcBorders>
            <w:shd w:val="clear" w:color="auto" w:fill="auto"/>
            <w:vAlign w:val="center"/>
            <w:hideMark/>
          </w:tcPr>
          <w:p w14:paraId="19797B71" w14:textId="3F5A9965" w:rsidR="00757B2C" w:rsidRPr="00A52AEE" w:rsidRDefault="005B57B0" w:rsidP="00CC757B">
            <w:pPr>
              <w:jc w:val="right"/>
            </w:pPr>
            <w:r w:rsidRPr="00A52AEE">
              <w:t>6</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64814CE1" w14:textId="64661918" w:rsidR="00757B2C" w:rsidRPr="00A52AEE" w:rsidRDefault="005B57B0" w:rsidP="00CC757B">
            <w:pPr>
              <w:jc w:val="right"/>
            </w:pPr>
            <w:r w:rsidRPr="00A52AEE">
              <w:t>10</w:t>
            </w:r>
            <w:r w:rsidR="00757B2C" w:rsidRPr="00A52AEE">
              <w:t>%</w:t>
            </w:r>
          </w:p>
        </w:tc>
        <w:tc>
          <w:tcPr>
            <w:tcW w:w="960" w:type="dxa"/>
            <w:tcBorders>
              <w:top w:val="nil"/>
              <w:left w:val="nil"/>
              <w:bottom w:val="single" w:sz="8" w:space="0" w:color="auto"/>
              <w:right w:val="single" w:sz="8" w:space="0" w:color="auto"/>
            </w:tcBorders>
            <w:shd w:val="clear" w:color="auto" w:fill="auto"/>
            <w:vAlign w:val="center"/>
            <w:hideMark/>
          </w:tcPr>
          <w:p w14:paraId="4F6F41BB" w14:textId="3DBA3E35" w:rsidR="00757B2C" w:rsidRPr="00A52AEE" w:rsidRDefault="005B57B0" w:rsidP="00CC757B">
            <w:pPr>
              <w:jc w:val="right"/>
            </w:pPr>
            <w:r w:rsidRPr="00A52AEE">
              <w:t>27</w:t>
            </w:r>
            <w:r w:rsidR="00757B2C" w:rsidRPr="00A52AEE">
              <w:t>%</w:t>
            </w:r>
          </w:p>
        </w:tc>
      </w:tr>
    </w:tbl>
    <w:p w14:paraId="0E2EDEAB" w14:textId="77777777" w:rsidR="00757B2C" w:rsidRPr="00A52AEE" w:rsidRDefault="00757B2C" w:rsidP="00A52AEE"/>
    <w:p w14:paraId="37210630" w14:textId="77777777" w:rsidR="00757B2C" w:rsidRPr="00A52AEE" w:rsidRDefault="00757B2C" w:rsidP="00A52AEE">
      <w:pPr>
        <w:rPr>
          <w:color w:val="003478"/>
          <w:kern w:val="32"/>
          <w:sz w:val="56"/>
          <w:szCs w:val="32"/>
        </w:rPr>
      </w:pPr>
      <w:r w:rsidRPr="00A52AEE">
        <w:br w:type="page"/>
      </w:r>
    </w:p>
    <w:p w14:paraId="438CDA2B" w14:textId="491C80A9" w:rsidR="00027430" w:rsidRPr="00A52AEE" w:rsidRDefault="00120700" w:rsidP="009443B2">
      <w:pPr>
        <w:pStyle w:val="Heading1"/>
      </w:pPr>
      <w:bookmarkStart w:id="142" w:name="_Toc429151357"/>
      <w:r w:rsidRPr="00A52AEE">
        <w:t>9.</w:t>
      </w:r>
      <w:r w:rsidRPr="00A52AEE">
        <w:tab/>
      </w:r>
      <w:r w:rsidR="00D94110" w:rsidRPr="00A52AEE">
        <w:t xml:space="preserve"> </w:t>
      </w:r>
      <w:r w:rsidR="00027430" w:rsidRPr="00A52AEE">
        <w:t>Conclusions</w:t>
      </w:r>
      <w:bookmarkEnd w:id="142"/>
    </w:p>
    <w:p w14:paraId="5C545419" w14:textId="77777777" w:rsidR="00027430" w:rsidRPr="00A52AEE" w:rsidRDefault="00027430" w:rsidP="00A52AEE"/>
    <w:p w14:paraId="5109AC98" w14:textId="77777777" w:rsidR="004609C6" w:rsidRDefault="00CD6D9A" w:rsidP="00A52AEE">
      <w:r>
        <w:t xml:space="preserve">This report tracks patterns of progression to higher education of five cohorts of students who have achieved level 3 qualifications in London’s FE and Sixth Form Colleges.  It provides a detailed analysis of the </w:t>
      </w:r>
      <w:r w:rsidR="00811481">
        <w:t xml:space="preserve">changing </w:t>
      </w:r>
      <w:r>
        <w:t xml:space="preserve">demographic characteristics of the students who </w:t>
      </w:r>
      <w:r w:rsidR="00811481">
        <w:t>progressed</w:t>
      </w:r>
      <w:r>
        <w:t xml:space="preserve"> to HE </w:t>
      </w:r>
      <w:r w:rsidR="00811481">
        <w:t xml:space="preserve">over the period </w:t>
      </w:r>
      <w:r>
        <w:t xml:space="preserve">and looks at the </w:t>
      </w:r>
      <w:r w:rsidR="00811481">
        <w:t xml:space="preserve">relationships between the different qualifications students study in FE and their destinations.  It also links Key Stage 4 attainment with success at level 3, with progression to higher education and with achievement at degree level including proportions of students gaining Firsts or Upper Second class degrees.  </w:t>
      </w:r>
    </w:p>
    <w:p w14:paraId="577C80A5" w14:textId="77777777" w:rsidR="004609C6" w:rsidRDefault="004609C6" w:rsidP="00A52AEE"/>
    <w:p w14:paraId="3A38E1DF" w14:textId="7710CAC1" w:rsidR="00112393" w:rsidRDefault="003A2960" w:rsidP="00A52AEE">
      <w:r>
        <w:t xml:space="preserve">Findings in this report show that </w:t>
      </w:r>
      <w:r w:rsidR="00112393">
        <w:t>FE and Sixth Form Colleges in London provide an import</w:t>
      </w:r>
      <w:r w:rsidR="005804D2">
        <w:t xml:space="preserve">ant route into higher education.  A total of </w:t>
      </w:r>
      <w:r w:rsidR="005804D2" w:rsidRPr="005804D2">
        <w:rPr>
          <w:b/>
        </w:rPr>
        <w:t>221,500</w:t>
      </w:r>
      <w:r w:rsidR="005804D2">
        <w:t xml:space="preserve"> London college students were tracked between 2007 and 2011 and </w:t>
      </w:r>
      <w:r w:rsidR="005804D2" w:rsidRPr="005804D2">
        <w:rPr>
          <w:b/>
        </w:rPr>
        <w:t>108,055</w:t>
      </w:r>
      <w:r w:rsidR="005804D2">
        <w:t xml:space="preserve"> (49%) of these progressed to higher education between 2008 and 2012. </w:t>
      </w:r>
      <w:r>
        <w:t xml:space="preserve"> The London colleges provided an important </w:t>
      </w:r>
      <w:r w:rsidR="005804D2">
        <w:t>opportunity for social mobility for students from deprived neighbourhoods in the capital as well as for those with low attainment at school</w:t>
      </w:r>
      <w:r w:rsidR="00D26F59">
        <w:t>.  15,450 of young students who were low attainers at school entered higher education by virtue of the second chance provided by</w:t>
      </w:r>
      <w:r w:rsidR="00D26F59" w:rsidRPr="00D26F59">
        <w:t xml:space="preserve"> </w:t>
      </w:r>
      <w:r w:rsidR="00D26F59">
        <w:t>London colleges.  Of these, 60% got First degrees and 34% of them got First or Upper second class honours.</w:t>
      </w:r>
    </w:p>
    <w:p w14:paraId="5A04FA65" w14:textId="77777777" w:rsidR="00D26F59" w:rsidRDefault="00D26F59" w:rsidP="00A52AEE"/>
    <w:p w14:paraId="58E4B9CF" w14:textId="310B3DF2" w:rsidR="002C3678" w:rsidRDefault="008D527A" w:rsidP="00A52AEE">
      <w:r>
        <w:t xml:space="preserve">Between 2007-08 and 2011-12 the cohort size of level 3 achievers in London colleges increased in size by 10% representing a 33% increase in young students offset by a fall of 25% of students over the age of 25.  </w:t>
      </w:r>
    </w:p>
    <w:p w14:paraId="3075A4F0" w14:textId="77777777" w:rsidR="002C3678" w:rsidRDefault="002C3678" w:rsidP="00A52AEE"/>
    <w:p w14:paraId="00B3B6F0" w14:textId="7D5CEAE0" w:rsidR="002C3678" w:rsidRDefault="00E653E1" w:rsidP="002C3678">
      <w:r>
        <w:t xml:space="preserve">FE and Sixth Form Colleges in London are seen to cater for an increasingly deprived cohort.  </w:t>
      </w:r>
      <w:r w:rsidR="002C3678">
        <w:t>The findings show that of</w:t>
      </w:r>
      <w:r w:rsidR="00CC437E">
        <w:t xml:space="preserve"> the </w:t>
      </w:r>
      <w:r w:rsidR="008D527A">
        <w:t>cohorts of</w:t>
      </w:r>
      <w:r w:rsidR="00D26F59">
        <w:t xml:space="preserve"> London college students</w:t>
      </w:r>
      <w:r w:rsidR="00CC437E">
        <w:t>, 77%</w:t>
      </w:r>
      <w:r w:rsidR="00D26F59">
        <w:t xml:space="preserve"> come from deprived neighbourhoods and 61% are from BME groups.  </w:t>
      </w:r>
      <w:r w:rsidR="00CC437E">
        <w:t xml:space="preserve"> </w:t>
      </w:r>
      <w:r w:rsidR="002C3678">
        <w:t xml:space="preserve">Coupled with </w:t>
      </w:r>
      <w:r>
        <w:t>the fact that the London colleges provide Level 3 opportunities for students who were low KS4 achievers at school, many of whom go on to progress to HE, this report reveals a significant role the sector has in the capital as a mechanism for social mobility</w:t>
      </w:r>
      <w:r w:rsidR="002C3678">
        <w:t xml:space="preserve"> </w:t>
      </w:r>
    </w:p>
    <w:p w14:paraId="7E4790E4" w14:textId="469C9959" w:rsidR="00D26F59" w:rsidRDefault="00D26F59" w:rsidP="00A52AEE"/>
    <w:p w14:paraId="3E5BD28B" w14:textId="4590EADD" w:rsidR="00BC4C7E" w:rsidRDefault="003A2960" w:rsidP="00A52AEE">
      <w:r>
        <w:t xml:space="preserve">Rates of progression for London college students are higher than the all-England figures. </w:t>
      </w:r>
      <w:r w:rsidR="00CC437E">
        <w:t xml:space="preserve">Longitudinal tracking is able to trace the patterns of progression of FE and Sixth Form College students as they enter higher education one, two, three, four or five years later.    For the first 2007-08 cohort tracked over 5 years, the </w:t>
      </w:r>
      <w:r w:rsidR="00BC4C7E">
        <w:t>final</w:t>
      </w:r>
      <w:r w:rsidR="00CC437E">
        <w:t xml:space="preserve"> progression rate was </w:t>
      </w:r>
      <w:r w:rsidR="00CC437E" w:rsidRPr="003A2960">
        <w:rPr>
          <w:b/>
        </w:rPr>
        <w:t>55%</w:t>
      </w:r>
      <w:r w:rsidR="00CC437E">
        <w:t xml:space="preserve"> compared to an all-England college rate of </w:t>
      </w:r>
      <w:r w:rsidR="00CC437E" w:rsidRPr="003A2960">
        <w:rPr>
          <w:b/>
        </w:rPr>
        <w:t>48%</w:t>
      </w:r>
      <w:r w:rsidR="00CC437E">
        <w:t xml:space="preserve">.  Young London college students were progressing in the year immediately following gaining their qualifications at rates between </w:t>
      </w:r>
      <w:r w:rsidR="00CC437E" w:rsidRPr="003A2960">
        <w:rPr>
          <w:b/>
        </w:rPr>
        <w:t>57% - 62%</w:t>
      </w:r>
      <w:r w:rsidR="00CC437E">
        <w:t xml:space="preserve"> until 2012-13 entry when it dropped to </w:t>
      </w:r>
      <w:r w:rsidR="00CC437E" w:rsidRPr="003A2960">
        <w:rPr>
          <w:b/>
        </w:rPr>
        <w:t>45%</w:t>
      </w:r>
      <w:r w:rsidR="00CC437E">
        <w:t xml:space="preserve"> (compared to an all-England college rate for young students </w:t>
      </w:r>
      <w:r w:rsidR="00BC4C7E">
        <w:t xml:space="preserve">in 2012-13 </w:t>
      </w:r>
      <w:r w:rsidR="00CC437E">
        <w:t xml:space="preserve">of </w:t>
      </w:r>
      <w:r w:rsidR="00CC437E" w:rsidRPr="003A2960">
        <w:rPr>
          <w:b/>
        </w:rPr>
        <w:t>37%</w:t>
      </w:r>
      <w:r w:rsidR="00CC437E">
        <w:t xml:space="preserve">).   </w:t>
      </w:r>
      <w:r w:rsidR="00BC4C7E">
        <w:t xml:space="preserve">Interestingly, the progression rate for London college students progressing to higher education in the year following achievement of their level 3 qualification increased from </w:t>
      </w:r>
      <w:r w:rsidR="008D527A">
        <w:t>15% in 2007-08 to 23% in 2011-12 entering HE in 2012-13.</w:t>
      </w:r>
    </w:p>
    <w:p w14:paraId="48B1C08B" w14:textId="77777777" w:rsidR="008D527A" w:rsidRDefault="008D527A" w:rsidP="00A52AEE"/>
    <w:p w14:paraId="343079EC" w14:textId="2729428A" w:rsidR="008D527A" w:rsidRDefault="003A2960" w:rsidP="00A52AEE">
      <w:r>
        <w:t>T</w:t>
      </w:r>
      <w:r w:rsidR="008D527A">
        <w:t>he period studied in this report</w:t>
      </w:r>
      <w:r>
        <w:t xml:space="preserve"> saw a</w:t>
      </w:r>
      <w:r w:rsidR="008D527A">
        <w:t xml:space="preserve"> 93% increase in the </w:t>
      </w:r>
      <w:r>
        <w:t xml:space="preserve">cohort size of Level 3 </w:t>
      </w:r>
      <w:r w:rsidR="008D527A">
        <w:t xml:space="preserve">BTEC </w:t>
      </w:r>
      <w:r>
        <w:t>students</w:t>
      </w:r>
      <w:r w:rsidR="008D527A">
        <w:t xml:space="preserve"> in London colleges and by 2011-12, there were more BTEC students than A level students in the London FE and Sixth Form College</w:t>
      </w:r>
      <w:r>
        <w:t xml:space="preserve"> cohorts</w:t>
      </w:r>
      <w:r w:rsidR="008D527A">
        <w:t xml:space="preserve">.  However, this increase in numbers also saw a decrease in the progression rates of BTEC students which dropped from </w:t>
      </w:r>
      <w:r w:rsidR="008D527A" w:rsidRPr="003A2960">
        <w:rPr>
          <w:b/>
        </w:rPr>
        <w:t>58%</w:t>
      </w:r>
      <w:r w:rsidR="008D527A">
        <w:t xml:space="preserve"> in 2008-09 to </w:t>
      </w:r>
      <w:r w:rsidR="008D527A" w:rsidRPr="003A2960">
        <w:rPr>
          <w:b/>
        </w:rPr>
        <w:t>37%</w:t>
      </w:r>
      <w:r w:rsidR="008D527A">
        <w:t xml:space="preserve"> in 2012-13.  </w:t>
      </w:r>
      <w:r w:rsidR="00E145AF">
        <w:t>Of the cohorts of BTEC college students in London who progressed, 56% achieved a First degree (compared to 67% for all-England college student cohorts) and 14% achieved a lower HE award (compared to 10% for all-England college student cohorts).  In addition, 36% of London college BTEC students in the study achieved a First or Upper Second class honours degree compared to 50% of all-England college students.  It is clear from this that the issue of London BTEC college student progression to higher education is an important one for London universities and colleges</w:t>
      </w:r>
      <w:r w:rsidR="002C3678">
        <w:t xml:space="preserve">, especially given the fact that </w:t>
      </w:r>
      <w:r w:rsidR="00E653E1">
        <w:t>a large proportion of BTEC achievers in the cohorts had been low KS4 achievers in school.</w:t>
      </w:r>
    </w:p>
    <w:p w14:paraId="1B920F12" w14:textId="77777777" w:rsidR="00E145AF" w:rsidRDefault="00E145AF" w:rsidP="00A52AEE"/>
    <w:p w14:paraId="63EF855F" w14:textId="2E9D57DB" w:rsidR="00E145AF" w:rsidRDefault="00E145AF" w:rsidP="00A52AEE">
      <w:r>
        <w:t>Entry to higher education in 2012-13, the year HE fees were increased</w:t>
      </w:r>
      <w:r w:rsidR="00100914">
        <w:t>, saw a doubling in all-England colleges of progression to HE in FE to 20%.  In London, this figure only increase</w:t>
      </w:r>
      <w:r w:rsidR="00C33F11">
        <w:t>d</w:t>
      </w:r>
      <w:r w:rsidR="00100914">
        <w:t xml:space="preserve"> 6 percentage points to 14%, representing 2,500 students progressing from London colleges to HE in FE.</w:t>
      </w:r>
      <w:r w:rsidR="00E10F8F">
        <w:t xml:space="preserve">  There was also a 4% increase in progression to non-prescribed HE.  </w:t>
      </w:r>
      <w:r w:rsidR="00C33F11">
        <w:t>Given the drop in progression in 2012-13 more needs to be known about this different behaviour by London college students, faced as they now are in the capital by increasing choice from competing higher education providers including FE Colleges, private HE providers, post ’92 universities and increasingly, corporate higher apprenticeships.</w:t>
      </w:r>
    </w:p>
    <w:p w14:paraId="4293AD1C" w14:textId="1B76AE8B" w:rsidR="005F37B0" w:rsidRDefault="005F37B0" w:rsidP="00A52AEE"/>
    <w:p w14:paraId="6DC334E4" w14:textId="08F52F6D" w:rsidR="005F37B0" w:rsidRDefault="005F37B0" w:rsidP="00A52AEE">
      <w:r>
        <w:t xml:space="preserve">This London report is derived from a research project funded by BIS into the progression of students to higher education from all English FE and Sixth Form Colleges.  </w:t>
      </w:r>
    </w:p>
    <w:p w14:paraId="4A6A1B12" w14:textId="77777777" w:rsidR="00BC4C7E" w:rsidRDefault="00BC4C7E" w:rsidP="00A52AEE"/>
    <w:p w14:paraId="276415A3" w14:textId="77777777" w:rsidR="00811481" w:rsidRDefault="00811481" w:rsidP="00A52AEE"/>
    <w:p w14:paraId="75AF668A" w14:textId="4971A217" w:rsidR="00027430" w:rsidRPr="00A52AEE" w:rsidRDefault="00027430" w:rsidP="00A52AEE">
      <w:r w:rsidRPr="00A52AEE">
        <w:br w:type="page"/>
      </w:r>
    </w:p>
    <w:p w14:paraId="5493C94D" w14:textId="7A116AE9" w:rsidR="00027430" w:rsidRPr="00A52AEE" w:rsidRDefault="004D3FD1" w:rsidP="009443B2">
      <w:pPr>
        <w:pStyle w:val="Heading1"/>
      </w:pPr>
      <w:bookmarkStart w:id="143" w:name="_Toc429151358"/>
      <w:r>
        <w:t>10.</w:t>
      </w:r>
      <w:r>
        <w:tab/>
      </w:r>
      <w:r w:rsidR="00027430" w:rsidRPr="00A52AEE">
        <w:t>References</w:t>
      </w:r>
      <w:bookmarkEnd w:id="143"/>
    </w:p>
    <w:bookmarkStart w:id="144" w:name="_Toc421802624" w:displacedByCustomXml="next"/>
    <w:sdt>
      <w:sdtPr>
        <w:rPr>
          <w:rFonts w:eastAsiaTheme="minorHAnsi" w:cstheme="minorBidi"/>
          <w:b w:val="0"/>
          <w:noProof w:val="0"/>
          <w:color w:val="auto"/>
          <w:sz w:val="24"/>
          <w:szCs w:val="22"/>
        </w:rPr>
        <w:id w:val="1261576439"/>
        <w:docPartObj>
          <w:docPartGallery w:val="Bibliographies"/>
          <w:docPartUnique/>
        </w:docPartObj>
      </w:sdtPr>
      <w:sdtEndPr/>
      <w:sdtContent>
        <w:bookmarkEnd w:id="144" w:displacedByCustomXml="prev"/>
        <w:p w14:paraId="17BA15B9" w14:textId="7CBC0090" w:rsidR="001A5565" w:rsidRPr="00CC757B" w:rsidRDefault="001A5565" w:rsidP="009443B2">
          <w:pPr>
            <w:pStyle w:val="Heading1"/>
            <w:rPr>
              <w:sz w:val="22"/>
            </w:rPr>
          </w:pPr>
        </w:p>
        <w:p w14:paraId="465314EE" w14:textId="77777777" w:rsidR="004E52FE" w:rsidRDefault="001A5565" w:rsidP="004E52FE">
          <w:pPr>
            <w:pStyle w:val="Bibliography"/>
            <w:ind w:left="720" w:hanging="720"/>
            <w:rPr>
              <w:noProof/>
              <w:szCs w:val="24"/>
            </w:rPr>
          </w:pPr>
          <w:r w:rsidRPr="00A52AEE">
            <w:fldChar w:fldCharType="begin"/>
          </w:r>
          <w:r w:rsidRPr="00A52AEE">
            <w:instrText xml:space="preserve"> BIBLIOGRAPHY </w:instrText>
          </w:r>
          <w:r w:rsidRPr="00A52AEE">
            <w:fldChar w:fldCharType="separate"/>
          </w:r>
          <w:r w:rsidR="004E52FE">
            <w:rPr>
              <w:noProof/>
            </w:rPr>
            <w:t xml:space="preserve">BIS. (2009a). </w:t>
          </w:r>
          <w:r w:rsidR="004E52FE">
            <w:rPr>
              <w:i/>
              <w:iCs/>
              <w:noProof/>
            </w:rPr>
            <w:t>Higher Ambitions - The Future of Universities in a Knowledge Economy.</w:t>
          </w:r>
          <w:r w:rsidR="004E52FE">
            <w:rPr>
              <w:noProof/>
            </w:rPr>
            <w:t xml:space="preserve"> BIS.</w:t>
          </w:r>
        </w:p>
        <w:p w14:paraId="7C56CFDD" w14:textId="77777777" w:rsidR="004E52FE" w:rsidRDefault="004E52FE" w:rsidP="004E52FE">
          <w:pPr>
            <w:pStyle w:val="Bibliography"/>
            <w:ind w:left="720" w:hanging="720"/>
            <w:rPr>
              <w:noProof/>
            </w:rPr>
          </w:pPr>
          <w:r>
            <w:rPr>
              <w:noProof/>
            </w:rPr>
            <w:t xml:space="preserve">BIS. (2009b). </w:t>
          </w:r>
          <w:r>
            <w:rPr>
              <w:i/>
              <w:iCs/>
              <w:noProof/>
            </w:rPr>
            <w:t>Skills for Growth - The National Skills Strategy.</w:t>
          </w:r>
          <w:r>
            <w:rPr>
              <w:noProof/>
            </w:rPr>
            <w:t xml:space="preserve"> BIS.</w:t>
          </w:r>
        </w:p>
        <w:p w14:paraId="29715696" w14:textId="77777777" w:rsidR="004E52FE" w:rsidRDefault="004E52FE" w:rsidP="004E52FE">
          <w:pPr>
            <w:pStyle w:val="Bibliography"/>
            <w:ind w:left="720" w:hanging="720"/>
            <w:rPr>
              <w:noProof/>
            </w:rPr>
          </w:pPr>
          <w:r>
            <w:rPr>
              <w:noProof/>
            </w:rPr>
            <w:t xml:space="preserve">BIS. (2011). </w:t>
          </w:r>
          <w:r>
            <w:rPr>
              <w:i/>
              <w:iCs/>
              <w:noProof/>
            </w:rPr>
            <w:t>New Challenges, New Chances.</w:t>
          </w:r>
          <w:r>
            <w:rPr>
              <w:noProof/>
            </w:rPr>
            <w:t xml:space="preserve"> BIS.</w:t>
          </w:r>
        </w:p>
        <w:p w14:paraId="7C13715C" w14:textId="77777777" w:rsidR="004E52FE" w:rsidRDefault="004E52FE" w:rsidP="004E52FE">
          <w:pPr>
            <w:pStyle w:val="Bibliography"/>
            <w:ind w:left="720" w:hanging="720"/>
            <w:rPr>
              <w:noProof/>
            </w:rPr>
          </w:pPr>
          <w:r>
            <w:rPr>
              <w:noProof/>
            </w:rPr>
            <w:t xml:space="preserve">BIS. (2011a). </w:t>
          </w:r>
          <w:r>
            <w:rPr>
              <w:i/>
              <w:iCs/>
              <w:noProof/>
            </w:rPr>
            <w:t>Higher Education - Students at the Heart of the System.</w:t>
          </w:r>
          <w:r>
            <w:rPr>
              <w:noProof/>
            </w:rPr>
            <w:t xml:space="preserve"> BIS.</w:t>
          </w:r>
        </w:p>
        <w:p w14:paraId="10F0D175" w14:textId="77777777" w:rsidR="004E52FE" w:rsidRDefault="004E52FE" w:rsidP="004E52FE">
          <w:pPr>
            <w:pStyle w:val="Bibliography"/>
            <w:ind w:left="720" w:hanging="720"/>
            <w:rPr>
              <w:noProof/>
            </w:rPr>
          </w:pPr>
          <w:r>
            <w:rPr>
              <w:noProof/>
            </w:rPr>
            <w:t xml:space="preserve">BIS. (2011b). </w:t>
          </w:r>
          <w:r>
            <w:rPr>
              <w:i/>
              <w:iCs/>
              <w:noProof/>
            </w:rPr>
            <w:t>Specification of Apprenticeship Standards in England.</w:t>
          </w:r>
          <w:r>
            <w:rPr>
              <w:noProof/>
            </w:rPr>
            <w:t xml:space="preserve"> BIS.</w:t>
          </w:r>
        </w:p>
        <w:p w14:paraId="01A032E0" w14:textId="77777777" w:rsidR="004E52FE" w:rsidRDefault="004E52FE" w:rsidP="004E52FE">
          <w:pPr>
            <w:pStyle w:val="Bibliography"/>
            <w:ind w:left="720" w:hanging="720"/>
            <w:rPr>
              <w:noProof/>
            </w:rPr>
          </w:pPr>
          <w:r>
            <w:rPr>
              <w:noProof/>
            </w:rPr>
            <w:t xml:space="preserve">BIS. (2013). </w:t>
          </w:r>
          <w:r>
            <w:rPr>
              <w:i/>
              <w:iCs/>
              <w:noProof/>
            </w:rPr>
            <w:t>Specification of Apprenticeship Standards in England.</w:t>
          </w:r>
          <w:r>
            <w:rPr>
              <w:noProof/>
            </w:rPr>
            <w:t xml:space="preserve"> BIS.</w:t>
          </w:r>
        </w:p>
        <w:p w14:paraId="79CC65C8" w14:textId="77777777" w:rsidR="004E52FE" w:rsidRDefault="004E52FE" w:rsidP="004E52FE">
          <w:pPr>
            <w:pStyle w:val="Bibliography"/>
            <w:ind w:left="720" w:hanging="720"/>
            <w:rPr>
              <w:noProof/>
            </w:rPr>
          </w:pPr>
          <w:r>
            <w:rPr>
              <w:noProof/>
            </w:rPr>
            <w:t xml:space="preserve">BIS. (2015). </w:t>
          </w:r>
          <w:r>
            <w:rPr>
              <w:i/>
              <w:iCs/>
              <w:noProof/>
            </w:rPr>
            <w:t>BIS Performance Indicators - Total Achievements in full Level 2 or 3 Further Education of People Academic Age 19 years and Over.</w:t>
          </w:r>
          <w:r>
            <w:rPr>
              <w:noProof/>
            </w:rPr>
            <w:t xml:space="preserve"> BIS.</w:t>
          </w:r>
        </w:p>
        <w:p w14:paraId="3169A285" w14:textId="77777777" w:rsidR="004E52FE" w:rsidRDefault="004E52FE" w:rsidP="004E52FE">
          <w:pPr>
            <w:pStyle w:val="Bibliography"/>
            <w:ind w:left="720" w:hanging="720"/>
            <w:rPr>
              <w:noProof/>
            </w:rPr>
          </w:pPr>
          <w:r>
            <w:rPr>
              <w:noProof/>
            </w:rPr>
            <w:t xml:space="preserve">Browne, J. (2010). </w:t>
          </w:r>
          <w:r>
            <w:rPr>
              <w:i/>
              <w:iCs/>
              <w:noProof/>
            </w:rPr>
            <w:t>Securing a Sustainable Future for Higher Education - An Independent Review of Higher Education Funding and Student Finance.</w:t>
          </w:r>
          <w:r>
            <w:rPr>
              <w:noProof/>
            </w:rPr>
            <w:t xml:space="preserve"> BIS.</w:t>
          </w:r>
        </w:p>
        <w:p w14:paraId="3C8C86E2" w14:textId="77777777" w:rsidR="004E52FE" w:rsidRDefault="004E52FE" w:rsidP="004E52FE">
          <w:pPr>
            <w:pStyle w:val="Bibliography"/>
            <w:ind w:left="720" w:hanging="720"/>
            <w:rPr>
              <w:noProof/>
            </w:rPr>
          </w:pPr>
          <w:r>
            <w:rPr>
              <w:noProof/>
            </w:rPr>
            <w:t xml:space="preserve">Chowdry, H. C. (2010). </w:t>
          </w:r>
          <w:r>
            <w:rPr>
              <w:i/>
              <w:iCs/>
              <w:noProof/>
            </w:rPr>
            <w:t>Widening Participation in Higher Education: Analysis using Linked Administrative Data.</w:t>
          </w:r>
          <w:r>
            <w:rPr>
              <w:noProof/>
            </w:rPr>
            <w:t xml:space="preserve"> Institute of Fiscal Studies. Retrieved from http://russellgroup.ac.uk/russell-group-latest-news/151-2012/5255-offa-guidance-onaccess-</w:t>
          </w:r>
        </w:p>
        <w:p w14:paraId="761F5946" w14:textId="77777777" w:rsidR="004E52FE" w:rsidRDefault="004E52FE" w:rsidP="004E52FE">
          <w:pPr>
            <w:pStyle w:val="Bibliography"/>
            <w:ind w:left="720" w:hanging="720"/>
            <w:rPr>
              <w:noProof/>
            </w:rPr>
          </w:pPr>
          <w:r>
            <w:rPr>
              <w:noProof/>
            </w:rPr>
            <w:t xml:space="preserve">Dearing, R. (1997). </w:t>
          </w:r>
          <w:r>
            <w:rPr>
              <w:i/>
              <w:iCs/>
              <w:noProof/>
            </w:rPr>
            <w:t>Higher Education in the Learning Society .</w:t>
          </w:r>
          <w:r>
            <w:rPr>
              <w:noProof/>
            </w:rPr>
            <w:t xml:space="preserve"> HMSO.</w:t>
          </w:r>
        </w:p>
        <w:p w14:paraId="2BB0D615" w14:textId="77777777" w:rsidR="004E52FE" w:rsidRDefault="004E52FE" w:rsidP="004E52FE">
          <w:pPr>
            <w:pStyle w:val="Bibliography"/>
            <w:ind w:left="720" w:hanging="720"/>
            <w:rPr>
              <w:noProof/>
            </w:rPr>
          </w:pPr>
          <w:r>
            <w:rPr>
              <w:noProof/>
            </w:rPr>
            <w:t xml:space="preserve">DfE. (2014 ). </w:t>
          </w:r>
          <w:r>
            <w:rPr>
              <w:i/>
              <w:iCs/>
              <w:noProof/>
            </w:rPr>
            <w:t>16 to 19 Study Programmes.</w:t>
          </w:r>
          <w:r>
            <w:rPr>
              <w:noProof/>
            </w:rPr>
            <w:t xml:space="preserve"> Department for Education.</w:t>
          </w:r>
        </w:p>
        <w:p w14:paraId="3A119CA6" w14:textId="77777777" w:rsidR="004E52FE" w:rsidRDefault="004E52FE" w:rsidP="004E52FE">
          <w:pPr>
            <w:pStyle w:val="Bibliography"/>
            <w:ind w:left="720" w:hanging="720"/>
            <w:rPr>
              <w:noProof/>
            </w:rPr>
          </w:pPr>
          <w:r>
            <w:rPr>
              <w:noProof/>
            </w:rPr>
            <w:t xml:space="preserve">DfE. (2014 a). </w:t>
          </w:r>
          <w:r>
            <w:rPr>
              <w:i/>
              <w:iCs/>
              <w:noProof/>
            </w:rPr>
            <w:t>Provisional GCSE and Equivalent Results in England 2013 to 2014.</w:t>
          </w:r>
          <w:r>
            <w:rPr>
              <w:noProof/>
            </w:rPr>
            <w:t xml:space="preserve"> Retrieved from National Statistics Statistical First Release: https://www.gov.uk/government/uploads/system/uploads/attachment_data/file/366556/SFR41_2014_provisional_GCSE_and_equivalents.pdf</w:t>
          </w:r>
        </w:p>
        <w:p w14:paraId="50B36EE9" w14:textId="77777777" w:rsidR="004E52FE" w:rsidRDefault="004E52FE" w:rsidP="004E52FE">
          <w:pPr>
            <w:pStyle w:val="Bibliography"/>
            <w:ind w:left="720" w:hanging="720"/>
            <w:rPr>
              <w:noProof/>
            </w:rPr>
          </w:pPr>
          <w:r>
            <w:rPr>
              <w:noProof/>
            </w:rPr>
            <w:t xml:space="preserve">DIUS. (2007). </w:t>
          </w:r>
          <w:r>
            <w:rPr>
              <w:i/>
              <w:iCs/>
              <w:noProof/>
            </w:rPr>
            <w:t>World Class Skills: Implementing the Leitch Review of Skills in England.</w:t>
          </w:r>
          <w:r>
            <w:rPr>
              <w:noProof/>
            </w:rPr>
            <w:t xml:space="preserve"> DIUS.</w:t>
          </w:r>
        </w:p>
        <w:p w14:paraId="0EB2BBFC" w14:textId="77777777" w:rsidR="004E52FE" w:rsidRDefault="004E52FE" w:rsidP="004E52FE">
          <w:pPr>
            <w:pStyle w:val="Bibliography"/>
            <w:ind w:left="720" w:hanging="720"/>
            <w:rPr>
              <w:noProof/>
            </w:rPr>
          </w:pPr>
          <w:r>
            <w:rPr>
              <w:noProof/>
            </w:rPr>
            <w:t xml:space="preserve">HEFCE. (2006). </w:t>
          </w:r>
          <w:r>
            <w:rPr>
              <w:i/>
              <w:iCs/>
              <w:noProof/>
            </w:rPr>
            <w:t>Higher Education in FE Colleges - Consultation on HEFCE Policy.</w:t>
          </w:r>
          <w:r>
            <w:rPr>
              <w:noProof/>
            </w:rPr>
            <w:t xml:space="preserve"> HEFCE.</w:t>
          </w:r>
        </w:p>
        <w:p w14:paraId="79E27621" w14:textId="77777777" w:rsidR="004E52FE" w:rsidRDefault="004E52FE" w:rsidP="004E52FE">
          <w:pPr>
            <w:pStyle w:val="Bibliography"/>
            <w:ind w:left="720" w:hanging="720"/>
            <w:rPr>
              <w:noProof/>
            </w:rPr>
          </w:pPr>
          <w:r>
            <w:rPr>
              <w:noProof/>
            </w:rPr>
            <w:t xml:space="preserve">HEFCE. (2012). </w:t>
          </w:r>
          <w:r>
            <w:rPr>
              <w:i/>
              <w:iCs/>
              <w:noProof/>
            </w:rPr>
            <w:t>POLAR 3 Young Participation in Higher Education.</w:t>
          </w:r>
          <w:r>
            <w:rPr>
              <w:noProof/>
            </w:rPr>
            <w:t xml:space="preserve"> HEFCE.</w:t>
          </w:r>
        </w:p>
        <w:p w14:paraId="7FDACA0B" w14:textId="77777777" w:rsidR="004E52FE" w:rsidRDefault="004E52FE" w:rsidP="004E52FE">
          <w:pPr>
            <w:pStyle w:val="Bibliography"/>
            <w:ind w:left="720" w:hanging="720"/>
            <w:rPr>
              <w:noProof/>
            </w:rPr>
          </w:pPr>
          <w:r>
            <w:rPr>
              <w:noProof/>
            </w:rPr>
            <w:t xml:space="preserve">HEFCE. (2014b). </w:t>
          </w:r>
          <w:r>
            <w:rPr>
              <w:i/>
              <w:iCs/>
              <w:noProof/>
            </w:rPr>
            <w:t>Further Information on POLAR3.</w:t>
          </w:r>
          <w:r>
            <w:rPr>
              <w:noProof/>
            </w:rPr>
            <w:t xml:space="preserve"> HEFCE.</w:t>
          </w:r>
        </w:p>
        <w:p w14:paraId="07860428" w14:textId="77777777" w:rsidR="004E52FE" w:rsidRDefault="004E52FE" w:rsidP="004E52FE">
          <w:pPr>
            <w:pStyle w:val="Bibliography"/>
            <w:ind w:left="720" w:hanging="720"/>
            <w:rPr>
              <w:noProof/>
            </w:rPr>
          </w:pPr>
          <w:r>
            <w:rPr>
              <w:noProof/>
            </w:rPr>
            <w:t xml:space="preserve">Hodgson, A., &amp; Spours, K. (2014). </w:t>
          </w:r>
          <w:r>
            <w:rPr>
              <w:i/>
              <w:iCs/>
              <w:noProof/>
            </w:rPr>
            <w:t>What is Happening with 17+ Participation, Attainment and Progression in London? Paper 3: Colleges.</w:t>
          </w:r>
          <w:r>
            <w:rPr>
              <w:noProof/>
            </w:rPr>
            <w:t xml:space="preserve"> London Councils Young People's Education and Skills.</w:t>
          </w:r>
        </w:p>
        <w:p w14:paraId="3B5A2542" w14:textId="77777777" w:rsidR="004E52FE" w:rsidRDefault="004E52FE" w:rsidP="004E52FE">
          <w:pPr>
            <w:pStyle w:val="Bibliography"/>
            <w:ind w:left="720" w:hanging="720"/>
            <w:rPr>
              <w:noProof/>
            </w:rPr>
          </w:pPr>
          <w:r>
            <w:rPr>
              <w:noProof/>
            </w:rPr>
            <w:t xml:space="preserve">IFF Research. (2014). </w:t>
          </w:r>
          <w:r>
            <w:rPr>
              <w:i/>
              <w:iCs/>
              <w:noProof/>
            </w:rPr>
            <w:t>Prior Qualifications of Adults Undertaking Classroom-based Courses in Further Education 2012/13.</w:t>
          </w:r>
          <w:r>
            <w:rPr>
              <w:noProof/>
            </w:rPr>
            <w:t xml:space="preserve"> BIS.</w:t>
          </w:r>
        </w:p>
        <w:p w14:paraId="0C542DB2" w14:textId="77777777" w:rsidR="004E52FE" w:rsidRDefault="004E52FE" w:rsidP="004E52FE">
          <w:pPr>
            <w:pStyle w:val="Bibliography"/>
            <w:ind w:left="720" w:hanging="720"/>
            <w:rPr>
              <w:noProof/>
            </w:rPr>
          </w:pPr>
          <w:r>
            <w:rPr>
              <w:noProof/>
            </w:rPr>
            <w:t xml:space="preserve">Joslin, H., &amp; Smith, S. (2013). </w:t>
          </w:r>
          <w:r>
            <w:rPr>
              <w:i/>
              <w:iCs/>
              <w:noProof/>
            </w:rPr>
            <w:t>Progression of College Learners to Higher Education in London.</w:t>
          </w:r>
          <w:r>
            <w:rPr>
              <w:noProof/>
            </w:rPr>
            <w:t xml:space="preserve"> Linking London.</w:t>
          </w:r>
        </w:p>
        <w:p w14:paraId="1469BB8A" w14:textId="77777777" w:rsidR="004E52FE" w:rsidRDefault="004E52FE" w:rsidP="004E52FE">
          <w:pPr>
            <w:pStyle w:val="Bibliography"/>
            <w:ind w:left="720" w:hanging="720"/>
            <w:rPr>
              <w:noProof/>
            </w:rPr>
          </w:pPr>
          <w:r>
            <w:rPr>
              <w:noProof/>
            </w:rPr>
            <w:t xml:space="preserve">Leitch, S. (2006). </w:t>
          </w:r>
          <w:r>
            <w:rPr>
              <w:i/>
              <w:iCs/>
              <w:noProof/>
            </w:rPr>
            <w:t>Leitch Review of Skills - Prosperity for all in the Global Economy - World Class Skills.</w:t>
          </w:r>
          <w:r>
            <w:rPr>
              <w:noProof/>
            </w:rPr>
            <w:t xml:space="preserve"> HMSO.</w:t>
          </w:r>
        </w:p>
        <w:p w14:paraId="374C679D" w14:textId="77777777" w:rsidR="004E52FE" w:rsidRDefault="004E52FE" w:rsidP="004E52FE">
          <w:pPr>
            <w:pStyle w:val="Bibliography"/>
            <w:ind w:left="720" w:hanging="720"/>
            <w:rPr>
              <w:noProof/>
            </w:rPr>
          </w:pPr>
          <w:r>
            <w:rPr>
              <w:noProof/>
            </w:rPr>
            <w:t xml:space="preserve">London Councils. (2014). </w:t>
          </w:r>
          <w:r>
            <w:rPr>
              <w:i/>
              <w:iCs/>
              <w:noProof/>
            </w:rPr>
            <w:t>Young People in London: an Evidence Base.</w:t>
          </w:r>
          <w:r>
            <w:rPr>
              <w:noProof/>
            </w:rPr>
            <w:t xml:space="preserve"> London Councils.</w:t>
          </w:r>
        </w:p>
        <w:p w14:paraId="092FBAA5" w14:textId="77777777" w:rsidR="004E52FE" w:rsidRDefault="004E52FE" w:rsidP="004E52FE">
          <w:pPr>
            <w:pStyle w:val="Bibliography"/>
            <w:ind w:left="720" w:hanging="720"/>
            <w:rPr>
              <w:noProof/>
            </w:rPr>
          </w:pPr>
          <w:r>
            <w:rPr>
              <w:noProof/>
            </w:rPr>
            <w:t xml:space="preserve">Ofsted. (2013). </w:t>
          </w:r>
          <w:r>
            <w:rPr>
              <w:i/>
              <w:iCs/>
              <w:noProof/>
            </w:rPr>
            <w:t>Annual Report 2012-13 - London Regional Report.</w:t>
          </w:r>
          <w:r>
            <w:rPr>
              <w:noProof/>
            </w:rPr>
            <w:t xml:space="preserve"> Ofsted.</w:t>
          </w:r>
        </w:p>
        <w:p w14:paraId="0717FFCC" w14:textId="77777777" w:rsidR="004E52FE" w:rsidRDefault="004E52FE" w:rsidP="004E52FE">
          <w:pPr>
            <w:pStyle w:val="Bibliography"/>
            <w:ind w:left="720" w:hanging="720"/>
            <w:rPr>
              <w:noProof/>
            </w:rPr>
          </w:pPr>
          <w:r>
            <w:rPr>
              <w:noProof/>
            </w:rPr>
            <w:t xml:space="preserve">Ofsted. (2014). </w:t>
          </w:r>
          <w:r>
            <w:rPr>
              <w:i/>
              <w:iCs/>
              <w:noProof/>
            </w:rPr>
            <w:t>London Regional Report.</w:t>
          </w:r>
          <w:r>
            <w:rPr>
              <w:noProof/>
            </w:rPr>
            <w:t xml:space="preserve"> Ofsted.</w:t>
          </w:r>
        </w:p>
        <w:p w14:paraId="3EBCDCE6" w14:textId="77777777" w:rsidR="004E52FE" w:rsidRDefault="004E52FE" w:rsidP="004E52FE">
          <w:pPr>
            <w:pStyle w:val="Bibliography"/>
            <w:ind w:left="720" w:hanging="720"/>
            <w:rPr>
              <w:noProof/>
            </w:rPr>
          </w:pPr>
          <w:r>
            <w:rPr>
              <w:noProof/>
            </w:rPr>
            <w:t xml:space="preserve">Oxford Economics. (2014). </w:t>
          </w:r>
          <w:r>
            <w:rPr>
              <w:i/>
              <w:iCs/>
              <w:noProof/>
            </w:rPr>
            <w:t>Macroeconomic Influences on the Demand for Part-time Higher Education in the UK.</w:t>
          </w:r>
          <w:r>
            <w:rPr>
              <w:noProof/>
            </w:rPr>
            <w:t xml:space="preserve"> Oxford: Oxford Economics.</w:t>
          </w:r>
        </w:p>
        <w:p w14:paraId="6E732856" w14:textId="77777777" w:rsidR="004E52FE" w:rsidRDefault="004E52FE" w:rsidP="004E52FE">
          <w:pPr>
            <w:pStyle w:val="Bibliography"/>
            <w:ind w:left="720" w:hanging="720"/>
            <w:rPr>
              <w:noProof/>
            </w:rPr>
          </w:pPr>
          <w:r>
            <w:rPr>
              <w:noProof/>
            </w:rPr>
            <w:t xml:space="preserve">Panel on Fair Access to the Professions. (2009). </w:t>
          </w:r>
          <w:r>
            <w:rPr>
              <w:i/>
              <w:iCs/>
              <w:noProof/>
            </w:rPr>
            <w:t>Unleashing Aspiration: The Final Report of the Panel on Fair Access to the Professions.</w:t>
          </w:r>
          <w:r>
            <w:rPr>
              <w:noProof/>
            </w:rPr>
            <w:t xml:space="preserve"> Cabinet Office.</w:t>
          </w:r>
        </w:p>
        <w:p w14:paraId="52DF61B4" w14:textId="77777777" w:rsidR="004E52FE" w:rsidRDefault="004E52FE" w:rsidP="004E52FE">
          <w:pPr>
            <w:pStyle w:val="Bibliography"/>
            <w:ind w:left="720" w:hanging="720"/>
            <w:rPr>
              <w:noProof/>
            </w:rPr>
          </w:pPr>
          <w:r>
            <w:rPr>
              <w:noProof/>
            </w:rPr>
            <w:t xml:space="preserve">Richard, D. (2012). </w:t>
          </w:r>
          <w:r>
            <w:rPr>
              <w:i/>
              <w:iCs/>
              <w:noProof/>
            </w:rPr>
            <w:t>Richard Review of Apprenticeships.</w:t>
          </w:r>
          <w:r>
            <w:rPr>
              <w:noProof/>
            </w:rPr>
            <w:t xml:space="preserve"> BIS.</w:t>
          </w:r>
        </w:p>
        <w:p w14:paraId="5EB416F9" w14:textId="77777777" w:rsidR="004E52FE" w:rsidRDefault="004E52FE" w:rsidP="004E52FE">
          <w:pPr>
            <w:pStyle w:val="Bibliography"/>
            <w:ind w:left="720" w:hanging="720"/>
            <w:rPr>
              <w:noProof/>
            </w:rPr>
          </w:pPr>
          <w:r>
            <w:rPr>
              <w:noProof/>
            </w:rPr>
            <w:t xml:space="preserve">Smith, S., Joslin, H., &amp; Jameson, J. (2015). </w:t>
          </w:r>
          <w:r>
            <w:rPr>
              <w:i/>
              <w:iCs/>
              <w:noProof/>
            </w:rPr>
            <w:t>Progression of College Students in England to Higher Education .</w:t>
          </w:r>
          <w:r>
            <w:rPr>
              <w:noProof/>
            </w:rPr>
            <w:t xml:space="preserve"> BIS.</w:t>
          </w:r>
        </w:p>
        <w:p w14:paraId="3DE22D77" w14:textId="77777777" w:rsidR="004E52FE" w:rsidRDefault="004E52FE" w:rsidP="004E52FE">
          <w:pPr>
            <w:pStyle w:val="Bibliography"/>
            <w:ind w:left="720" w:hanging="720"/>
            <w:rPr>
              <w:noProof/>
            </w:rPr>
          </w:pPr>
          <w:r>
            <w:rPr>
              <w:noProof/>
            </w:rPr>
            <w:t xml:space="preserve">Tindell, G., Weeden, S., &amp; Storan, J. (2014). </w:t>
          </w:r>
          <w:r>
            <w:rPr>
              <w:i/>
              <w:iCs/>
              <w:noProof/>
            </w:rPr>
            <w:t>The Higher Education Journey of Young London Residents in a Changing Landscape.</w:t>
          </w:r>
          <w:r>
            <w:rPr>
              <w:noProof/>
            </w:rPr>
            <w:t xml:space="preserve"> London Councils Young People's Education and Skills.</w:t>
          </w:r>
        </w:p>
        <w:p w14:paraId="28F7145C" w14:textId="77777777" w:rsidR="004E52FE" w:rsidRDefault="004E52FE" w:rsidP="004E52FE">
          <w:pPr>
            <w:pStyle w:val="Bibliography"/>
            <w:ind w:left="720" w:hanging="720"/>
            <w:rPr>
              <w:noProof/>
            </w:rPr>
          </w:pPr>
          <w:r>
            <w:rPr>
              <w:noProof/>
            </w:rPr>
            <w:t xml:space="preserve">Wolf, A. (2011). </w:t>
          </w:r>
          <w:r>
            <w:rPr>
              <w:i/>
              <w:iCs/>
              <w:noProof/>
            </w:rPr>
            <w:t>Review of Vocational Education - The Wolf Report.</w:t>
          </w:r>
          <w:r>
            <w:rPr>
              <w:noProof/>
            </w:rPr>
            <w:t xml:space="preserve"> The Stationery Office.</w:t>
          </w:r>
        </w:p>
        <w:p w14:paraId="58E0207D" w14:textId="563B3A1B" w:rsidR="001A5565" w:rsidRPr="00A52AEE" w:rsidRDefault="001A5565" w:rsidP="004E52FE">
          <w:r w:rsidRPr="00A52AEE">
            <w:rPr>
              <w:b/>
            </w:rPr>
            <w:fldChar w:fldCharType="end"/>
          </w:r>
        </w:p>
      </w:sdtContent>
    </w:sdt>
    <w:p w14:paraId="0901D784" w14:textId="752345BD" w:rsidR="00C208F3" w:rsidRPr="00A52AEE" w:rsidRDefault="00C208F3" w:rsidP="00A52AEE"/>
    <w:p w14:paraId="78058600" w14:textId="77777777" w:rsidR="00C208F3" w:rsidRPr="00A52AEE" w:rsidRDefault="00C208F3" w:rsidP="00A52AEE"/>
    <w:sectPr w:rsidR="00C208F3" w:rsidRPr="00A52AEE" w:rsidSect="00F60ABC">
      <w:headerReference w:type="even" r:id="rId39"/>
      <w:headerReference w:type="default" r:id="rId40"/>
      <w:footerReference w:type="default" r:id="rId41"/>
      <w:headerReference w:type="first" r:id="rId42"/>
      <w:pgSz w:w="11906" w:h="16838"/>
      <w:pgMar w:top="1191" w:right="1134" w:bottom="1247" w:left="119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7C202" w14:textId="77777777" w:rsidR="00B65569" w:rsidRDefault="00B65569" w:rsidP="00A52AEE">
      <w:r>
        <w:separator/>
      </w:r>
    </w:p>
  </w:endnote>
  <w:endnote w:type="continuationSeparator" w:id="0">
    <w:p w14:paraId="56E814F4" w14:textId="77777777" w:rsidR="00B65569" w:rsidRDefault="00B65569" w:rsidP="00A5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C39E" w14:textId="77777777" w:rsidR="00A63CC4" w:rsidRDefault="00A6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43931"/>
      <w:docPartObj>
        <w:docPartGallery w:val="Page Numbers (Bottom of Page)"/>
        <w:docPartUnique/>
      </w:docPartObj>
    </w:sdtPr>
    <w:sdtEndPr>
      <w:rPr>
        <w:noProof/>
      </w:rPr>
    </w:sdtEndPr>
    <w:sdtContent>
      <w:p w14:paraId="5111DBA1" w14:textId="3088DF7B" w:rsidR="00A63CC4" w:rsidRDefault="00A63CC4">
        <w:pPr>
          <w:pStyle w:val="Footer"/>
          <w:jc w:val="center"/>
        </w:pPr>
        <w:r>
          <w:fldChar w:fldCharType="begin"/>
        </w:r>
        <w:r>
          <w:instrText xml:space="preserve"> PAGE   \* MERGEFORMAT </w:instrText>
        </w:r>
        <w:r>
          <w:fldChar w:fldCharType="separate"/>
        </w:r>
        <w:r w:rsidR="00E51662">
          <w:rPr>
            <w:noProof/>
          </w:rPr>
          <w:t>2</w:t>
        </w:r>
        <w:r>
          <w:rPr>
            <w:noProof/>
          </w:rPr>
          <w:fldChar w:fldCharType="end"/>
        </w:r>
      </w:p>
    </w:sdtContent>
  </w:sdt>
  <w:p w14:paraId="4B2F053B" w14:textId="77777777" w:rsidR="00A63CC4" w:rsidRDefault="00A63CC4" w:rsidP="00A52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2CF9" w14:textId="77777777" w:rsidR="00A63CC4" w:rsidRDefault="00A63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059419"/>
      <w:docPartObj>
        <w:docPartGallery w:val="Page Numbers (Bottom of Page)"/>
        <w:docPartUnique/>
      </w:docPartObj>
    </w:sdtPr>
    <w:sdtEndPr>
      <w:rPr>
        <w:noProof/>
      </w:rPr>
    </w:sdtEndPr>
    <w:sdtContent>
      <w:p w14:paraId="1EC74F62" w14:textId="4A6176F0" w:rsidR="00A63CC4" w:rsidRDefault="00A63CC4">
        <w:pPr>
          <w:pStyle w:val="Footer"/>
          <w:jc w:val="center"/>
        </w:pPr>
        <w:r>
          <w:fldChar w:fldCharType="begin"/>
        </w:r>
        <w:r>
          <w:instrText xml:space="preserve"> PAGE   \* MERGEFORMAT </w:instrText>
        </w:r>
        <w:r>
          <w:fldChar w:fldCharType="separate"/>
        </w:r>
        <w:r w:rsidR="00E51662">
          <w:rPr>
            <w:noProof/>
          </w:rPr>
          <w:t>3</w:t>
        </w:r>
        <w:r>
          <w:rPr>
            <w:noProof/>
          </w:rPr>
          <w:fldChar w:fldCharType="end"/>
        </w:r>
      </w:p>
    </w:sdtContent>
  </w:sdt>
  <w:p w14:paraId="0F92F132" w14:textId="77777777" w:rsidR="00A63CC4" w:rsidRDefault="00A63CC4" w:rsidP="00A5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4BD5" w14:textId="77777777" w:rsidR="00B65569" w:rsidRDefault="00B65569" w:rsidP="00A52AEE">
      <w:r>
        <w:separator/>
      </w:r>
    </w:p>
  </w:footnote>
  <w:footnote w:type="continuationSeparator" w:id="0">
    <w:p w14:paraId="295E98A3" w14:textId="77777777" w:rsidR="00B65569" w:rsidRDefault="00B65569" w:rsidP="00A52AEE">
      <w:r>
        <w:continuationSeparator/>
      </w:r>
    </w:p>
  </w:footnote>
  <w:footnote w:id="1">
    <w:p w14:paraId="06630B1C" w14:textId="77777777" w:rsidR="00A63CC4" w:rsidRDefault="00A63CC4" w:rsidP="009443B2">
      <w:pPr>
        <w:pStyle w:val="FootnoteText"/>
      </w:pPr>
      <w:r>
        <w:rPr>
          <w:rStyle w:val="FootnoteReference"/>
          <w:rFonts w:eastAsiaTheme="majorEastAsia"/>
        </w:rPr>
        <w:footnoteRef/>
      </w:r>
      <w:r>
        <w:t xml:space="preserve"> The first report we commissioned was entitled the ‘Progression of ‘College Learners to Higher Education In London 2005 – 2010’, supported by another report on the ‘Progression of Apprentices to Higher Education in London 20014 – 10’. These are available on our website </w:t>
      </w:r>
      <w:hyperlink r:id="rId1" w:history="1">
        <w:r w:rsidRPr="00A242D8">
          <w:rPr>
            <w:rStyle w:val="Hyperlink"/>
            <w:rFonts w:eastAsiaTheme="majorEastAsia"/>
          </w:rPr>
          <w:t>www.linkinglondon.ac.uk</w:t>
        </w:r>
      </w:hyperlink>
      <w:r>
        <w:t xml:space="preserve">  </w:t>
      </w:r>
    </w:p>
  </w:footnote>
  <w:footnote w:id="2">
    <w:p w14:paraId="16BB80FB" w14:textId="77777777" w:rsidR="00A63CC4" w:rsidRDefault="00A63CC4" w:rsidP="00A52AEE">
      <w:pPr>
        <w:pStyle w:val="FootnoteText"/>
      </w:pPr>
      <w:r>
        <w:rPr>
          <w:rStyle w:val="FootnoteReference"/>
        </w:rPr>
        <w:footnoteRef/>
      </w:r>
      <w:r>
        <w:t xml:space="preserve"> In this report the International Baccalaureate (IB) is grouped with A levels</w:t>
      </w:r>
    </w:p>
  </w:footnote>
  <w:footnote w:id="3">
    <w:p w14:paraId="20745B57" w14:textId="77777777" w:rsidR="00A63CC4" w:rsidRPr="006F66D7" w:rsidRDefault="00A63CC4" w:rsidP="00A52AEE">
      <w:pPr>
        <w:pStyle w:val="FootnoteText"/>
      </w:pPr>
      <w:r>
        <w:rPr>
          <w:rStyle w:val="FootnoteReference"/>
        </w:rPr>
        <w:footnoteRef/>
      </w:r>
      <w:r>
        <w:t xml:space="preserve"> </w:t>
      </w:r>
      <w:r w:rsidRPr="006F66D7">
        <w:t>In this report the International Baccalaureate (IB) is grouped with A levels</w:t>
      </w:r>
    </w:p>
  </w:footnote>
  <w:footnote w:id="4">
    <w:p w14:paraId="2AE0D48D" w14:textId="77777777" w:rsidR="00A63CC4" w:rsidRDefault="00A63CC4" w:rsidP="00A52AEE">
      <w:pPr>
        <w:pStyle w:val="FootnoteText"/>
      </w:pPr>
      <w:r w:rsidRPr="006F66D7">
        <w:rPr>
          <w:rStyle w:val="FootnoteReference"/>
          <w:sz w:val="18"/>
        </w:rPr>
        <w:footnoteRef/>
      </w:r>
      <w:r w:rsidRPr="006F66D7">
        <w:t xml:space="preserve"> Technically, the SFA can fund prescribed HE and </w:t>
      </w:r>
      <w:r>
        <w:t xml:space="preserve">it </w:t>
      </w:r>
      <w:r w:rsidRPr="006F66D7">
        <w:t>plan</w:t>
      </w:r>
      <w:r>
        <w:t>s</w:t>
      </w:r>
      <w:r w:rsidRPr="006F66D7">
        <w:t xml:space="preserve"> to when specified as part of a higher apprenticeship</w:t>
      </w:r>
    </w:p>
  </w:footnote>
  <w:footnote w:id="5">
    <w:p w14:paraId="17C85CD3" w14:textId="05D77A9B" w:rsidR="00A63CC4" w:rsidRDefault="00A63CC4">
      <w:pPr>
        <w:pStyle w:val="FootnoteText"/>
      </w:pPr>
      <w:r>
        <w:rPr>
          <w:rStyle w:val="FootnoteReference"/>
        </w:rPr>
        <w:footnoteRef/>
      </w:r>
      <w:r>
        <w:t xml:space="preserve"> For an explanation of the difference between prescribed and non-prescribed HE please see page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BDD9" w14:textId="3535438F" w:rsidR="00A63CC4" w:rsidRDefault="00A6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F68D" w14:textId="576DA3BB" w:rsidR="00A63CC4" w:rsidRDefault="00A6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751C" w14:textId="0854B876" w:rsidR="00A63CC4" w:rsidRDefault="00A63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D43F" w14:textId="41FEA842" w:rsidR="00A63CC4" w:rsidRDefault="00A63C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5AD0" w14:textId="6189D2ED" w:rsidR="00A63CC4" w:rsidRDefault="00A63C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4E35" w14:textId="242F3485" w:rsidR="00A63CC4" w:rsidRDefault="00A6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EEB"/>
    <w:multiLevelType w:val="multilevel"/>
    <w:tmpl w:val="512EC8EC"/>
    <w:lvl w:ilvl="0">
      <w:start w:val="5"/>
      <w:numFmt w:val="decimal"/>
      <w:lvlText w:val="%1"/>
      <w:lvlJc w:val="left"/>
      <w:pPr>
        <w:ind w:left="690" w:hanging="690"/>
      </w:pPr>
      <w:rPr>
        <w:rFonts w:hint="default"/>
      </w:rPr>
    </w:lvl>
    <w:lvl w:ilvl="1">
      <w:start w:val="15"/>
      <w:numFmt w:val="decimal"/>
      <w:lvlText w:val="%1.%2"/>
      <w:lvlJc w:val="left"/>
      <w:pPr>
        <w:ind w:left="1215" w:hanging="720"/>
      </w:pPr>
      <w:rPr>
        <w:rFonts w:hint="default"/>
      </w:rPr>
    </w:lvl>
    <w:lvl w:ilvl="2">
      <w:start w:val="1"/>
      <w:numFmt w:val="decimal"/>
      <w:lvlText w:val="%1.%2.%3"/>
      <w:lvlJc w:val="left"/>
      <w:pPr>
        <w:ind w:left="2070" w:hanging="1080"/>
      </w:pPr>
      <w:rPr>
        <w:rFonts w:hint="default"/>
      </w:rPr>
    </w:lvl>
    <w:lvl w:ilvl="3">
      <w:start w:val="1"/>
      <w:numFmt w:val="decimal"/>
      <w:lvlText w:val="%1.%2.%3.%4"/>
      <w:lvlJc w:val="left"/>
      <w:pPr>
        <w:ind w:left="2925" w:hanging="144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4275" w:hanging="1800"/>
      </w:pPr>
      <w:rPr>
        <w:rFonts w:hint="default"/>
      </w:rPr>
    </w:lvl>
    <w:lvl w:ilvl="6">
      <w:start w:val="1"/>
      <w:numFmt w:val="decimal"/>
      <w:lvlText w:val="%1.%2.%3.%4.%5.%6.%7"/>
      <w:lvlJc w:val="left"/>
      <w:pPr>
        <w:ind w:left="5130" w:hanging="2160"/>
      </w:pPr>
      <w:rPr>
        <w:rFonts w:hint="default"/>
      </w:rPr>
    </w:lvl>
    <w:lvl w:ilvl="7">
      <w:start w:val="1"/>
      <w:numFmt w:val="decimal"/>
      <w:lvlText w:val="%1.%2.%3.%4.%5.%6.%7.%8"/>
      <w:lvlJc w:val="left"/>
      <w:pPr>
        <w:ind w:left="5985" w:hanging="2520"/>
      </w:pPr>
      <w:rPr>
        <w:rFonts w:hint="default"/>
      </w:rPr>
    </w:lvl>
    <w:lvl w:ilvl="8">
      <w:start w:val="1"/>
      <w:numFmt w:val="decimal"/>
      <w:lvlText w:val="%1.%2.%3.%4.%5.%6.%7.%8.%9"/>
      <w:lvlJc w:val="left"/>
      <w:pPr>
        <w:ind w:left="6840" w:hanging="2880"/>
      </w:pPr>
      <w:rPr>
        <w:rFonts w:hint="default"/>
      </w:rPr>
    </w:lvl>
  </w:abstractNum>
  <w:abstractNum w:abstractNumId="1" w15:restartNumberingAfterBreak="0">
    <w:nsid w:val="0BE51061"/>
    <w:multiLevelType w:val="hybridMultilevel"/>
    <w:tmpl w:val="73E20F16"/>
    <w:lvl w:ilvl="0" w:tplc="9A4A84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02DA8"/>
    <w:multiLevelType w:val="hybridMultilevel"/>
    <w:tmpl w:val="2D78E3F4"/>
    <w:lvl w:ilvl="0" w:tplc="9A4A848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30465"/>
    <w:multiLevelType w:val="hybridMultilevel"/>
    <w:tmpl w:val="ABD82C9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753CC"/>
    <w:multiLevelType w:val="multilevel"/>
    <w:tmpl w:val="EF3EE4DC"/>
    <w:lvl w:ilvl="0">
      <w:start w:val="5"/>
      <w:numFmt w:val="decimal"/>
      <w:lvlText w:val="%1"/>
      <w:lvlJc w:val="left"/>
      <w:pPr>
        <w:ind w:left="690" w:hanging="69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1DF5DDA"/>
    <w:multiLevelType w:val="hybridMultilevel"/>
    <w:tmpl w:val="7F729530"/>
    <w:lvl w:ilvl="0" w:tplc="9A4A84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43DE2"/>
    <w:multiLevelType w:val="hybridMultilevel"/>
    <w:tmpl w:val="AADE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A2562"/>
    <w:multiLevelType w:val="hybridMultilevel"/>
    <w:tmpl w:val="95880E66"/>
    <w:lvl w:ilvl="0" w:tplc="A26EE0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126C8C"/>
    <w:multiLevelType w:val="hybridMultilevel"/>
    <w:tmpl w:val="1E7E0B12"/>
    <w:lvl w:ilvl="0" w:tplc="9A4A84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95497"/>
    <w:multiLevelType w:val="multilevel"/>
    <w:tmpl w:val="CF847A08"/>
    <w:lvl w:ilvl="0">
      <w:start w:val="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18B76A9"/>
    <w:multiLevelType w:val="multilevel"/>
    <w:tmpl w:val="167CFB0E"/>
    <w:lvl w:ilvl="0">
      <w:start w:val="3"/>
      <w:numFmt w:val="decimal"/>
      <w:lvlText w:val="%1"/>
      <w:lvlJc w:val="left"/>
      <w:pPr>
        <w:ind w:left="525" w:hanging="52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680" w:hanging="2880"/>
      </w:pPr>
      <w:rPr>
        <w:rFonts w:hint="default"/>
      </w:rPr>
    </w:lvl>
  </w:abstractNum>
  <w:abstractNum w:abstractNumId="11" w15:restartNumberingAfterBreak="0">
    <w:nsid w:val="26DB524F"/>
    <w:multiLevelType w:val="multilevel"/>
    <w:tmpl w:val="058C2166"/>
    <w:lvl w:ilvl="0">
      <w:start w:val="2"/>
      <w:numFmt w:val="decimal"/>
      <w:lvlText w:val="%1"/>
      <w:lvlJc w:val="left"/>
      <w:pPr>
        <w:ind w:left="525" w:hanging="525"/>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680" w:hanging="2880"/>
      </w:pPr>
      <w:rPr>
        <w:rFonts w:hint="default"/>
      </w:rPr>
    </w:lvl>
  </w:abstractNum>
  <w:abstractNum w:abstractNumId="12" w15:restartNumberingAfterBreak="0">
    <w:nsid w:val="29432B48"/>
    <w:multiLevelType w:val="hybridMultilevel"/>
    <w:tmpl w:val="3180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F5B13"/>
    <w:multiLevelType w:val="multilevel"/>
    <w:tmpl w:val="B232CD00"/>
    <w:lvl w:ilvl="0">
      <w:start w:val="6"/>
      <w:numFmt w:val="decimal"/>
      <w:lvlText w:val="%1"/>
      <w:lvlJc w:val="left"/>
      <w:pPr>
        <w:ind w:left="495" w:hanging="495"/>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2070" w:hanging="1080"/>
      </w:pPr>
      <w:rPr>
        <w:rFonts w:hint="default"/>
      </w:rPr>
    </w:lvl>
    <w:lvl w:ilvl="3">
      <w:start w:val="1"/>
      <w:numFmt w:val="decimal"/>
      <w:lvlText w:val="%1.%2.%3.%4"/>
      <w:lvlJc w:val="left"/>
      <w:pPr>
        <w:ind w:left="2925" w:hanging="144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4275" w:hanging="1800"/>
      </w:pPr>
      <w:rPr>
        <w:rFonts w:hint="default"/>
      </w:rPr>
    </w:lvl>
    <w:lvl w:ilvl="6">
      <w:start w:val="1"/>
      <w:numFmt w:val="decimal"/>
      <w:lvlText w:val="%1.%2.%3.%4.%5.%6.%7"/>
      <w:lvlJc w:val="left"/>
      <w:pPr>
        <w:ind w:left="5130" w:hanging="2160"/>
      </w:pPr>
      <w:rPr>
        <w:rFonts w:hint="default"/>
      </w:rPr>
    </w:lvl>
    <w:lvl w:ilvl="7">
      <w:start w:val="1"/>
      <w:numFmt w:val="decimal"/>
      <w:lvlText w:val="%1.%2.%3.%4.%5.%6.%7.%8"/>
      <w:lvlJc w:val="left"/>
      <w:pPr>
        <w:ind w:left="5985" w:hanging="2520"/>
      </w:pPr>
      <w:rPr>
        <w:rFonts w:hint="default"/>
      </w:rPr>
    </w:lvl>
    <w:lvl w:ilvl="8">
      <w:start w:val="1"/>
      <w:numFmt w:val="decimal"/>
      <w:lvlText w:val="%1.%2.%3.%4.%5.%6.%7.%8.%9"/>
      <w:lvlJc w:val="left"/>
      <w:pPr>
        <w:ind w:left="6840" w:hanging="2880"/>
      </w:pPr>
      <w:rPr>
        <w:rFonts w:hint="default"/>
      </w:rPr>
    </w:lvl>
  </w:abstractNum>
  <w:abstractNum w:abstractNumId="14" w15:restartNumberingAfterBreak="0">
    <w:nsid w:val="312C269B"/>
    <w:multiLevelType w:val="multilevel"/>
    <w:tmpl w:val="25B6305E"/>
    <w:lvl w:ilvl="0">
      <w:start w:val="4"/>
      <w:numFmt w:val="decimal"/>
      <w:lvlText w:val="%1"/>
      <w:lvlJc w:val="left"/>
      <w:pPr>
        <w:ind w:left="720" w:hanging="720"/>
      </w:pPr>
      <w:rPr>
        <w:rFonts w:hint="default"/>
      </w:rPr>
    </w:lvl>
    <w:lvl w:ilvl="1">
      <w:start w:val="11"/>
      <w:numFmt w:val="decimal"/>
      <w:lvlText w:val="%1.%2"/>
      <w:lvlJc w:val="left"/>
      <w:pPr>
        <w:ind w:left="199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80025A5"/>
    <w:multiLevelType w:val="multilevel"/>
    <w:tmpl w:val="CCFC8D44"/>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EA061B"/>
    <w:multiLevelType w:val="hybridMultilevel"/>
    <w:tmpl w:val="F5462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A014A9"/>
    <w:multiLevelType w:val="multilevel"/>
    <w:tmpl w:val="743456DC"/>
    <w:lvl w:ilvl="0">
      <w:start w:val="5"/>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40DF5E87"/>
    <w:multiLevelType w:val="hybridMultilevel"/>
    <w:tmpl w:val="9904D12E"/>
    <w:lvl w:ilvl="0" w:tplc="F7EEF5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303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1979DB"/>
    <w:multiLevelType w:val="hybridMultilevel"/>
    <w:tmpl w:val="AC90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626492"/>
    <w:multiLevelType w:val="multilevel"/>
    <w:tmpl w:val="EEE45E80"/>
    <w:lvl w:ilvl="0">
      <w:start w:val="5"/>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831EC0"/>
    <w:multiLevelType w:val="multilevel"/>
    <w:tmpl w:val="C8B67DC2"/>
    <w:lvl w:ilvl="0">
      <w:start w:val="3"/>
      <w:numFmt w:val="decimal"/>
      <w:lvlText w:val="%1"/>
      <w:lvlJc w:val="left"/>
      <w:pPr>
        <w:ind w:left="720" w:hanging="72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61F25162"/>
    <w:multiLevelType w:val="multilevel"/>
    <w:tmpl w:val="B9E0454E"/>
    <w:lvl w:ilvl="0">
      <w:start w:val="5"/>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6A3B1875"/>
    <w:multiLevelType w:val="hybridMultilevel"/>
    <w:tmpl w:val="0DE089DC"/>
    <w:lvl w:ilvl="0" w:tplc="46BAD4F2">
      <w:start w:val="1"/>
      <w:numFmt w:val="decimal"/>
      <w:lvlText w:val="%1."/>
      <w:lvlJc w:val="left"/>
      <w:pPr>
        <w:ind w:left="1210" w:hanging="360"/>
      </w:pPr>
      <w:rPr>
        <w:rFonts w:hint="default"/>
      </w:rPr>
    </w:lvl>
    <w:lvl w:ilvl="1" w:tplc="08090019">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5" w15:restartNumberingAfterBreak="0">
    <w:nsid w:val="6ABB5B6C"/>
    <w:multiLevelType w:val="multilevel"/>
    <w:tmpl w:val="61F09430"/>
    <w:lvl w:ilvl="0">
      <w:start w:val="1"/>
      <w:numFmt w:val="decimal"/>
      <w:lvlText w:val="%1."/>
      <w:lvlJc w:val="left"/>
      <w:pPr>
        <w:ind w:left="1080" w:hanging="720"/>
      </w:pPr>
      <w:rPr>
        <w:rFonts w:hint="default"/>
      </w:rPr>
    </w:lvl>
    <w:lvl w:ilvl="1">
      <w:start w:val="2"/>
      <w:numFmt w:val="decimal"/>
      <w:isLgl/>
      <w:lvlText w:val="%1.%2"/>
      <w:lvlJc w:val="left"/>
      <w:pPr>
        <w:ind w:left="1440" w:hanging="945"/>
      </w:pPr>
      <w:rPr>
        <w:rFonts w:hint="default"/>
      </w:rPr>
    </w:lvl>
    <w:lvl w:ilvl="2">
      <w:start w:val="1"/>
      <w:numFmt w:val="decimal"/>
      <w:isLgl/>
      <w:lvlText w:val="%1.%2.%3"/>
      <w:lvlJc w:val="left"/>
      <w:pPr>
        <w:ind w:left="1575" w:hanging="945"/>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70FF2AA0"/>
    <w:multiLevelType w:val="hybridMultilevel"/>
    <w:tmpl w:val="F2509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30723E"/>
    <w:multiLevelType w:val="multilevel"/>
    <w:tmpl w:val="EF787138"/>
    <w:lvl w:ilvl="0">
      <w:start w:val="1"/>
      <w:numFmt w:val="decimal"/>
      <w:lvlText w:val="%1."/>
      <w:lvlJc w:val="left"/>
      <w:pPr>
        <w:ind w:left="360" w:hanging="360"/>
      </w:pPr>
      <w:rPr>
        <w:rFonts w:hint="default"/>
        <w:b/>
        <w:i w:val="0"/>
        <w:sz w:val="36"/>
      </w:rPr>
    </w:lvl>
    <w:lvl w:ilvl="1">
      <w:start w:val="1"/>
      <w:numFmt w:val="decimal"/>
      <w:lvlText w:val="%2."/>
      <w:lvlJc w:val="left"/>
      <w:pPr>
        <w:ind w:left="792" w:hanging="432"/>
      </w:pPr>
      <w:rPr>
        <w:rFonts w:ascii="Arial" w:hAnsi="Arial" w:hint="default"/>
        <w:b/>
        <w:i w:val="0"/>
        <w:sz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182F2E"/>
    <w:multiLevelType w:val="multilevel"/>
    <w:tmpl w:val="61F09430"/>
    <w:lvl w:ilvl="0">
      <w:start w:val="1"/>
      <w:numFmt w:val="decimal"/>
      <w:lvlText w:val="%1."/>
      <w:lvlJc w:val="left"/>
      <w:pPr>
        <w:ind w:left="1080" w:hanging="720"/>
      </w:pPr>
      <w:rPr>
        <w:rFonts w:hint="default"/>
      </w:rPr>
    </w:lvl>
    <w:lvl w:ilvl="1">
      <w:start w:val="2"/>
      <w:numFmt w:val="decimal"/>
      <w:isLgl/>
      <w:lvlText w:val="%1.%2"/>
      <w:lvlJc w:val="left"/>
      <w:pPr>
        <w:ind w:left="1440" w:hanging="945"/>
      </w:pPr>
      <w:rPr>
        <w:rFonts w:hint="default"/>
      </w:rPr>
    </w:lvl>
    <w:lvl w:ilvl="2">
      <w:start w:val="1"/>
      <w:numFmt w:val="decimal"/>
      <w:isLgl/>
      <w:lvlText w:val="%1.%2.%3"/>
      <w:lvlJc w:val="left"/>
      <w:pPr>
        <w:ind w:left="1575" w:hanging="945"/>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7A822B22"/>
    <w:multiLevelType w:val="multilevel"/>
    <w:tmpl w:val="E16C891A"/>
    <w:lvl w:ilvl="0">
      <w:start w:val="3"/>
      <w:numFmt w:val="decimal"/>
      <w:lvlText w:val="%1"/>
      <w:lvlJc w:val="left"/>
      <w:pPr>
        <w:ind w:left="525" w:hanging="525"/>
      </w:pPr>
      <w:rPr>
        <w:rFonts w:hint="default"/>
      </w:rPr>
    </w:lvl>
    <w:lvl w:ilvl="1">
      <w:start w:val="5"/>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680" w:hanging="2880"/>
      </w:pPr>
      <w:rPr>
        <w:rFonts w:hint="default"/>
      </w:rPr>
    </w:lvl>
  </w:abstractNum>
  <w:abstractNum w:abstractNumId="30" w15:restartNumberingAfterBreak="0">
    <w:nsid w:val="7BCF7E56"/>
    <w:multiLevelType w:val="hybridMultilevel"/>
    <w:tmpl w:val="C81EB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5"/>
  </w:num>
  <w:num w:numId="4">
    <w:abstractNumId w:val="20"/>
  </w:num>
  <w:num w:numId="5">
    <w:abstractNumId w:val="30"/>
  </w:num>
  <w:num w:numId="6">
    <w:abstractNumId w:val="6"/>
  </w:num>
  <w:num w:numId="7">
    <w:abstractNumId w:val="2"/>
  </w:num>
  <w:num w:numId="8">
    <w:abstractNumId w:val="5"/>
  </w:num>
  <w:num w:numId="9">
    <w:abstractNumId w:val="8"/>
  </w:num>
  <w:num w:numId="10">
    <w:abstractNumId w:val="1"/>
  </w:num>
  <w:num w:numId="11">
    <w:abstractNumId w:val="13"/>
  </w:num>
  <w:num w:numId="12">
    <w:abstractNumId w:val="16"/>
  </w:num>
  <w:num w:numId="13">
    <w:abstractNumId w:val="19"/>
  </w:num>
  <w:num w:numId="14">
    <w:abstractNumId w:val="3"/>
  </w:num>
  <w:num w:numId="15">
    <w:abstractNumId w:val="23"/>
  </w:num>
  <w:num w:numId="16">
    <w:abstractNumId w:val="17"/>
  </w:num>
  <w:num w:numId="17">
    <w:abstractNumId w:val="4"/>
  </w:num>
  <w:num w:numId="18">
    <w:abstractNumId w:val="13"/>
    <w:lvlOverride w:ilvl="0">
      <w:startOverride w:val="6"/>
    </w:lvlOverride>
    <w:lvlOverride w:ilvl="1">
      <w:startOverride w:val="1"/>
    </w:lvlOverride>
  </w:num>
  <w:num w:numId="19">
    <w:abstractNumId w:val="9"/>
  </w:num>
  <w:num w:numId="20">
    <w:abstractNumId w:val="25"/>
  </w:num>
  <w:num w:numId="21">
    <w:abstractNumId w:val="12"/>
  </w:num>
  <w:num w:numId="22">
    <w:abstractNumId w:val="0"/>
  </w:num>
  <w:num w:numId="23">
    <w:abstractNumId w:val="26"/>
  </w:num>
  <w:num w:numId="2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11"/>
  </w:num>
  <w:num w:numId="28">
    <w:abstractNumId w:val="22"/>
  </w:num>
  <w:num w:numId="29">
    <w:abstractNumId w:val="27"/>
  </w:num>
  <w:num w:numId="30">
    <w:abstractNumId w:val="27"/>
  </w:num>
  <w:num w:numId="31">
    <w:abstractNumId w:val="27"/>
  </w:num>
  <w:num w:numId="32">
    <w:abstractNumId w:val="27"/>
    <w:lvlOverride w:ilvl="0">
      <w:startOverride w:val="1"/>
    </w:lvlOverride>
  </w:num>
  <w:num w:numId="33">
    <w:abstractNumId w:val="10"/>
  </w:num>
  <w:num w:numId="34">
    <w:abstractNumId w:val="29"/>
  </w:num>
  <w:num w:numId="35">
    <w:abstractNumId w:val="29"/>
    <w:lvlOverride w:ilvl="0">
      <w:startOverride w:val="4"/>
    </w:lvlOverride>
    <w:lvlOverride w:ilvl="1">
      <w:startOverride w:val="10"/>
    </w:lvlOverride>
  </w:num>
  <w:num w:numId="36">
    <w:abstractNumId w:val="14"/>
  </w:num>
  <w:num w:numId="37">
    <w:abstractNumId w:val="14"/>
    <w:lvlOverride w:ilvl="0">
      <w:startOverride w:val="4"/>
    </w:lvlOverride>
    <w:lvlOverride w:ilvl="1">
      <w:startOverride w:val="12"/>
    </w:lvlOverride>
  </w:num>
  <w:num w:numId="38">
    <w:abstractNumId w:val="14"/>
    <w:lvlOverride w:ilvl="0">
      <w:startOverride w:val="4"/>
    </w:lvlOverride>
    <w:lvlOverride w:ilvl="1">
      <w:startOverride w:val="11"/>
    </w:lvlOverride>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3"/>
    <w:rsid w:val="0000483F"/>
    <w:rsid w:val="00010555"/>
    <w:rsid w:val="00012E3F"/>
    <w:rsid w:val="00027430"/>
    <w:rsid w:val="0003214C"/>
    <w:rsid w:val="00045621"/>
    <w:rsid w:val="0005090D"/>
    <w:rsid w:val="00053A52"/>
    <w:rsid w:val="00057CD2"/>
    <w:rsid w:val="000627DC"/>
    <w:rsid w:val="000D5C3E"/>
    <w:rsid w:val="000D7228"/>
    <w:rsid w:val="000F58EB"/>
    <w:rsid w:val="00100914"/>
    <w:rsid w:val="00102706"/>
    <w:rsid w:val="001068A2"/>
    <w:rsid w:val="00112393"/>
    <w:rsid w:val="00120700"/>
    <w:rsid w:val="0012275C"/>
    <w:rsid w:val="0014706B"/>
    <w:rsid w:val="00165CF8"/>
    <w:rsid w:val="00167733"/>
    <w:rsid w:val="00174DE0"/>
    <w:rsid w:val="00177768"/>
    <w:rsid w:val="0019031A"/>
    <w:rsid w:val="001923B6"/>
    <w:rsid w:val="001A04A7"/>
    <w:rsid w:val="001A5565"/>
    <w:rsid w:val="001A6C95"/>
    <w:rsid w:val="001B61D9"/>
    <w:rsid w:val="001D219C"/>
    <w:rsid w:val="001F1D4D"/>
    <w:rsid w:val="002122C1"/>
    <w:rsid w:val="0021637B"/>
    <w:rsid w:val="0022142D"/>
    <w:rsid w:val="00230E49"/>
    <w:rsid w:val="0023558A"/>
    <w:rsid w:val="00235FB9"/>
    <w:rsid w:val="0025066C"/>
    <w:rsid w:val="00251FE1"/>
    <w:rsid w:val="0025208F"/>
    <w:rsid w:val="00264CB1"/>
    <w:rsid w:val="00296BB8"/>
    <w:rsid w:val="002A508A"/>
    <w:rsid w:val="002A742A"/>
    <w:rsid w:val="002B30B0"/>
    <w:rsid w:val="002C3678"/>
    <w:rsid w:val="002C3D7C"/>
    <w:rsid w:val="002C4CA4"/>
    <w:rsid w:val="002C6E12"/>
    <w:rsid w:val="002E286F"/>
    <w:rsid w:val="002E7F99"/>
    <w:rsid w:val="002F1965"/>
    <w:rsid w:val="003018B6"/>
    <w:rsid w:val="00305EFC"/>
    <w:rsid w:val="003235A8"/>
    <w:rsid w:val="00325251"/>
    <w:rsid w:val="00325B34"/>
    <w:rsid w:val="00327301"/>
    <w:rsid w:val="0036229E"/>
    <w:rsid w:val="00373D94"/>
    <w:rsid w:val="0038127C"/>
    <w:rsid w:val="003A2960"/>
    <w:rsid w:val="003B4E18"/>
    <w:rsid w:val="003B53E8"/>
    <w:rsid w:val="003C0656"/>
    <w:rsid w:val="003C6067"/>
    <w:rsid w:val="003D034C"/>
    <w:rsid w:val="003E1556"/>
    <w:rsid w:val="003F056F"/>
    <w:rsid w:val="00413FF3"/>
    <w:rsid w:val="004153CF"/>
    <w:rsid w:val="004309B9"/>
    <w:rsid w:val="00435CBE"/>
    <w:rsid w:val="0045461C"/>
    <w:rsid w:val="00455D65"/>
    <w:rsid w:val="004609C6"/>
    <w:rsid w:val="0047344A"/>
    <w:rsid w:val="004872CF"/>
    <w:rsid w:val="00487B00"/>
    <w:rsid w:val="004A29AC"/>
    <w:rsid w:val="004A4321"/>
    <w:rsid w:val="004D2866"/>
    <w:rsid w:val="004D2EF2"/>
    <w:rsid w:val="004D3FD1"/>
    <w:rsid w:val="004E52FE"/>
    <w:rsid w:val="004F04FB"/>
    <w:rsid w:val="004F6F33"/>
    <w:rsid w:val="005152F4"/>
    <w:rsid w:val="005175E4"/>
    <w:rsid w:val="005217F3"/>
    <w:rsid w:val="00543D45"/>
    <w:rsid w:val="00546BD0"/>
    <w:rsid w:val="00550DC3"/>
    <w:rsid w:val="0056198A"/>
    <w:rsid w:val="00561FE7"/>
    <w:rsid w:val="005804D2"/>
    <w:rsid w:val="0059233C"/>
    <w:rsid w:val="00593BBA"/>
    <w:rsid w:val="005967A5"/>
    <w:rsid w:val="005B04D0"/>
    <w:rsid w:val="005B57B0"/>
    <w:rsid w:val="005D104D"/>
    <w:rsid w:val="005E08C9"/>
    <w:rsid w:val="005F0A18"/>
    <w:rsid w:val="005F37B0"/>
    <w:rsid w:val="005F7415"/>
    <w:rsid w:val="006078EF"/>
    <w:rsid w:val="006101C5"/>
    <w:rsid w:val="00621F08"/>
    <w:rsid w:val="006655CA"/>
    <w:rsid w:val="006700B7"/>
    <w:rsid w:val="00673C12"/>
    <w:rsid w:val="00674896"/>
    <w:rsid w:val="0067781D"/>
    <w:rsid w:val="0068454F"/>
    <w:rsid w:val="006B7284"/>
    <w:rsid w:val="006B7B96"/>
    <w:rsid w:val="006D199F"/>
    <w:rsid w:val="006E189D"/>
    <w:rsid w:val="00736273"/>
    <w:rsid w:val="0074535F"/>
    <w:rsid w:val="0074728E"/>
    <w:rsid w:val="00750996"/>
    <w:rsid w:val="00752E93"/>
    <w:rsid w:val="007553EE"/>
    <w:rsid w:val="00757B2C"/>
    <w:rsid w:val="0076166E"/>
    <w:rsid w:val="00766035"/>
    <w:rsid w:val="00771DD0"/>
    <w:rsid w:val="0077498C"/>
    <w:rsid w:val="00775234"/>
    <w:rsid w:val="00777675"/>
    <w:rsid w:val="00781F1D"/>
    <w:rsid w:val="00784AC2"/>
    <w:rsid w:val="0078557B"/>
    <w:rsid w:val="007A00D1"/>
    <w:rsid w:val="007A015D"/>
    <w:rsid w:val="007A4B2F"/>
    <w:rsid w:val="007A4B70"/>
    <w:rsid w:val="007A69EC"/>
    <w:rsid w:val="007C17F7"/>
    <w:rsid w:val="007C4502"/>
    <w:rsid w:val="007C464B"/>
    <w:rsid w:val="007E698B"/>
    <w:rsid w:val="007F3B28"/>
    <w:rsid w:val="007F7A33"/>
    <w:rsid w:val="008029F5"/>
    <w:rsid w:val="00811481"/>
    <w:rsid w:val="00811E3A"/>
    <w:rsid w:val="00813163"/>
    <w:rsid w:val="0082463B"/>
    <w:rsid w:val="00836368"/>
    <w:rsid w:val="00842186"/>
    <w:rsid w:val="008469C0"/>
    <w:rsid w:val="00851272"/>
    <w:rsid w:val="00852A2C"/>
    <w:rsid w:val="00853B8F"/>
    <w:rsid w:val="00855E4A"/>
    <w:rsid w:val="00857542"/>
    <w:rsid w:val="00860170"/>
    <w:rsid w:val="00873F6A"/>
    <w:rsid w:val="00876A87"/>
    <w:rsid w:val="008859EE"/>
    <w:rsid w:val="00893D03"/>
    <w:rsid w:val="008957CE"/>
    <w:rsid w:val="008A15B3"/>
    <w:rsid w:val="008A4456"/>
    <w:rsid w:val="008A6FF4"/>
    <w:rsid w:val="008B07E3"/>
    <w:rsid w:val="008C027A"/>
    <w:rsid w:val="008D501C"/>
    <w:rsid w:val="008D527A"/>
    <w:rsid w:val="009075B8"/>
    <w:rsid w:val="00930339"/>
    <w:rsid w:val="0093491E"/>
    <w:rsid w:val="009443B2"/>
    <w:rsid w:val="00945035"/>
    <w:rsid w:val="009531D3"/>
    <w:rsid w:val="0096237E"/>
    <w:rsid w:val="0097656F"/>
    <w:rsid w:val="009775F9"/>
    <w:rsid w:val="009A0851"/>
    <w:rsid w:val="009A1E52"/>
    <w:rsid w:val="009A2373"/>
    <w:rsid w:val="009B51B6"/>
    <w:rsid w:val="009B6701"/>
    <w:rsid w:val="009D3485"/>
    <w:rsid w:val="00A2101B"/>
    <w:rsid w:val="00A23B1C"/>
    <w:rsid w:val="00A2412C"/>
    <w:rsid w:val="00A2506E"/>
    <w:rsid w:val="00A268F4"/>
    <w:rsid w:val="00A34BC8"/>
    <w:rsid w:val="00A34D6D"/>
    <w:rsid w:val="00A409CB"/>
    <w:rsid w:val="00A50583"/>
    <w:rsid w:val="00A52AEE"/>
    <w:rsid w:val="00A54AE3"/>
    <w:rsid w:val="00A63CC4"/>
    <w:rsid w:val="00A81E69"/>
    <w:rsid w:val="00A934F6"/>
    <w:rsid w:val="00A95930"/>
    <w:rsid w:val="00AA1EE3"/>
    <w:rsid w:val="00AA46D0"/>
    <w:rsid w:val="00AB2247"/>
    <w:rsid w:val="00AE2C39"/>
    <w:rsid w:val="00AE31DC"/>
    <w:rsid w:val="00AF3CBA"/>
    <w:rsid w:val="00B03408"/>
    <w:rsid w:val="00B03413"/>
    <w:rsid w:val="00B40CE3"/>
    <w:rsid w:val="00B4291C"/>
    <w:rsid w:val="00B47AF2"/>
    <w:rsid w:val="00B65569"/>
    <w:rsid w:val="00B7208A"/>
    <w:rsid w:val="00B720B5"/>
    <w:rsid w:val="00B73561"/>
    <w:rsid w:val="00B91370"/>
    <w:rsid w:val="00B959B2"/>
    <w:rsid w:val="00BA2C77"/>
    <w:rsid w:val="00BA4F56"/>
    <w:rsid w:val="00BB3061"/>
    <w:rsid w:val="00BC4C7E"/>
    <w:rsid w:val="00BC7E1D"/>
    <w:rsid w:val="00BD5EF5"/>
    <w:rsid w:val="00BE09C2"/>
    <w:rsid w:val="00BF6EF0"/>
    <w:rsid w:val="00C1568B"/>
    <w:rsid w:val="00C15F96"/>
    <w:rsid w:val="00C208F3"/>
    <w:rsid w:val="00C33F11"/>
    <w:rsid w:val="00C41C24"/>
    <w:rsid w:val="00C435ED"/>
    <w:rsid w:val="00C455AD"/>
    <w:rsid w:val="00C51CA7"/>
    <w:rsid w:val="00C607C3"/>
    <w:rsid w:val="00C83F96"/>
    <w:rsid w:val="00C944A3"/>
    <w:rsid w:val="00CA74F1"/>
    <w:rsid w:val="00CB50A9"/>
    <w:rsid w:val="00CC437E"/>
    <w:rsid w:val="00CC702B"/>
    <w:rsid w:val="00CC757B"/>
    <w:rsid w:val="00CD6D9A"/>
    <w:rsid w:val="00CE4337"/>
    <w:rsid w:val="00D2146B"/>
    <w:rsid w:val="00D2390D"/>
    <w:rsid w:val="00D26D87"/>
    <w:rsid w:val="00D26F59"/>
    <w:rsid w:val="00D42CFF"/>
    <w:rsid w:val="00D469CB"/>
    <w:rsid w:val="00D473C9"/>
    <w:rsid w:val="00D60DA6"/>
    <w:rsid w:val="00D66171"/>
    <w:rsid w:val="00D705C6"/>
    <w:rsid w:val="00D772C8"/>
    <w:rsid w:val="00D87628"/>
    <w:rsid w:val="00D92B68"/>
    <w:rsid w:val="00D94110"/>
    <w:rsid w:val="00DA196D"/>
    <w:rsid w:val="00DB2D18"/>
    <w:rsid w:val="00DB7B3A"/>
    <w:rsid w:val="00DC373C"/>
    <w:rsid w:val="00DD2452"/>
    <w:rsid w:val="00DD24BB"/>
    <w:rsid w:val="00DE70BB"/>
    <w:rsid w:val="00DF4D4A"/>
    <w:rsid w:val="00DF759E"/>
    <w:rsid w:val="00E0039B"/>
    <w:rsid w:val="00E0060E"/>
    <w:rsid w:val="00E0079C"/>
    <w:rsid w:val="00E012DF"/>
    <w:rsid w:val="00E02409"/>
    <w:rsid w:val="00E10F8F"/>
    <w:rsid w:val="00E145AF"/>
    <w:rsid w:val="00E17738"/>
    <w:rsid w:val="00E20956"/>
    <w:rsid w:val="00E22EA1"/>
    <w:rsid w:val="00E25EDE"/>
    <w:rsid w:val="00E26041"/>
    <w:rsid w:val="00E30B41"/>
    <w:rsid w:val="00E42763"/>
    <w:rsid w:val="00E51662"/>
    <w:rsid w:val="00E56BBB"/>
    <w:rsid w:val="00E63A8B"/>
    <w:rsid w:val="00E653E1"/>
    <w:rsid w:val="00E7496D"/>
    <w:rsid w:val="00E76EAD"/>
    <w:rsid w:val="00E91ECF"/>
    <w:rsid w:val="00E94874"/>
    <w:rsid w:val="00EA0E77"/>
    <w:rsid w:val="00EA4B53"/>
    <w:rsid w:val="00ED5A66"/>
    <w:rsid w:val="00EF28F4"/>
    <w:rsid w:val="00F0668F"/>
    <w:rsid w:val="00F16C89"/>
    <w:rsid w:val="00F23342"/>
    <w:rsid w:val="00F24239"/>
    <w:rsid w:val="00F243D2"/>
    <w:rsid w:val="00F342FD"/>
    <w:rsid w:val="00F35E56"/>
    <w:rsid w:val="00F5176A"/>
    <w:rsid w:val="00F53FC0"/>
    <w:rsid w:val="00F60ABC"/>
    <w:rsid w:val="00F64D3F"/>
    <w:rsid w:val="00F702BE"/>
    <w:rsid w:val="00FB4D84"/>
    <w:rsid w:val="00FB547D"/>
    <w:rsid w:val="00FB73A4"/>
    <w:rsid w:val="00FD05F1"/>
    <w:rsid w:val="00FE1165"/>
    <w:rsid w:val="00FE2946"/>
    <w:rsid w:val="00FE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02C8"/>
  <w15:chartTrackingRefBased/>
  <w15:docId w15:val="{975A0791-BB87-4971-AB4F-DE1716DD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EE"/>
    <w:pPr>
      <w:spacing w:after="0" w:line="240" w:lineRule="auto"/>
    </w:pPr>
    <w:rPr>
      <w:sz w:val="24"/>
    </w:rPr>
  </w:style>
  <w:style w:type="paragraph" w:styleId="Heading1">
    <w:name w:val="heading 1"/>
    <w:basedOn w:val="Normal"/>
    <w:next w:val="Normal"/>
    <w:link w:val="Heading1Char"/>
    <w:autoRedefine/>
    <w:uiPriority w:val="9"/>
    <w:qFormat/>
    <w:rsid w:val="009443B2"/>
    <w:pPr>
      <w:keepNext/>
      <w:keepLines/>
      <w:spacing w:before="240"/>
      <w:ind w:left="360"/>
      <w:outlineLvl w:val="0"/>
    </w:pPr>
    <w:rPr>
      <w:rFonts w:eastAsiaTheme="majorEastAsia" w:cstheme="majorBidi"/>
      <w:b/>
      <w:noProof/>
      <w:color w:val="323E4F" w:themeColor="text2" w:themeShade="BF"/>
      <w:sz w:val="56"/>
      <w:szCs w:val="32"/>
    </w:rPr>
  </w:style>
  <w:style w:type="paragraph" w:styleId="Heading2">
    <w:name w:val="heading 2"/>
    <w:basedOn w:val="Normal"/>
    <w:next w:val="Normal"/>
    <w:link w:val="Heading2Char"/>
    <w:autoRedefine/>
    <w:uiPriority w:val="9"/>
    <w:unhideWhenUsed/>
    <w:qFormat/>
    <w:rsid w:val="008D527A"/>
    <w:pPr>
      <w:keepNext/>
      <w:spacing w:after="240"/>
      <w:outlineLvl w:val="1"/>
    </w:pPr>
    <w:rPr>
      <w:rFonts w:eastAsia="Times New Roman" w:cstheme="majorBidi"/>
      <w:b/>
      <w:color w:val="1F4E79" w:themeColor="accent1" w:themeShade="80"/>
      <w:sz w:val="32"/>
      <w:szCs w:val="26"/>
      <w:lang w:eastAsia="en-GB"/>
    </w:rPr>
  </w:style>
  <w:style w:type="paragraph" w:styleId="Heading3">
    <w:name w:val="heading 3"/>
    <w:basedOn w:val="Normal"/>
    <w:next w:val="Normal"/>
    <w:link w:val="Heading3Char"/>
    <w:autoRedefine/>
    <w:uiPriority w:val="9"/>
    <w:unhideWhenUsed/>
    <w:qFormat/>
    <w:rsid w:val="004E52FE"/>
    <w:pPr>
      <w:keepNext/>
      <w:keepLines/>
      <w:outlineLvl w:val="2"/>
    </w:pPr>
    <w:rPr>
      <w:rFonts w:eastAsiaTheme="majorEastAsia" w:cstheme="majorBidi"/>
      <w:b/>
      <w:color w:val="2E74B5" w:themeColor="accent1" w:themeShade="BF"/>
      <w:sz w:val="28"/>
      <w:szCs w:val="24"/>
    </w:rPr>
  </w:style>
  <w:style w:type="paragraph" w:styleId="Heading4">
    <w:name w:val="heading 4"/>
    <w:basedOn w:val="Normal"/>
    <w:next w:val="Normal"/>
    <w:link w:val="Heading4Char"/>
    <w:autoRedefine/>
    <w:uiPriority w:val="9"/>
    <w:unhideWhenUsed/>
    <w:qFormat/>
    <w:rsid w:val="00A52AEE"/>
    <w:pPr>
      <w:keepNext/>
      <w:keepLines/>
      <w:spacing w:before="40"/>
      <w:outlineLvl w:val="3"/>
    </w:pPr>
    <w:rPr>
      <w:rFonts w:eastAsiaTheme="majorEastAsia"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3B2"/>
    <w:rPr>
      <w:rFonts w:eastAsiaTheme="majorEastAsia" w:cstheme="majorBidi"/>
      <w:b/>
      <w:noProof/>
      <w:color w:val="323E4F" w:themeColor="text2" w:themeShade="BF"/>
      <w:sz w:val="56"/>
      <w:szCs w:val="32"/>
    </w:rPr>
  </w:style>
  <w:style w:type="character" w:customStyle="1" w:styleId="Heading2Char">
    <w:name w:val="Heading 2 Char"/>
    <w:basedOn w:val="DefaultParagraphFont"/>
    <w:link w:val="Heading2"/>
    <w:uiPriority w:val="9"/>
    <w:rsid w:val="008D527A"/>
    <w:rPr>
      <w:rFonts w:eastAsia="Times New Roman" w:cstheme="majorBidi"/>
      <w:b/>
      <w:color w:val="1F4E79" w:themeColor="accent1" w:themeShade="80"/>
      <w:sz w:val="32"/>
      <w:szCs w:val="26"/>
      <w:lang w:eastAsia="en-GB"/>
    </w:rPr>
  </w:style>
  <w:style w:type="character" w:customStyle="1" w:styleId="Heading3Char">
    <w:name w:val="Heading 3 Char"/>
    <w:basedOn w:val="DefaultParagraphFont"/>
    <w:link w:val="Heading3"/>
    <w:uiPriority w:val="9"/>
    <w:rsid w:val="004E52FE"/>
    <w:rPr>
      <w:rFonts w:eastAsiaTheme="majorEastAsia" w:cstheme="majorBidi"/>
      <w:b/>
      <w:color w:val="2E74B5" w:themeColor="accent1" w:themeShade="BF"/>
      <w:sz w:val="28"/>
      <w:szCs w:val="24"/>
    </w:rPr>
  </w:style>
  <w:style w:type="character" w:customStyle="1" w:styleId="Heading4Char">
    <w:name w:val="Heading 4 Char"/>
    <w:basedOn w:val="DefaultParagraphFont"/>
    <w:link w:val="Heading4"/>
    <w:uiPriority w:val="9"/>
    <w:rsid w:val="00A52AEE"/>
    <w:rPr>
      <w:rFonts w:eastAsiaTheme="majorEastAsia" w:cstheme="majorBidi"/>
      <w:iCs/>
      <w:color w:val="2E74B5" w:themeColor="accent1" w:themeShade="BF"/>
      <w:sz w:val="28"/>
    </w:rPr>
  </w:style>
  <w:style w:type="paragraph" w:styleId="Title">
    <w:name w:val="Title"/>
    <w:basedOn w:val="Normal"/>
    <w:next w:val="Normal"/>
    <w:link w:val="TitleChar"/>
    <w:uiPriority w:val="10"/>
    <w:qFormat/>
    <w:rsid w:val="001027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70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469CB"/>
    <w:pPr>
      <w:spacing w:line="259" w:lineRule="auto"/>
      <w:outlineLvl w:val="9"/>
    </w:pPr>
    <w:rPr>
      <w:rFonts w:asciiTheme="majorHAnsi" w:hAnsiTheme="majorHAnsi"/>
      <w:b w:val="0"/>
      <w:noProof w:val="0"/>
      <w:color w:val="2E74B5" w:themeColor="accent1" w:themeShade="BF"/>
      <w:sz w:val="32"/>
      <w:lang w:val="en-US"/>
    </w:rPr>
  </w:style>
  <w:style w:type="paragraph" w:styleId="TOC1">
    <w:name w:val="toc 1"/>
    <w:basedOn w:val="Normal"/>
    <w:next w:val="Normal"/>
    <w:autoRedefine/>
    <w:uiPriority w:val="39"/>
    <w:unhideWhenUsed/>
    <w:rsid w:val="006B7284"/>
    <w:pPr>
      <w:tabs>
        <w:tab w:val="left" w:pos="480"/>
        <w:tab w:val="right" w:leader="dot" w:pos="9571"/>
      </w:tabs>
      <w:spacing w:after="100"/>
    </w:pPr>
    <w:rPr>
      <w:b/>
      <w:noProof/>
    </w:rPr>
  </w:style>
  <w:style w:type="character" w:styleId="Hyperlink">
    <w:name w:val="Hyperlink"/>
    <w:basedOn w:val="DefaultParagraphFont"/>
    <w:uiPriority w:val="99"/>
    <w:unhideWhenUsed/>
    <w:rsid w:val="00D469CB"/>
    <w:rPr>
      <w:color w:val="0563C1" w:themeColor="hyperlink"/>
      <w:u w:val="single"/>
    </w:rPr>
  </w:style>
  <w:style w:type="paragraph" w:styleId="ListParagraph">
    <w:name w:val="List Paragraph"/>
    <w:basedOn w:val="Normal"/>
    <w:uiPriority w:val="34"/>
    <w:qFormat/>
    <w:rsid w:val="00D469CB"/>
    <w:pPr>
      <w:ind w:left="720"/>
      <w:contextualSpacing/>
    </w:pPr>
  </w:style>
  <w:style w:type="character" w:styleId="Emphasis">
    <w:name w:val="Emphasis"/>
    <w:basedOn w:val="DefaultParagraphFont"/>
    <w:qFormat/>
    <w:rsid w:val="003D034C"/>
    <w:rPr>
      <w:i/>
      <w:iCs/>
    </w:rPr>
  </w:style>
  <w:style w:type="paragraph" w:styleId="FootnoteText">
    <w:name w:val="footnote text"/>
    <w:basedOn w:val="Normal"/>
    <w:link w:val="FootnoteTextChar"/>
    <w:uiPriority w:val="99"/>
    <w:rsid w:val="003D034C"/>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3D034C"/>
    <w:rPr>
      <w:rFonts w:ascii="Arial" w:eastAsia="Times New Roman" w:hAnsi="Arial" w:cs="Times New Roman"/>
      <w:sz w:val="20"/>
      <w:szCs w:val="20"/>
      <w:lang w:eastAsia="en-GB"/>
    </w:rPr>
  </w:style>
  <w:style w:type="character" w:styleId="FootnoteReference">
    <w:name w:val="footnote reference"/>
    <w:uiPriority w:val="99"/>
    <w:rsid w:val="003D034C"/>
    <w:rPr>
      <w:vertAlign w:val="superscript"/>
    </w:rPr>
  </w:style>
  <w:style w:type="paragraph" w:styleId="NoSpacing">
    <w:name w:val="No Spacing"/>
    <w:uiPriority w:val="1"/>
    <w:qFormat/>
    <w:rsid w:val="003D034C"/>
    <w:pPr>
      <w:spacing w:after="0" w:line="240" w:lineRule="auto"/>
    </w:pPr>
    <w:rPr>
      <w:rFonts w:eastAsiaTheme="minorEastAsia"/>
      <w:sz w:val="24"/>
      <w:lang w:eastAsia="en-GB"/>
    </w:rPr>
  </w:style>
  <w:style w:type="paragraph" w:customStyle="1" w:styleId="TableTitleRomanWhite">
    <w:name w:val="Table Title Roman White"/>
    <w:basedOn w:val="Normal"/>
    <w:rsid w:val="003D034C"/>
    <w:pPr>
      <w:ind w:left="113" w:right="113"/>
    </w:pPr>
    <w:rPr>
      <w:rFonts w:eastAsia="Times New Roman" w:cs="Times New Roman"/>
      <w:b/>
      <w:color w:val="FFFFFF"/>
      <w:szCs w:val="24"/>
    </w:rPr>
  </w:style>
  <w:style w:type="paragraph" w:styleId="TOC2">
    <w:name w:val="toc 2"/>
    <w:basedOn w:val="Normal"/>
    <w:next w:val="Normal"/>
    <w:autoRedefine/>
    <w:uiPriority w:val="39"/>
    <w:unhideWhenUsed/>
    <w:rsid w:val="00E02409"/>
    <w:pPr>
      <w:spacing w:after="100"/>
      <w:ind w:left="240"/>
    </w:pPr>
  </w:style>
  <w:style w:type="paragraph" w:styleId="TOC3">
    <w:name w:val="toc 3"/>
    <w:basedOn w:val="Normal"/>
    <w:next w:val="Normal"/>
    <w:autoRedefine/>
    <w:uiPriority w:val="39"/>
    <w:unhideWhenUsed/>
    <w:rsid w:val="00E02409"/>
    <w:pPr>
      <w:spacing w:after="100"/>
      <w:ind w:left="480"/>
    </w:pPr>
  </w:style>
  <w:style w:type="character" w:customStyle="1" w:styleId="st">
    <w:name w:val="st"/>
    <w:basedOn w:val="DefaultParagraphFont"/>
    <w:rsid w:val="00E02409"/>
  </w:style>
  <w:style w:type="paragraph" w:customStyle="1" w:styleId="TableText">
    <w:name w:val="Table Text"/>
    <w:basedOn w:val="Normal"/>
    <w:rsid w:val="00E02409"/>
    <w:pPr>
      <w:spacing w:after="80"/>
      <w:ind w:left="113" w:right="113"/>
    </w:pPr>
    <w:rPr>
      <w:rFonts w:eastAsia="Times New Roman" w:cs="Times New Roman"/>
      <w:b/>
      <w:szCs w:val="24"/>
    </w:rPr>
  </w:style>
  <w:style w:type="paragraph" w:customStyle="1" w:styleId="Tabletextnon-bold">
    <w:name w:val="Table text non-bold"/>
    <w:basedOn w:val="TableText"/>
    <w:qFormat/>
    <w:rsid w:val="00E02409"/>
    <w:rPr>
      <w:b w:val="0"/>
    </w:rPr>
  </w:style>
  <w:style w:type="table" w:styleId="TableGrid">
    <w:name w:val="Table Grid"/>
    <w:basedOn w:val="TableNormal"/>
    <w:uiPriority w:val="59"/>
    <w:rsid w:val="00C208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8F3"/>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ibliography">
    <w:name w:val="Bibliography"/>
    <w:basedOn w:val="Normal"/>
    <w:next w:val="Normal"/>
    <w:uiPriority w:val="37"/>
    <w:unhideWhenUsed/>
    <w:rsid w:val="00C208F3"/>
  </w:style>
  <w:style w:type="paragraph" w:styleId="Header">
    <w:name w:val="header"/>
    <w:basedOn w:val="Normal"/>
    <w:link w:val="HeaderChar"/>
    <w:uiPriority w:val="99"/>
    <w:unhideWhenUsed/>
    <w:rsid w:val="00F60ABC"/>
    <w:pPr>
      <w:tabs>
        <w:tab w:val="center" w:pos="4513"/>
        <w:tab w:val="right" w:pos="9026"/>
      </w:tabs>
    </w:pPr>
  </w:style>
  <w:style w:type="character" w:customStyle="1" w:styleId="HeaderChar">
    <w:name w:val="Header Char"/>
    <w:basedOn w:val="DefaultParagraphFont"/>
    <w:link w:val="Header"/>
    <w:uiPriority w:val="99"/>
    <w:rsid w:val="00F60ABC"/>
    <w:rPr>
      <w:rFonts w:ascii="Arial" w:hAnsi="Arial"/>
      <w:sz w:val="24"/>
    </w:rPr>
  </w:style>
  <w:style w:type="paragraph" w:styleId="Footer">
    <w:name w:val="footer"/>
    <w:basedOn w:val="Normal"/>
    <w:link w:val="FooterChar"/>
    <w:uiPriority w:val="99"/>
    <w:unhideWhenUsed/>
    <w:rsid w:val="00F60ABC"/>
    <w:pPr>
      <w:tabs>
        <w:tab w:val="center" w:pos="4513"/>
        <w:tab w:val="right" w:pos="9026"/>
      </w:tabs>
    </w:pPr>
  </w:style>
  <w:style w:type="character" w:customStyle="1" w:styleId="FooterChar">
    <w:name w:val="Footer Char"/>
    <w:basedOn w:val="DefaultParagraphFont"/>
    <w:link w:val="Footer"/>
    <w:uiPriority w:val="99"/>
    <w:rsid w:val="00F60ABC"/>
    <w:rPr>
      <w:rFonts w:ascii="Arial" w:hAnsi="Arial"/>
      <w:sz w:val="24"/>
    </w:rPr>
  </w:style>
  <w:style w:type="paragraph" w:styleId="BalloonText">
    <w:name w:val="Balloon Text"/>
    <w:basedOn w:val="Normal"/>
    <w:link w:val="BalloonTextChar"/>
    <w:uiPriority w:val="99"/>
    <w:semiHidden/>
    <w:unhideWhenUsed/>
    <w:rsid w:val="006D1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77">
      <w:bodyDiv w:val="1"/>
      <w:marLeft w:val="0"/>
      <w:marRight w:val="0"/>
      <w:marTop w:val="0"/>
      <w:marBottom w:val="0"/>
      <w:divBdr>
        <w:top w:val="none" w:sz="0" w:space="0" w:color="auto"/>
        <w:left w:val="none" w:sz="0" w:space="0" w:color="auto"/>
        <w:bottom w:val="none" w:sz="0" w:space="0" w:color="auto"/>
        <w:right w:val="none" w:sz="0" w:space="0" w:color="auto"/>
      </w:divBdr>
    </w:div>
    <w:div w:id="12922882">
      <w:bodyDiv w:val="1"/>
      <w:marLeft w:val="0"/>
      <w:marRight w:val="0"/>
      <w:marTop w:val="0"/>
      <w:marBottom w:val="0"/>
      <w:divBdr>
        <w:top w:val="none" w:sz="0" w:space="0" w:color="auto"/>
        <w:left w:val="none" w:sz="0" w:space="0" w:color="auto"/>
        <w:bottom w:val="none" w:sz="0" w:space="0" w:color="auto"/>
        <w:right w:val="none" w:sz="0" w:space="0" w:color="auto"/>
      </w:divBdr>
    </w:div>
    <w:div w:id="18431066">
      <w:bodyDiv w:val="1"/>
      <w:marLeft w:val="0"/>
      <w:marRight w:val="0"/>
      <w:marTop w:val="0"/>
      <w:marBottom w:val="0"/>
      <w:divBdr>
        <w:top w:val="none" w:sz="0" w:space="0" w:color="auto"/>
        <w:left w:val="none" w:sz="0" w:space="0" w:color="auto"/>
        <w:bottom w:val="none" w:sz="0" w:space="0" w:color="auto"/>
        <w:right w:val="none" w:sz="0" w:space="0" w:color="auto"/>
      </w:divBdr>
    </w:div>
    <w:div w:id="19860361">
      <w:bodyDiv w:val="1"/>
      <w:marLeft w:val="0"/>
      <w:marRight w:val="0"/>
      <w:marTop w:val="0"/>
      <w:marBottom w:val="0"/>
      <w:divBdr>
        <w:top w:val="none" w:sz="0" w:space="0" w:color="auto"/>
        <w:left w:val="none" w:sz="0" w:space="0" w:color="auto"/>
        <w:bottom w:val="none" w:sz="0" w:space="0" w:color="auto"/>
        <w:right w:val="none" w:sz="0" w:space="0" w:color="auto"/>
      </w:divBdr>
    </w:div>
    <w:div w:id="26684284">
      <w:bodyDiv w:val="1"/>
      <w:marLeft w:val="0"/>
      <w:marRight w:val="0"/>
      <w:marTop w:val="0"/>
      <w:marBottom w:val="0"/>
      <w:divBdr>
        <w:top w:val="none" w:sz="0" w:space="0" w:color="auto"/>
        <w:left w:val="none" w:sz="0" w:space="0" w:color="auto"/>
        <w:bottom w:val="none" w:sz="0" w:space="0" w:color="auto"/>
        <w:right w:val="none" w:sz="0" w:space="0" w:color="auto"/>
      </w:divBdr>
    </w:div>
    <w:div w:id="36205405">
      <w:bodyDiv w:val="1"/>
      <w:marLeft w:val="0"/>
      <w:marRight w:val="0"/>
      <w:marTop w:val="0"/>
      <w:marBottom w:val="0"/>
      <w:divBdr>
        <w:top w:val="none" w:sz="0" w:space="0" w:color="auto"/>
        <w:left w:val="none" w:sz="0" w:space="0" w:color="auto"/>
        <w:bottom w:val="none" w:sz="0" w:space="0" w:color="auto"/>
        <w:right w:val="none" w:sz="0" w:space="0" w:color="auto"/>
      </w:divBdr>
    </w:div>
    <w:div w:id="38745190">
      <w:bodyDiv w:val="1"/>
      <w:marLeft w:val="0"/>
      <w:marRight w:val="0"/>
      <w:marTop w:val="0"/>
      <w:marBottom w:val="0"/>
      <w:divBdr>
        <w:top w:val="none" w:sz="0" w:space="0" w:color="auto"/>
        <w:left w:val="none" w:sz="0" w:space="0" w:color="auto"/>
        <w:bottom w:val="none" w:sz="0" w:space="0" w:color="auto"/>
        <w:right w:val="none" w:sz="0" w:space="0" w:color="auto"/>
      </w:divBdr>
    </w:div>
    <w:div w:id="49311612">
      <w:bodyDiv w:val="1"/>
      <w:marLeft w:val="0"/>
      <w:marRight w:val="0"/>
      <w:marTop w:val="0"/>
      <w:marBottom w:val="0"/>
      <w:divBdr>
        <w:top w:val="none" w:sz="0" w:space="0" w:color="auto"/>
        <w:left w:val="none" w:sz="0" w:space="0" w:color="auto"/>
        <w:bottom w:val="none" w:sz="0" w:space="0" w:color="auto"/>
        <w:right w:val="none" w:sz="0" w:space="0" w:color="auto"/>
      </w:divBdr>
    </w:div>
    <w:div w:id="55594033">
      <w:bodyDiv w:val="1"/>
      <w:marLeft w:val="0"/>
      <w:marRight w:val="0"/>
      <w:marTop w:val="0"/>
      <w:marBottom w:val="0"/>
      <w:divBdr>
        <w:top w:val="none" w:sz="0" w:space="0" w:color="auto"/>
        <w:left w:val="none" w:sz="0" w:space="0" w:color="auto"/>
        <w:bottom w:val="none" w:sz="0" w:space="0" w:color="auto"/>
        <w:right w:val="none" w:sz="0" w:space="0" w:color="auto"/>
      </w:divBdr>
    </w:div>
    <w:div w:id="64570688">
      <w:bodyDiv w:val="1"/>
      <w:marLeft w:val="0"/>
      <w:marRight w:val="0"/>
      <w:marTop w:val="0"/>
      <w:marBottom w:val="0"/>
      <w:divBdr>
        <w:top w:val="none" w:sz="0" w:space="0" w:color="auto"/>
        <w:left w:val="none" w:sz="0" w:space="0" w:color="auto"/>
        <w:bottom w:val="none" w:sz="0" w:space="0" w:color="auto"/>
        <w:right w:val="none" w:sz="0" w:space="0" w:color="auto"/>
      </w:divBdr>
    </w:div>
    <w:div w:id="66877829">
      <w:bodyDiv w:val="1"/>
      <w:marLeft w:val="0"/>
      <w:marRight w:val="0"/>
      <w:marTop w:val="0"/>
      <w:marBottom w:val="0"/>
      <w:divBdr>
        <w:top w:val="none" w:sz="0" w:space="0" w:color="auto"/>
        <w:left w:val="none" w:sz="0" w:space="0" w:color="auto"/>
        <w:bottom w:val="none" w:sz="0" w:space="0" w:color="auto"/>
        <w:right w:val="none" w:sz="0" w:space="0" w:color="auto"/>
      </w:divBdr>
    </w:div>
    <w:div w:id="67002629">
      <w:bodyDiv w:val="1"/>
      <w:marLeft w:val="0"/>
      <w:marRight w:val="0"/>
      <w:marTop w:val="0"/>
      <w:marBottom w:val="0"/>
      <w:divBdr>
        <w:top w:val="none" w:sz="0" w:space="0" w:color="auto"/>
        <w:left w:val="none" w:sz="0" w:space="0" w:color="auto"/>
        <w:bottom w:val="none" w:sz="0" w:space="0" w:color="auto"/>
        <w:right w:val="none" w:sz="0" w:space="0" w:color="auto"/>
      </w:divBdr>
    </w:div>
    <w:div w:id="68770705">
      <w:bodyDiv w:val="1"/>
      <w:marLeft w:val="0"/>
      <w:marRight w:val="0"/>
      <w:marTop w:val="0"/>
      <w:marBottom w:val="0"/>
      <w:divBdr>
        <w:top w:val="none" w:sz="0" w:space="0" w:color="auto"/>
        <w:left w:val="none" w:sz="0" w:space="0" w:color="auto"/>
        <w:bottom w:val="none" w:sz="0" w:space="0" w:color="auto"/>
        <w:right w:val="none" w:sz="0" w:space="0" w:color="auto"/>
      </w:divBdr>
    </w:div>
    <w:div w:id="69277686">
      <w:bodyDiv w:val="1"/>
      <w:marLeft w:val="0"/>
      <w:marRight w:val="0"/>
      <w:marTop w:val="0"/>
      <w:marBottom w:val="0"/>
      <w:divBdr>
        <w:top w:val="none" w:sz="0" w:space="0" w:color="auto"/>
        <w:left w:val="none" w:sz="0" w:space="0" w:color="auto"/>
        <w:bottom w:val="none" w:sz="0" w:space="0" w:color="auto"/>
        <w:right w:val="none" w:sz="0" w:space="0" w:color="auto"/>
      </w:divBdr>
    </w:div>
    <w:div w:id="77993396">
      <w:bodyDiv w:val="1"/>
      <w:marLeft w:val="0"/>
      <w:marRight w:val="0"/>
      <w:marTop w:val="0"/>
      <w:marBottom w:val="0"/>
      <w:divBdr>
        <w:top w:val="none" w:sz="0" w:space="0" w:color="auto"/>
        <w:left w:val="none" w:sz="0" w:space="0" w:color="auto"/>
        <w:bottom w:val="none" w:sz="0" w:space="0" w:color="auto"/>
        <w:right w:val="none" w:sz="0" w:space="0" w:color="auto"/>
      </w:divBdr>
    </w:div>
    <w:div w:id="85615251">
      <w:bodyDiv w:val="1"/>
      <w:marLeft w:val="0"/>
      <w:marRight w:val="0"/>
      <w:marTop w:val="0"/>
      <w:marBottom w:val="0"/>
      <w:divBdr>
        <w:top w:val="none" w:sz="0" w:space="0" w:color="auto"/>
        <w:left w:val="none" w:sz="0" w:space="0" w:color="auto"/>
        <w:bottom w:val="none" w:sz="0" w:space="0" w:color="auto"/>
        <w:right w:val="none" w:sz="0" w:space="0" w:color="auto"/>
      </w:divBdr>
    </w:div>
    <w:div w:id="91319606">
      <w:bodyDiv w:val="1"/>
      <w:marLeft w:val="0"/>
      <w:marRight w:val="0"/>
      <w:marTop w:val="0"/>
      <w:marBottom w:val="0"/>
      <w:divBdr>
        <w:top w:val="none" w:sz="0" w:space="0" w:color="auto"/>
        <w:left w:val="none" w:sz="0" w:space="0" w:color="auto"/>
        <w:bottom w:val="none" w:sz="0" w:space="0" w:color="auto"/>
        <w:right w:val="none" w:sz="0" w:space="0" w:color="auto"/>
      </w:divBdr>
    </w:div>
    <w:div w:id="94061640">
      <w:bodyDiv w:val="1"/>
      <w:marLeft w:val="0"/>
      <w:marRight w:val="0"/>
      <w:marTop w:val="0"/>
      <w:marBottom w:val="0"/>
      <w:divBdr>
        <w:top w:val="none" w:sz="0" w:space="0" w:color="auto"/>
        <w:left w:val="none" w:sz="0" w:space="0" w:color="auto"/>
        <w:bottom w:val="none" w:sz="0" w:space="0" w:color="auto"/>
        <w:right w:val="none" w:sz="0" w:space="0" w:color="auto"/>
      </w:divBdr>
    </w:div>
    <w:div w:id="97334823">
      <w:bodyDiv w:val="1"/>
      <w:marLeft w:val="0"/>
      <w:marRight w:val="0"/>
      <w:marTop w:val="0"/>
      <w:marBottom w:val="0"/>
      <w:divBdr>
        <w:top w:val="none" w:sz="0" w:space="0" w:color="auto"/>
        <w:left w:val="none" w:sz="0" w:space="0" w:color="auto"/>
        <w:bottom w:val="none" w:sz="0" w:space="0" w:color="auto"/>
        <w:right w:val="none" w:sz="0" w:space="0" w:color="auto"/>
      </w:divBdr>
    </w:div>
    <w:div w:id="100418564">
      <w:bodyDiv w:val="1"/>
      <w:marLeft w:val="0"/>
      <w:marRight w:val="0"/>
      <w:marTop w:val="0"/>
      <w:marBottom w:val="0"/>
      <w:divBdr>
        <w:top w:val="none" w:sz="0" w:space="0" w:color="auto"/>
        <w:left w:val="none" w:sz="0" w:space="0" w:color="auto"/>
        <w:bottom w:val="none" w:sz="0" w:space="0" w:color="auto"/>
        <w:right w:val="none" w:sz="0" w:space="0" w:color="auto"/>
      </w:divBdr>
    </w:div>
    <w:div w:id="101460697">
      <w:bodyDiv w:val="1"/>
      <w:marLeft w:val="0"/>
      <w:marRight w:val="0"/>
      <w:marTop w:val="0"/>
      <w:marBottom w:val="0"/>
      <w:divBdr>
        <w:top w:val="none" w:sz="0" w:space="0" w:color="auto"/>
        <w:left w:val="none" w:sz="0" w:space="0" w:color="auto"/>
        <w:bottom w:val="none" w:sz="0" w:space="0" w:color="auto"/>
        <w:right w:val="none" w:sz="0" w:space="0" w:color="auto"/>
      </w:divBdr>
    </w:div>
    <w:div w:id="107165772">
      <w:bodyDiv w:val="1"/>
      <w:marLeft w:val="0"/>
      <w:marRight w:val="0"/>
      <w:marTop w:val="0"/>
      <w:marBottom w:val="0"/>
      <w:divBdr>
        <w:top w:val="none" w:sz="0" w:space="0" w:color="auto"/>
        <w:left w:val="none" w:sz="0" w:space="0" w:color="auto"/>
        <w:bottom w:val="none" w:sz="0" w:space="0" w:color="auto"/>
        <w:right w:val="none" w:sz="0" w:space="0" w:color="auto"/>
      </w:divBdr>
    </w:div>
    <w:div w:id="109476108">
      <w:bodyDiv w:val="1"/>
      <w:marLeft w:val="0"/>
      <w:marRight w:val="0"/>
      <w:marTop w:val="0"/>
      <w:marBottom w:val="0"/>
      <w:divBdr>
        <w:top w:val="none" w:sz="0" w:space="0" w:color="auto"/>
        <w:left w:val="none" w:sz="0" w:space="0" w:color="auto"/>
        <w:bottom w:val="none" w:sz="0" w:space="0" w:color="auto"/>
        <w:right w:val="none" w:sz="0" w:space="0" w:color="auto"/>
      </w:divBdr>
    </w:div>
    <w:div w:id="112944009">
      <w:bodyDiv w:val="1"/>
      <w:marLeft w:val="0"/>
      <w:marRight w:val="0"/>
      <w:marTop w:val="0"/>
      <w:marBottom w:val="0"/>
      <w:divBdr>
        <w:top w:val="none" w:sz="0" w:space="0" w:color="auto"/>
        <w:left w:val="none" w:sz="0" w:space="0" w:color="auto"/>
        <w:bottom w:val="none" w:sz="0" w:space="0" w:color="auto"/>
        <w:right w:val="none" w:sz="0" w:space="0" w:color="auto"/>
      </w:divBdr>
    </w:div>
    <w:div w:id="113913421">
      <w:bodyDiv w:val="1"/>
      <w:marLeft w:val="0"/>
      <w:marRight w:val="0"/>
      <w:marTop w:val="0"/>
      <w:marBottom w:val="0"/>
      <w:divBdr>
        <w:top w:val="none" w:sz="0" w:space="0" w:color="auto"/>
        <w:left w:val="none" w:sz="0" w:space="0" w:color="auto"/>
        <w:bottom w:val="none" w:sz="0" w:space="0" w:color="auto"/>
        <w:right w:val="none" w:sz="0" w:space="0" w:color="auto"/>
      </w:divBdr>
    </w:div>
    <w:div w:id="114326732">
      <w:bodyDiv w:val="1"/>
      <w:marLeft w:val="0"/>
      <w:marRight w:val="0"/>
      <w:marTop w:val="0"/>
      <w:marBottom w:val="0"/>
      <w:divBdr>
        <w:top w:val="none" w:sz="0" w:space="0" w:color="auto"/>
        <w:left w:val="none" w:sz="0" w:space="0" w:color="auto"/>
        <w:bottom w:val="none" w:sz="0" w:space="0" w:color="auto"/>
        <w:right w:val="none" w:sz="0" w:space="0" w:color="auto"/>
      </w:divBdr>
    </w:div>
    <w:div w:id="140466107">
      <w:bodyDiv w:val="1"/>
      <w:marLeft w:val="0"/>
      <w:marRight w:val="0"/>
      <w:marTop w:val="0"/>
      <w:marBottom w:val="0"/>
      <w:divBdr>
        <w:top w:val="none" w:sz="0" w:space="0" w:color="auto"/>
        <w:left w:val="none" w:sz="0" w:space="0" w:color="auto"/>
        <w:bottom w:val="none" w:sz="0" w:space="0" w:color="auto"/>
        <w:right w:val="none" w:sz="0" w:space="0" w:color="auto"/>
      </w:divBdr>
    </w:div>
    <w:div w:id="142741534">
      <w:bodyDiv w:val="1"/>
      <w:marLeft w:val="0"/>
      <w:marRight w:val="0"/>
      <w:marTop w:val="0"/>
      <w:marBottom w:val="0"/>
      <w:divBdr>
        <w:top w:val="none" w:sz="0" w:space="0" w:color="auto"/>
        <w:left w:val="none" w:sz="0" w:space="0" w:color="auto"/>
        <w:bottom w:val="none" w:sz="0" w:space="0" w:color="auto"/>
        <w:right w:val="none" w:sz="0" w:space="0" w:color="auto"/>
      </w:divBdr>
    </w:div>
    <w:div w:id="146286849">
      <w:bodyDiv w:val="1"/>
      <w:marLeft w:val="0"/>
      <w:marRight w:val="0"/>
      <w:marTop w:val="0"/>
      <w:marBottom w:val="0"/>
      <w:divBdr>
        <w:top w:val="none" w:sz="0" w:space="0" w:color="auto"/>
        <w:left w:val="none" w:sz="0" w:space="0" w:color="auto"/>
        <w:bottom w:val="none" w:sz="0" w:space="0" w:color="auto"/>
        <w:right w:val="none" w:sz="0" w:space="0" w:color="auto"/>
      </w:divBdr>
    </w:div>
    <w:div w:id="153305100">
      <w:bodyDiv w:val="1"/>
      <w:marLeft w:val="0"/>
      <w:marRight w:val="0"/>
      <w:marTop w:val="0"/>
      <w:marBottom w:val="0"/>
      <w:divBdr>
        <w:top w:val="none" w:sz="0" w:space="0" w:color="auto"/>
        <w:left w:val="none" w:sz="0" w:space="0" w:color="auto"/>
        <w:bottom w:val="none" w:sz="0" w:space="0" w:color="auto"/>
        <w:right w:val="none" w:sz="0" w:space="0" w:color="auto"/>
      </w:divBdr>
    </w:div>
    <w:div w:id="155849869">
      <w:bodyDiv w:val="1"/>
      <w:marLeft w:val="0"/>
      <w:marRight w:val="0"/>
      <w:marTop w:val="0"/>
      <w:marBottom w:val="0"/>
      <w:divBdr>
        <w:top w:val="none" w:sz="0" w:space="0" w:color="auto"/>
        <w:left w:val="none" w:sz="0" w:space="0" w:color="auto"/>
        <w:bottom w:val="none" w:sz="0" w:space="0" w:color="auto"/>
        <w:right w:val="none" w:sz="0" w:space="0" w:color="auto"/>
      </w:divBdr>
    </w:div>
    <w:div w:id="160119240">
      <w:bodyDiv w:val="1"/>
      <w:marLeft w:val="0"/>
      <w:marRight w:val="0"/>
      <w:marTop w:val="0"/>
      <w:marBottom w:val="0"/>
      <w:divBdr>
        <w:top w:val="none" w:sz="0" w:space="0" w:color="auto"/>
        <w:left w:val="none" w:sz="0" w:space="0" w:color="auto"/>
        <w:bottom w:val="none" w:sz="0" w:space="0" w:color="auto"/>
        <w:right w:val="none" w:sz="0" w:space="0" w:color="auto"/>
      </w:divBdr>
    </w:div>
    <w:div w:id="163596111">
      <w:bodyDiv w:val="1"/>
      <w:marLeft w:val="0"/>
      <w:marRight w:val="0"/>
      <w:marTop w:val="0"/>
      <w:marBottom w:val="0"/>
      <w:divBdr>
        <w:top w:val="none" w:sz="0" w:space="0" w:color="auto"/>
        <w:left w:val="none" w:sz="0" w:space="0" w:color="auto"/>
        <w:bottom w:val="none" w:sz="0" w:space="0" w:color="auto"/>
        <w:right w:val="none" w:sz="0" w:space="0" w:color="auto"/>
      </w:divBdr>
    </w:div>
    <w:div w:id="163790594">
      <w:bodyDiv w:val="1"/>
      <w:marLeft w:val="0"/>
      <w:marRight w:val="0"/>
      <w:marTop w:val="0"/>
      <w:marBottom w:val="0"/>
      <w:divBdr>
        <w:top w:val="none" w:sz="0" w:space="0" w:color="auto"/>
        <w:left w:val="none" w:sz="0" w:space="0" w:color="auto"/>
        <w:bottom w:val="none" w:sz="0" w:space="0" w:color="auto"/>
        <w:right w:val="none" w:sz="0" w:space="0" w:color="auto"/>
      </w:divBdr>
    </w:div>
    <w:div w:id="182213955">
      <w:bodyDiv w:val="1"/>
      <w:marLeft w:val="0"/>
      <w:marRight w:val="0"/>
      <w:marTop w:val="0"/>
      <w:marBottom w:val="0"/>
      <w:divBdr>
        <w:top w:val="none" w:sz="0" w:space="0" w:color="auto"/>
        <w:left w:val="none" w:sz="0" w:space="0" w:color="auto"/>
        <w:bottom w:val="none" w:sz="0" w:space="0" w:color="auto"/>
        <w:right w:val="none" w:sz="0" w:space="0" w:color="auto"/>
      </w:divBdr>
    </w:div>
    <w:div w:id="184560017">
      <w:bodyDiv w:val="1"/>
      <w:marLeft w:val="0"/>
      <w:marRight w:val="0"/>
      <w:marTop w:val="0"/>
      <w:marBottom w:val="0"/>
      <w:divBdr>
        <w:top w:val="none" w:sz="0" w:space="0" w:color="auto"/>
        <w:left w:val="none" w:sz="0" w:space="0" w:color="auto"/>
        <w:bottom w:val="none" w:sz="0" w:space="0" w:color="auto"/>
        <w:right w:val="none" w:sz="0" w:space="0" w:color="auto"/>
      </w:divBdr>
    </w:div>
    <w:div w:id="202182973">
      <w:bodyDiv w:val="1"/>
      <w:marLeft w:val="0"/>
      <w:marRight w:val="0"/>
      <w:marTop w:val="0"/>
      <w:marBottom w:val="0"/>
      <w:divBdr>
        <w:top w:val="none" w:sz="0" w:space="0" w:color="auto"/>
        <w:left w:val="none" w:sz="0" w:space="0" w:color="auto"/>
        <w:bottom w:val="none" w:sz="0" w:space="0" w:color="auto"/>
        <w:right w:val="none" w:sz="0" w:space="0" w:color="auto"/>
      </w:divBdr>
    </w:div>
    <w:div w:id="205259905">
      <w:bodyDiv w:val="1"/>
      <w:marLeft w:val="0"/>
      <w:marRight w:val="0"/>
      <w:marTop w:val="0"/>
      <w:marBottom w:val="0"/>
      <w:divBdr>
        <w:top w:val="none" w:sz="0" w:space="0" w:color="auto"/>
        <w:left w:val="none" w:sz="0" w:space="0" w:color="auto"/>
        <w:bottom w:val="none" w:sz="0" w:space="0" w:color="auto"/>
        <w:right w:val="none" w:sz="0" w:space="0" w:color="auto"/>
      </w:divBdr>
    </w:div>
    <w:div w:id="216626353">
      <w:bodyDiv w:val="1"/>
      <w:marLeft w:val="0"/>
      <w:marRight w:val="0"/>
      <w:marTop w:val="0"/>
      <w:marBottom w:val="0"/>
      <w:divBdr>
        <w:top w:val="none" w:sz="0" w:space="0" w:color="auto"/>
        <w:left w:val="none" w:sz="0" w:space="0" w:color="auto"/>
        <w:bottom w:val="none" w:sz="0" w:space="0" w:color="auto"/>
        <w:right w:val="none" w:sz="0" w:space="0" w:color="auto"/>
      </w:divBdr>
    </w:div>
    <w:div w:id="226644968">
      <w:bodyDiv w:val="1"/>
      <w:marLeft w:val="0"/>
      <w:marRight w:val="0"/>
      <w:marTop w:val="0"/>
      <w:marBottom w:val="0"/>
      <w:divBdr>
        <w:top w:val="none" w:sz="0" w:space="0" w:color="auto"/>
        <w:left w:val="none" w:sz="0" w:space="0" w:color="auto"/>
        <w:bottom w:val="none" w:sz="0" w:space="0" w:color="auto"/>
        <w:right w:val="none" w:sz="0" w:space="0" w:color="auto"/>
      </w:divBdr>
    </w:div>
    <w:div w:id="231817538">
      <w:bodyDiv w:val="1"/>
      <w:marLeft w:val="0"/>
      <w:marRight w:val="0"/>
      <w:marTop w:val="0"/>
      <w:marBottom w:val="0"/>
      <w:divBdr>
        <w:top w:val="none" w:sz="0" w:space="0" w:color="auto"/>
        <w:left w:val="none" w:sz="0" w:space="0" w:color="auto"/>
        <w:bottom w:val="none" w:sz="0" w:space="0" w:color="auto"/>
        <w:right w:val="none" w:sz="0" w:space="0" w:color="auto"/>
      </w:divBdr>
    </w:div>
    <w:div w:id="237910581">
      <w:bodyDiv w:val="1"/>
      <w:marLeft w:val="0"/>
      <w:marRight w:val="0"/>
      <w:marTop w:val="0"/>
      <w:marBottom w:val="0"/>
      <w:divBdr>
        <w:top w:val="none" w:sz="0" w:space="0" w:color="auto"/>
        <w:left w:val="none" w:sz="0" w:space="0" w:color="auto"/>
        <w:bottom w:val="none" w:sz="0" w:space="0" w:color="auto"/>
        <w:right w:val="none" w:sz="0" w:space="0" w:color="auto"/>
      </w:divBdr>
    </w:div>
    <w:div w:id="248470239">
      <w:bodyDiv w:val="1"/>
      <w:marLeft w:val="0"/>
      <w:marRight w:val="0"/>
      <w:marTop w:val="0"/>
      <w:marBottom w:val="0"/>
      <w:divBdr>
        <w:top w:val="none" w:sz="0" w:space="0" w:color="auto"/>
        <w:left w:val="none" w:sz="0" w:space="0" w:color="auto"/>
        <w:bottom w:val="none" w:sz="0" w:space="0" w:color="auto"/>
        <w:right w:val="none" w:sz="0" w:space="0" w:color="auto"/>
      </w:divBdr>
    </w:div>
    <w:div w:id="250740905">
      <w:bodyDiv w:val="1"/>
      <w:marLeft w:val="0"/>
      <w:marRight w:val="0"/>
      <w:marTop w:val="0"/>
      <w:marBottom w:val="0"/>
      <w:divBdr>
        <w:top w:val="none" w:sz="0" w:space="0" w:color="auto"/>
        <w:left w:val="none" w:sz="0" w:space="0" w:color="auto"/>
        <w:bottom w:val="none" w:sz="0" w:space="0" w:color="auto"/>
        <w:right w:val="none" w:sz="0" w:space="0" w:color="auto"/>
      </w:divBdr>
    </w:div>
    <w:div w:id="256603357">
      <w:bodyDiv w:val="1"/>
      <w:marLeft w:val="0"/>
      <w:marRight w:val="0"/>
      <w:marTop w:val="0"/>
      <w:marBottom w:val="0"/>
      <w:divBdr>
        <w:top w:val="none" w:sz="0" w:space="0" w:color="auto"/>
        <w:left w:val="none" w:sz="0" w:space="0" w:color="auto"/>
        <w:bottom w:val="none" w:sz="0" w:space="0" w:color="auto"/>
        <w:right w:val="none" w:sz="0" w:space="0" w:color="auto"/>
      </w:divBdr>
    </w:div>
    <w:div w:id="265626699">
      <w:bodyDiv w:val="1"/>
      <w:marLeft w:val="0"/>
      <w:marRight w:val="0"/>
      <w:marTop w:val="0"/>
      <w:marBottom w:val="0"/>
      <w:divBdr>
        <w:top w:val="none" w:sz="0" w:space="0" w:color="auto"/>
        <w:left w:val="none" w:sz="0" w:space="0" w:color="auto"/>
        <w:bottom w:val="none" w:sz="0" w:space="0" w:color="auto"/>
        <w:right w:val="none" w:sz="0" w:space="0" w:color="auto"/>
      </w:divBdr>
    </w:div>
    <w:div w:id="269707009">
      <w:bodyDiv w:val="1"/>
      <w:marLeft w:val="0"/>
      <w:marRight w:val="0"/>
      <w:marTop w:val="0"/>
      <w:marBottom w:val="0"/>
      <w:divBdr>
        <w:top w:val="none" w:sz="0" w:space="0" w:color="auto"/>
        <w:left w:val="none" w:sz="0" w:space="0" w:color="auto"/>
        <w:bottom w:val="none" w:sz="0" w:space="0" w:color="auto"/>
        <w:right w:val="none" w:sz="0" w:space="0" w:color="auto"/>
      </w:divBdr>
    </w:div>
    <w:div w:id="284580042">
      <w:bodyDiv w:val="1"/>
      <w:marLeft w:val="0"/>
      <w:marRight w:val="0"/>
      <w:marTop w:val="0"/>
      <w:marBottom w:val="0"/>
      <w:divBdr>
        <w:top w:val="none" w:sz="0" w:space="0" w:color="auto"/>
        <w:left w:val="none" w:sz="0" w:space="0" w:color="auto"/>
        <w:bottom w:val="none" w:sz="0" w:space="0" w:color="auto"/>
        <w:right w:val="none" w:sz="0" w:space="0" w:color="auto"/>
      </w:divBdr>
    </w:div>
    <w:div w:id="290718996">
      <w:bodyDiv w:val="1"/>
      <w:marLeft w:val="0"/>
      <w:marRight w:val="0"/>
      <w:marTop w:val="0"/>
      <w:marBottom w:val="0"/>
      <w:divBdr>
        <w:top w:val="none" w:sz="0" w:space="0" w:color="auto"/>
        <w:left w:val="none" w:sz="0" w:space="0" w:color="auto"/>
        <w:bottom w:val="none" w:sz="0" w:space="0" w:color="auto"/>
        <w:right w:val="none" w:sz="0" w:space="0" w:color="auto"/>
      </w:divBdr>
    </w:div>
    <w:div w:id="291833305">
      <w:bodyDiv w:val="1"/>
      <w:marLeft w:val="0"/>
      <w:marRight w:val="0"/>
      <w:marTop w:val="0"/>
      <w:marBottom w:val="0"/>
      <w:divBdr>
        <w:top w:val="none" w:sz="0" w:space="0" w:color="auto"/>
        <w:left w:val="none" w:sz="0" w:space="0" w:color="auto"/>
        <w:bottom w:val="none" w:sz="0" w:space="0" w:color="auto"/>
        <w:right w:val="none" w:sz="0" w:space="0" w:color="auto"/>
      </w:divBdr>
    </w:div>
    <w:div w:id="302586670">
      <w:bodyDiv w:val="1"/>
      <w:marLeft w:val="0"/>
      <w:marRight w:val="0"/>
      <w:marTop w:val="0"/>
      <w:marBottom w:val="0"/>
      <w:divBdr>
        <w:top w:val="none" w:sz="0" w:space="0" w:color="auto"/>
        <w:left w:val="none" w:sz="0" w:space="0" w:color="auto"/>
        <w:bottom w:val="none" w:sz="0" w:space="0" w:color="auto"/>
        <w:right w:val="none" w:sz="0" w:space="0" w:color="auto"/>
      </w:divBdr>
    </w:div>
    <w:div w:id="303782371">
      <w:bodyDiv w:val="1"/>
      <w:marLeft w:val="0"/>
      <w:marRight w:val="0"/>
      <w:marTop w:val="0"/>
      <w:marBottom w:val="0"/>
      <w:divBdr>
        <w:top w:val="none" w:sz="0" w:space="0" w:color="auto"/>
        <w:left w:val="none" w:sz="0" w:space="0" w:color="auto"/>
        <w:bottom w:val="none" w:sz="0" w:space="0" w:color="auto"/>
        <w:right w:val="none" w:sz="0" w:space="0" w:color="auto"/>
      </w:divBdr>
    </w:div>
    <w:div w:id="314187849">
      <w:bodyDiv w:val="1"/>
      <w:marLeft w:val="0"/>
      <w:marRight w:val="0"/>
      <w:marTop w:val="0"/>
      <w:marBottom w:val="0"/>
      <w:divBdr>
        <w:top w:val="none" w:sz="0" w:space="0" w:color="auto"/>
        <w:left w:val="none" w:sz="0" w:space="0" w:color="auto"/>
        <w:bottom w:val="none" w:sz="0" w:space="0" w:color="auto"/>
        <w:right w:val="none" w:sz="0" w:space="0" w:color="auto"/>
      </w:divBdr>
    </w:div>
    <w:div w:id="319188613">
      <w:bodyDiv w:val="1"/>
      <w:marLeft w:val="0"/>
      <w:marRight w:val="0"/>
      <w:marTop w:val="0"/>
      <w:marBottom w:val="0"/>
      <w:divBdr>
        <w:top w:val="none" w:sz="0" w:space="0" w:color="auto"/>
        <w:left w:val="none" w:sz="0" w:space="0" w:color="auto"/>
        <w:bottom w:val="none" w:sz="0" w:space="0" w:color="auto"/>
        <w:right w:val="none" w:sz="0" w:space="0" w:color="auto"/>
      </w:divBdr>
    </w:div>
    <w:div w:id="338624887">
      <w:bodyDiv w:val="1"/>
      <w:marLeft w:val="0"/>
      <w:marRight w:val="0"/>
      <w:marTop w:val="0"/>
      <w:marBottom w:val="0"/>
      <w:divBdr>
        <w:top w:val="none" w:sz="0" w:space="0" w:color="auto"/>
        <w:left w:val="none" w:sz="0" w:space="0" w:color="auto"/>
        <w:bottom w:val="none" w:sz="0" w:space="0" w:color="auto"/>
        <w:right w:val="none" w:sz="0" w:space="0" w:color="auto"/>
      </w:divBdr>
    </w:div>
    <w:div w:id="345712356">
      <w:bodyDiv w:val="1"/>
      <w:marLeft w:val="0"/>
      <w:marRight w:val="0"/>
      <w:marTop w:val="0"/>
      <w:marBottom w:val="0"/>
      <w:divBdr>
        <w:top w:val="none" w:sz="0" w:space="0" w:color="auto"/>
        <w:left w:val="none" w:sz="0" w:space="0" w:color="auto"/>
        <w:bottom w:val="none" w:sz="0" w:space="0" w:color="auto"/>
        <w:right w:val="none" w:sz="0" w:space="0" w:color="auto"/>
      </w:divBdr>
    </w:div>
    <w:div w:id="347679950">
      <w:bodyDiv w:val="1"/>
      <w:marLeft w:val="0"/>
      <w:marRight w:val="0"/>
      <w:marTop w:val="0"/>
      <w:marBottom w:val="0"/>
      <w:divBdr>
        <w:top w:val="none" w:sz="0" w:space="0" w:color="auto"/>
        <w:left w:val="none" w:sz="0" w:space="0" w:color="auto"/>
        <w:bottom w:val="none" w:sz="0" w:space="0" w:color="auto"/>
        <w:right w:val="none" w:sz="0" w:space="0" w:color="auto"/>
      </w:divBdr>
    </w:div>
    <w:div w:id="365906482">
      <w:bodyDiv w:val="1"/>
      <w:marLeft w:val="0"/>
      <w:marRight w:val="0"/>
      <w:marTop w:val="0"/>
      <w:marBottom w:val="0"/>
      <w:divBdr>
        <w:top w:val="none" w:sz="0" w:space="0" w:color="auto"/>
        <w:left w:val="none" w:sz="0" w:space="0" w:color="auto"/>
        <w:bottom w:val="none" w:sz="0" w:space="0" w:color="auto"/>
        <w:right w:val="none" w:sz="0" w:space="0" w:color="auto"/>
      </w:divBdr>
    </w:div>
    <w:div w:id="367067266">
      <w:bodyDiv w:val="1"/>
      <w:marLeft w:val="0"/>
      <w:marRight w:val="0"/>
      <w:marTop w:val="0"/>
      <w:marBottom w:val="0"/>
      <w:divBdr>
        <w:top w:val="none" w:sz="0" w:space="0" w:color="auto"/>
        <w:left w:val="none" w:sz="0" w:space="0" w:color="auto"/>
        <w:bottom w:val="none" w:sz="0" w:space="0" w:color="auto"/>
        <w:right w:val="none" w:sz="0" w:space="0" w:color="auto"/>
      </w:divBdr>
    </w:div>
    <w:div w:id="368843104">
      <w:bodyDiv w:val="1"/>
      <w:marLeft w:val="0"/>
      <w:marRight w:val="0"/>
      <w:marTop w:val="0"/>
      <w:marBottom w:val="0"/>
      <w:divBdr>
        <w:top w:val="none" w:sz="0" w:space="0" w:color="auto"/>
        <w:left w:val="none" w:sz="0" w:space="0" w:color="auto"/>
        <w:bottom w:val="none" w:sz="0" w:space="0" w:color="auto"/>
        <w:right w:val="none" w:sz="0" w:space="0" w:color="auto"/>
      </w:divBdr>
    </w:div>
    <w:div w:id="371005955">
      <w:bodyDiv w:val="1"/>
      <w:marLeft w:val="0"/>
      <w:marRight w:val="0"/>
      <w:marTop w:val="0"/>
      <w:marBottom w:val="0"/>
      <w:divBdr>
        <w:top w:val="none" w:sz="0" w:space="0" w:color="auto"/>
        <w:left w:val="none" w:sz="0" w:space="0" w:color="auto"/>
        <w:bottom w:val="none" w:sz="0" w:space="0" w:color="auto"/>
        <w:right w:val="none" w:sz="0" w:space="0" w:color="auto"/>
      </w:divBdr>
    </w:div>
    <w:div w:id="374937762">
      <w:bodyDiv w:val="1"/>
      <w:marLeft w:val="0"/>
      <w:marRight w:val="0"/>
      <w:marTop w:val="0"/>
      <w:marBottom w:val="0"/>
      <w:divBdr>
        <w:top w:val="none" w:sz="0" w:space="0" w:color="auto"/>
        <w:left w:val="none" w:sz="0" w:space="0" w:color="auto"/>
        <w:bottom w:val="none" w:sz="0" w:space="0" w:color="auto"/>
        <w:right w:val="none" w:sz="0" w:space="0" w:color="auto"/>
      </w:divBdr>
    </w:div>
    <w:div w:id="382413672">
      <w:bodyDiv w:val="1"/>
      <w:marLeft w:val="0"/>
      <w:marRight w:val="0"/>
      <w:marTop w:val="0"/>
      <w:marBottom w:val="0"/>
      <w:divBdr>
        <w:top w:val="none" w:sz="0" w:space="0" w:color="auto"/>
        <w:left w:val="none" w:sz="0" w:space="0" w:color="auto"/>
        <w:bottom w:val="none" w:sz="0" w:space="0" w:color="auto"/>
        <w:right w:val="none" w:sz="0" w:space="0" w:color="auto"/>
      </w:divBdr>
    </w:div>
    <w:div w:id="392240316">
      <w:bodyDiv w:val="1"/>
      <w:marLeft w:val="0"/>
      <w:marRight w:val="0"/>
      <w:marTop w:val="0"/>
      <w:marBottom w:val="0"/>
      <w:divBdr>
        <w:top w:val="none" w:sz="0" w:space="0" w:color="auto"/>
        <w:left w:val="none" w:sz="0" w:space="0" w:color="auto"/>
        <w:bottom w:val="none" w:sz="0" w:space="0" w:color="auto"/>
        <w:right w:val="none" w:sz="0" w:space="0" w:color="auto"/>
      </w:divBdr>
    </w:div>
    <w:div w:id="402724537">
      <w:bodyDiv w:val="1"/>
      <w:marLeft w:val="0"/>
      <w:marRight w:val="0"/>
      <w:marTop w:val="0"/>
      <w:marBottom w:val="0"/>
      <w:divBdr>
        <w:top w:val="none" w:sz="0" w:space="0" w:color="auto"/>
        <w:left w:val="none" w:sz="0" w:space="0" w:color="auto"/>
        <w:bottom w:val="none" w:sz="0" w:space="0" w:color="auto"/>
        <w:right w:val="none" w:sz="0" w:space="0" w:color="auto"/>
      </w:divBdr>
    </w:div>
    <w:div w:id="412700422">
      <w:bodyDiv w:val="1"/>
      <w:marLeft w:val="0"/>
      <w:marRight w:val="0"/>
      <w:marTop w:val="0"/>
      <w:marBottom w:val="0"/>
      <w:divBdr>
        <w:top w:val="none" w:sz="0" w:space="0" w:color="auto"/>
        <w:left w:val="none" w:sz="0" w:space="0" w:color="auto"/>
        <w:bottom w:val="none" w:sz="0" w:space="0" w:color="auto"/>
        <w:right w:val="none" w:sz="0" w:space="0" w:color="auto"/>
      </w:divBdr>
    </w:div>
    <w:div w:id="419331414">
      <w:bodyDiv w:val="1"/>
      <w:marLeft w:val="0"/>
      <w:marRight w:val="0"/>
      <w:marTop w:val="0"/>
      <w:marBottom w:val="0"/>
      <w:divBdr>
        <w:top w:val="none" w:sz="0" w:space="0" w:color="auto"/>
        <w:left w:val="none" w:sz="0" w:space="0" w:color="auto"/>
        <w:bottom w:val="none" w:sz="0" w:space="0" w:color="auto"/>
        <w:right w:val="none" w:sz="0" w:space="0" w:color="auto"/>
      </w:divBdr>
    </w:div>
    <w:div w:id="420300687">
      <w:bodyDiv w:val="1"/>
      <w:marLeft w:val="0"/>
      <w:marRight w:val="0"/>
      <w:marTop w:val="0"/>
      <w:marBottom w:val="0"/>
      <w:divBdr>
        <w:top w:val="none" w:sz="0" w:space="0" w:color="auto"/>
        <w:left w:val="none" w:sz="0" w:space="0" w:color="auto"/>
        <w:bottom w:val="none" w:sz="0" w:space="0" w:color="auto"/>
        <w:right w:val="none" w:sz="0" w:space="0" w:color="auto"/>
      </w:divBdr>
    </w:div>
    <w:div w:id="461387315">
      <w:bodyDiv w:val="1"/>
      <w:marLeft w:val="0"/>
      <w:marRight w:val="0"/>
      <w:marTop w:val="0"/>
      <w:marBottom w:val="0"/>
      <w:divBdr>
        <w:top w:val="none" w:sz="0" w:space="0" w:color="auto"/>
        <w:left w:val="none" w:sz="0" w:space="0" w:color="auto"/>
        <w:bottom w:val="none" w:sz="0" w:space="0" w:color="auto"/>
        <w:right w:val="none" w:sz="0" w:space="0" w:color="auto"/>
      </w:divBdr>
    </w:div>
    <w:div w:id="463039585">
      <w:bodyDiv w:val="1"/>
      <w:marLeft w:val="0"/>
      <w:marRight w:val="0"/>
      <w:marTop w:val="0"/>
      <w:marBottom w:val="0"/>
      <w:divBdr>
        <w:top w:val="none" w:sz="0" w:space="0" w:color="auto"/>
        <w:left w:val="none" w:sz="0" w:space="0" w:color="auto"/>
        <w:bottom w:val="none" w:sz="0" w:space="0" w:color="auto"/>
        <w:right w:val="none" w:sz="0" w:space="0" w:color="auto"/>
      </w:divBdr>
    </w:div>
    <w:div w:id="466899545">
      <w:bodyDiv w:val="1"/>
      <w:marLeft w:val="0"/>
      <w:marRight w:val="0"/>
      <w:marTop w:val="0"/>
      <w:marBottom w:val="0"/>
      <w:divBdr>
        <w:top w:val="none" w:sz="0" w:space="0" w:color="auto"/>
        <w:left w:val="none" w:sz="0" w:space="0" w:color="auto"/>
        <w:bottom w:val="none" w:sz="0" w:space="0" w:color="auto"/>
        <w:right w:val="none" w:sz="0" w:space="0" w:color="auto"/>
      </w:divBdr>
    </w:div>
    <w:div w:id="472211848">
      <w:bodyDiv w:val="1"/>
      <w:marLeft w:val="0"/>
      <w:marRight w:val="0"/>
      <w:marTop w:val="0"/>
      <w:marBottom w:val="0"/>
      <w:divBdr>
        <w:top w:val="none" w:sz="0" w:space="0" w:color="auto"/>
        <w:left w:val="none" w:sz="0" w:space="0" w:color="auto"/>
        <w:bottom w:val="none" w:sz="0" w:space="0" w:color="auto"/>
        <w:right w:val="none" w:sz="0" w:space="0" w:color="auto"/>
      </w:divBdr>
    </w:div>
    <w:div w:id="472790466">
      <w:bodyDiv w:val="1"/>
      <w:marLeft w:val="0"/>
      <w:marRight w:val="0"/>
      <w:marTop w:val="0"/>
      <w:marBottom w:val="0"/>
      <w:divBdr>
        <w:top w:val="none" w:sz="0" w:space="0" w:color="auto"/>
        <w:left w:val="none" w:sz="0" w:space="0" w:color="auto"/>
        <w:bottom w:val="none" w:sz="0" w:space="0" w:color="auto"/>
        <w:right w:val="none" w:sz="0" w:space="0" w:color="auto"/>
      </w:divBdr>
    </w:div>
    <w:div w:id="474033224">
      <w:bodyDiv w:val="1"/>
      <w:marLeft w:val="0"/>
      <w:marRight w:val="0"/>
      <w:marTop w:val="0"/>
      <w:marBottom w:val="0"/>
      <w:divBdr>
        <w:top w:val="none" w:sz="0" w:space="0" w:color="auto"/>
        <w:left w:val="none" w:sz="0" w:space="0" w:color="auto"/>
        <w:bottom w:val="none" w:sz="0" w:space="0" w:color="auto"/>
        <w:right w:val="none" w:sz="0" w:space="0" w:color="auto"/>
      </w:divBdr>
    </w:div>
    <w:div w:id="476265699">
      <w:bodyDiv w:val="1"/>
      <w:marLeft w:val="0"/>
      <w:marRight w:val="0"/>
      <w:marTop w:val="0"/>
      <w:marBottom w:val="0"/>
      <w:divBdr>
        <w:top w:val="none" w:sz="0" w:space="0" w:color="auto"/>
        <w:left w:val="none" w:sz="0" w:space="0" w:color="auto"/>
        <w:bottom w:val="none" w:sz="0" w:space="0" w:color="auto"/>
        <w:right w:val="none" w:sz="0" w:space="0" w:color="auto"/>
      </w:divBdr>
    </w:div>
    <w:div w:id="485778108">
      <w:bodyDiv w:val="1"/>
      <w:marLeft w:val="0"/>
      <w:marRight w:val="0"/>
      <w:marTop w:val="0"/>
      <w:marBottom w:val="0"/>
      <w:divBdr>
        <w:top w:val="none" w:sz="0" w:space="0" w:color="auto"/>
        <w:left w:val="none" w:sz="0" w:space="0" w:color="auto"/>
        <w:bottom w:val="none" w:sz="0" w:space="0" w:color="auto"/>
        <w:right w:val="none" w:sz="0" w:space="0" w:color="auto"/>
      </w:divBdr>
    </w:div>
    <w:div w:id="492842409">
      <w:bodyDiv w:val="1"/>
      <w:marLeft w:val="0"/>
      <w:marRight w:val="0"/>
      <w:marTop w:val="0"/>
      <w:marBottom w:val="0"/>
      <w:divBdr>
        <w:top w:val="none" w:sz="0" w:space="0" w:color="auto"/>
        <w:left w:val="none" w:sz="0" w:space="0" w:color="auto"/>
        <w:bottom w:val="none" w:sz="0" w:space="0" w:color="auto"/>
        <w:right w:val="none" w:sz="0" w:space="0" w:color="auto"/>
      </w:divBdr>
    </w:div>
    <w:div w:id="495927436">
      <w:bodyDiv w:val="1"/>
      <w:marLeft w:val="0"/>
      <w:marRight w:val="0"/>
      <w:marTop w:val="0"/>
      <w:marBottom w:val="0"/>
      <w:divBdr>
        <w:top w:val="none" w:sz="0" w:space="0" w:color="auto"/>
        <w:left w:val="none" w:sz="0" w:space="0" w:color="auto"/>
        <w:bottom w:val="none" w:sz="0" w:space="0" w:color="auto"/>
        <w:right w:val="none" w:sz="0" w:space="0" w:color="auto"/>
      </w:divBdr>
    </w:div>
    <w:div w:id="496843050">
      <w:bodyDiv w:val="1"/>
      <w:marLeft w:val="0"/>
      <w:marRight w:val="0"/>
      <w:marTop w:val="0"/>
      <w:marBottom w:val="0"/>
      <w:divBdr>
        <w:top w:val="none" w:sz="0" w:space="0" w:color="auto"/>
        <w:left w:val="none" w:sz="0" w:space="0" w:color="auto"/>
        <w:bottom w:val="none" w:sz="0" w:space="0" w:color="auto"/>
        <w:right w:val="none" w:sz="0" w:space="0" w:color="auto"/>
      </w:divBdr>
    </w:div>
    <w:div w:id="508370441">
      <w:bodyDiv w:val="1"/>
      <w:marLeft w:val="0"/>
      <w:marRight w:val="0"/>
      <w:marTop w:val="0"/>
      <w:marBottom w:val="0"/>
      <w:divBdr>
        <w:top w:val="none" w:sz="0" w:space="0" w:color="auto"/>
        <w:left w:val="none" w:sz="0" w:space="0" w:color="auto"/>
        <w:bottom w:val="none" w:sz="0" w:space="0" w:color="auto"/>
        <w:right w:val="none" w:sz="0" w:space="0" w:color="auto"/>
      </w:divBdr>
    </w:div>
    <w:div w:id="511578595">
      <w:bodyDiv w:val="1"/>
      <w:marLeft w:val="0"/>
      <w:marRight w:val="0"/>
      <w:marTop w:val="0"/>
      <w:marBottom w:val="0"/>
      <w:divBdr>
        <w:top w:val="none" w:sz="0" w:space="0" w:color="auto"/>
        <w:left w:val="none" w:sz="0" w:space="0" w:color="auto"/>
        <w:bottom w:val="none" w:sz="0" w:space="0" w:color="auto"/>
        <w:right w:val="none" w:sz="0" w:space="0" w:color="auto"/>
      </w:divBdr>
    </w:div>
    <w:div w:id="513613914">
      <w:bodyDiv w:val="1"/>
      <w:marLeft w:val="0"/>
      <w:marRight w:val="0"/>
      <w:marTop w:val="0"/>
      <w:marBottom w:val="0"/>
      <w:divBdr>
        <w:top w:val="none" w:sz="0" w:space="0" w:color="auto"/>
        <w:left w:val="none" w:sz="0" w:space="0" w:color="auto"/>
        <w:bottom w:val="none" w:sz="0" w:space="0" w:color="auto"/>
        <w:right w:val="none" w:sz="0" w:space="0" w:color="auto"/>
      </w:divBdr>
    </w:div>
    <w:div w:id="513690676">
      <w:bodyDiv w:val="1"/>
      <w:marLeft w:val="0"/>
      <w:marRight w:val="0"/>
      <w:marTop w:val="0"/>
      <w:marBottom w:val="0"/>
      <w:divBdr>
        <w:top w:val="none" w:sz="0" w:space="0" w:color="auto"/>
        <w:left w:val="none" w:sz="0" w:space="0" w:color="auto"/>
        <w:bottom w:val="none" w:sz="0" w:space="0" w:color="auto"/>
        <w:right w:val="none" w:sz="0" w:space="0" w:color="auto"/>
      </w:divBdr>
    </w:div>
    <w:div w:id="519707769">
      <w:bodyDiv w:val="1"/>
      <w:marLeft w:val="0"/>
      <w:marRight w:val="0"/>
      <w:marTop w:val="0"/>
      <w:marBottom w:val="0"/>
      <w:divBdr>
        <w:top w:val="none" w:sz="0" w:space="0" w:color="auto"/>
        <w:left w:val="none" w:sz="0" w:space="0" w:color="auto"/>
        <w:bottom w:val="none" w:sz="0" w:space="0" w:color="auto"/>
        <w:right w:val="none" w:sz="0" w:space="0" w:color="auto"/>
      </w:divBdr>
    </w:div>
    <w:div w:id="520121514">
      <w:bodyDiv w:val="1"/>
      <w:marLeft w:val="0"/>
      <w:marRight w:val="0"/>
      <w:marTop w:val="0"/>
      <w:marBottom w:val="0"/>
      <w:divBdr>
        <w:top w:val="none" w:sz="0" w:space="0" w:color="auto"/>
        <w:left w:val="none" w:sz="0" w:space="0" w:color="auto"/>
        <w:bottom w:val="none" w:sz="0" w:space="0" w:color="auto"/>
        <w:right w:val="none" w:sz="0" w:space="0" w:color="auto"/>
      </w:divBdr>
    </w:div>
    <w:div w:id="523791996">
      <w:bodyDiv w:val="1"/>
      <w:marLeft w:val="0"/>
      <w:marRight w:val="0"/>
      <w:marTop w:val="0"/>
      <w:marBottom w:val="0"/>
      <w:divBdr>
        <w:top w:val="none" w:sz="0" w:space="0" w:color="auto"/>
        <w:left w:val="none" w:sz="0" w:space="0" w:color="auto"/>
        <w:bottom w:val="none" w:sz="0" w:space="0" w:color="auto"/>
        <w:right w:val="none" w:sz="0" w:space="0" w:color="auto"/>
      </w:divBdr>
    </w:div>
    <w:div w:id="523792367">
      <w:bodyDiv w:val="1"/>
      <w:marLeft w:val="0"/>
      <w:marRight w:val="0"/>
      <w:marTop w:val="0"/>
      <w:marBottom w:val="0"/>
      <w:divBdr>
        <w:top w:val="none" w:sz="0" w:space="0" w:color="auto"/>
        <w:left w:val="none" w:sz="0" w:space="0" w:color="auto"/>
        <w:bottom w:val="none" w:sz="0" w:space="0" w:color="auto"/>
        <w:right w:val="none" w:sz="0" w:space="0" w:color="auto"/>
      </w:divBdr>
    </w:div>
    <w:div w:id="524833731">
      <w:bodyDiv w:val="1"/>
      <w:marLeft w:val="0"/>
      <w:marRight w:val="0"/>
      <w:marTop w:val="0"/>
      <w:marBottom w:val="0"/>
      <w:divBdr>
        <w:top w:val="none" w:sz="0" w:space="0" w:color="auto"/>
        <w:left w:val="none" w:sz="0" w:space="0" w:color="auto"/>
        <w:bottom w:val="none" w:sz="0" w:space="0" w:color="auto"/>
        <w:right w:val="none" w:sz="0" w:space="0" w:color="auto"/>
      </w:divBdr>
    </w:div>
    <w:div w:id="536043289">
      <w:bodyDiv w:val="1"/>
      <w:marLeft w:val="0"/>
      <w:marRight w:val="0"/>
      <w:marTop w:val="0"/>
      <w:marBottom w:val="0"/>
      <w:divBdr>
        <w:top w:val="none" w:sz="0" w:space="0" w:color="auto"/>
        <w:left w:val="none" w:sz="0" w:space="0" w:color="auto"/>
        <w:bottom w:val="none" w:sz="0" w:space="0" w:color="auto"/>
        <w:right w:val="none" w:sz="0" w:space="0" w:color="auto"/>
      </w:divBdr>
    </w:div>
    <w:div w:id="542787884">
      <w:bodyDiv w:val="1"/>
      <w:marLeft w:val="0"/>
      <w:marRight w:val="0"/>
      <w:marTop w:val="0"/>
      <w:marBottom w:val="0"/>
      <w:divBdr>
        <w:top w:val="none" w:sz="0" w:space="0" w:color="auto"/>
        <w:left w:val="none" w:sz="0" w:space="0" w:color="auto"/>
        <w:bottom w:val="none" w:sz="0" w:space="0" w:color="auto"/>
        <w:right w:val="none" w:sz="0" w:space="0" w:color="auto"/>
      </w:divBdr>
    </w:div>
    <w:div w:id="543564418">
      <w:bodyDiv w:val="1"/>
      <w:marLeft w:val="0"/>
      <w:marRight w:val="0"/>
      <w:marTop w:val="0"/>
      <w:marBottom w:val="0"/>
      <w:divBdr>
        <w:top w:val="none" w:sz="0" w:space="0" w:color="auto"/>
        <w:left w:val="none" w:sz="0" w:space="0" w:color="auto"/>
        <w:bottom w:val="none" w:sz="0" w:space="0" w:color="auto"/>
        <w:right w:val="none" w:sz="0" w:space="0" w:color="auto"/>
      </w:divBdr>
    </w:div>
    <w:div w:id="545259651">
      <w:bodyDiv w:val="1"/>
      <w:marLeft w:val="0"/>
      <w:marRight w:val="0"/>
      <w:marTop w:val="0"/>
      <w:marBottom w:val="0"/>
      <w:divBdr>
        <w:top w:val="none" w:sz="0" w:space="0" w:color="auto"/>
        <w:left w:val="none" w:sz="0" w:space="0" w:color="auto"/>
        <w:bottom w:val="none" w:sz="0" w:space="0" w:color="auto"/>
        <w:right w:val="none" w:sz="0" w:space="0" w:color="auto"/>
      </w:divBdr>
    </w:div>
    <w:div w:id="547498447">
      <w:bodyDiv w:val="1"/>
      <w:marLeft w:val="0"/>
      <w:marRight w:val="0"/>
      <w:marTop w:val="0"/>
      <w:marBottom w:val="0"/>
      <w:divBdr>
        <w:top w:val="none" w:sz="0" w:space="0" w:color="auto"/>
        <w:left w:val="none" w:sz="0" w:space="0" w:color="auto"/>
        <w:bottom w:val="none" w:sz="0" w:space="0" w:color="auto"/>
        <w:right w:val="none" w:sz="0" w:space="0" w:color="auto"/>
      </w:divBdr>
    </w:div>
    <w:div w:id="548416589">
      <w:bodyDiv w:val="1"/>
      <w:marLeft w:val="0"/>
      <w:marRight w:val="0"/>
      <w:marTop w:val="0"/>
      <w:marBottom w:val="0"/>
      <w:divBdr>
        <w:top w:val="none" w:sz="0" w:space="0" w:color="auto"/>
        <w:left w:val="none" w:sz="0" w:space="0" w:color="auto"/>
        <w:bottom w:val="none" w:sz="0" w:space="0" w:color="auto"/>
        <w:right w:val="none" w:sz="0" w:space="0" w:color="auto"/>
      </w:divBdr>
    </w:div>
    <w:div w:id="553465747">
      <w:bodyDiv w:val="1"/>
      <w:marLeft w:val="0"/>
      <w:marRight w:val="0"/>
      <w:marTop w:val="0"/>
      <w:marBottom w:val="0"/>
      <w:divBdr>
        <w:top w:val="none" w:sz="0" w:space="0" w:color="auto"/>
        <w:left w:val="none" w:sz="0" w:space="0" w:color="auto"/>
        <w:bottom w:val="none" w:sz="0" w:space="0" w:color="auto"/>
        <w:right w:val="none" w:sz="0" w:space="0" w:color="auto"/>
      </w:divBdr>
    </w:div>
    <w:div w:id="553783302">
      <w:bodyDiv w:val="1"/>
      <w:marLeft w:val="0"/>
      <w:marRight w:val="0"/>
      <w:marTop w:val="0"/>
      <w:marBottom w:val="0"/>
      <w:divBdr>
        <w:top w:val="none" w:sz="0" w:space="0" w:color="auto"/>
        <w:left w:val="none" w:sz="0" w:space="0" w:color="auto"/>
        <w:bottom w:val="none" w:sz="0" w:space="0" w:color="auto"/>
        <w:right w:val="none" w:sz="0" w:space="0" w:color="auto"/>
      </w:divBdr>
    </w:div>
    <w:div w:id="566376981">
      <w:bodyDiv w:val="1"/>
      <w:marLeft w:val="0"/>
      <w:marRight w:val="0"/>
      <w:marTop w:val="0"/>
      <w:marBottom w:val="0"/>
      <w:divBdr>
        <w:top w:val="none" w:sz="0" w:space="0" w:color="auto"/>
        <w:left w:val="none" w:sz="0" w:space="0" w:color="auto"/>
        <w:bottom w:val="none" w:sz="0" w:space="0" w:color="auto"/>
        <w:right w:val="none" w:sz="0" w:space="0" w:color="auto"/>
      </w:divBdr>
    </w:div>
    <w:div w:id="570504170">
      <w:bodyDiv w:val="1"/>
      <w:marLeft w:val="0"/>
      <w:marRight w:val="0"/>
      <w:marTop w:val="0"/>
      <w:marBottom w:val="0"/>
      <w:divBdr>
        <w:top w:val="none" w:sz="0" w:space="0" w:color="auto"/>
        <w:left w:val="none" w:sz="0" w:space="0" w:color="auto"/>
        <w:bottom w:val="none" w:sz="0" w:space="0" w:color="auto"/>
        <w:right w:val="none" w:sz="0" w:space="0" w:color="auto"/>
      </w:divBdr>
    </w:div>
    <w:div w:id="574557925">
      <w:bodyDiv w:val="1"/>
      <w:marLeft w:val="0"/>
      <w:marRight w:val="0"/>
      <w:marTop w:val="0"/>
      <w:marBottom w:val="0"/>
      <w:divBdr>
        <w:top w:val="none" w:sz="0" w:space="0" w:color="auto"/>
        <w:left w:val="none" w:sz="0" w:space="0" w:color="auto"/>
        <w:bottom w:val="none" w:sz="0" w:space="0" w:color="auto"/>
        <w:right w:val="none" w:sz="0" w:space="0" w:color="auto"/>
      </w:divBdr>
    </w:div>
    <w:div w:id="584538848">
      <w:bodyDiv w:val="1"/>
      <w:marLeft w:val="0"/>
      <w:marRight w:val="0"/>
      <w:marTop w:val="0"/>
      <w:marBottom w:val="0"/>
      <w:divBdr>
        <w:top w:val="none" w:sz="0" w:space="0" w:color="auto"/>
        <w:left w:val="none" w:sz="0" w:space="0" w:color="auto"/>
        <w:bottom w:val="none" w:sz="0" w:space="0" w:color="auto"/>
        <w:right w:val="none" w:sz="0" w:space="0" w:color="auto"/>
      </w:divBdr>
    </w:div>
    <w:div w:id="594171229">
      <w:bodyDiv w:val="1"/>
      <w:marLeft w:val="0"/>
      <w:marRight w:val="0"/>
      <w:marTop w:val="0"/>
      <w:marBottom w:val="0"/>
      <w:divBdr>
        <w:top w:val="none" w:sz="0" w:space="0" w:color="auto"/>
        <w:left w:val="none" w:sz="0" w:space="0" w:color="auto"/>
        <w:bottom w:val="none" w:sz="0" w:space="0" w:color="auto"/>
        <w:right w:val="none" w:sz="0" w:space="0" w:color="auto"/>
      </w:divBdr>
    </w:div>
    <w:div w:id="597064288">
      <w:bodyDiv w:val="1"/>
      <w:marLeft w:val="0"/>
      <w:marRight w:val="0"/>
      <w:marTop w:val="0"/>
      <w:marBottom w:val="0"/>
      <w:divBdr>
        <w:top w:val="none" w:sz="0" w:space="0" w:color="auto"/>
        <w:left w:val="none" w:sz="0" w:space="0" w:color="auto"/>
        <w:bottom w:val="none" w:sz="0" w:space="0" w:color="auto"/>
        <w:right w:val="none" w:sz="0" w:space="0" w:color="auto"/>
      </w:divBdr>
    </w:div>
    <w:div w:id="605498712">
      <w:bodyDiv w:val="1"/>
      <w:marLeft w:val="0"/>
      <w:marRight w:val="0"/>
      <w:marTop w:val="0"/>
      <w:marBottom w:val="0"/>
      <w:divBdr>
        <w:top w:val="none" w:sz="0" w:space="0" w:color="auto"/>
        <w:left w:val="none" w:sz="0" w:space="0" w:color="auto"/>
        <w:bottom w:val="none" w:sz="0" w:space="0" w:color="auto"/>
        <w:right w:val="none" w:sz="0" w:space="0" w:color="auto"/>
      </w:divBdr>
    </w:div>
    <w:div w:id="608044389">
      <w:bodyDiv w:val="1"/>
      <w:marLeft w:val="0"/>
      <w:marRight w:val="0"/>
      <w:marTop w:val="0"/>
      <w:marBottom w:val="0"/>
      <w:divBdr>
        <w:top w:val="none" w:sz="0" w:space="0" w:color="auto"/>
        <w:left w:val="none" w:sz="0" w:space="0" w:color="auto"/>
        <w:bottom w:val="none" w:sz="0" w:space="0" w:color="auto"/>
        <w:right w:val="none" w:sz="0" w:space="0" w:color="auto"/>
      </w:divBdr>
    </w:div>
    <w:div w:id="610284296">
      <w:bodyDiv w:val="1"/>
      <w:marLeft w:val="0"/>
      <w:marRight w:val="0"/>
      <w:marTop w:val="0"/>
      <w:marBottom w:val="0"/>
      <w:divBdr>
        <w:top w:val="none" w:sz="0" w:space="0" w:color="auto"/>
        <w:left w:val="none" w:sz="0" w:space="0" w:color="auto"/>
        <w:bottom w:val="none" w:sz="0" w:space="0" w:color="auto"/>
        <w:right w:val="none" w:sz="0" w:space="0" w:color="auto"/>
      </w:divBdr>
    </w:div>
    <w:div w:id="632949856">
      <w:bodyDiv w:val="1"/>
      <w:marLeft w:val="0"/>
      <w:marRight w:val="0"/>
      <w:marTop w:val="0"/>
      <w:marBottom w:val="0"/>
      <w:divBdr>
        <w:top w:val="none" w:sz="0" w:space="0" w:color="auto"/>
        <w:left w:val="none" w:sz="0" w:space="0" w:color="auto"/>
        <w:bottom w:val="none" w:sz="0" w:space="0" w:color="auto"/>
        <w:right w:val="none" w:sz="0" w:space="0" w:color="auto"/>
      </w:divBdr>
    </w:div>
    <w:div w:id="637301052">
      <w:bodyDiv w:val="1"/>
      <w:marLeft w:val="0"/>
      <w:marRight w:val="0"/>
      <w:marTop w:val="0"/>
      <w:marBottom w:val="0"/>
      <w:divBdr>
        <w:top w:val="none" w:sz="0" w:space="0" w:color="auto"/>
        <w:left w:val="none" w:sz="0" w:space="0" w:color="auto"/>
        <w:bottom w:val="none" w:sz="0" w:space="0" w:color="auto"/>
        <w:right w:val="none" w:sz="0" w:space="0" w:color="auto"/>
      </w:divBdr>
    </w:div>
    <w:div w:id="639189937">
      <w:bodyDiv w:val="1"/>
      <w:marLeft w:val="0"/>
      <w:marRight w:val="0"/>
      <w:marTop w:val="0"/>
      <w:marBottom w:val="0"/>
      <w:divBdr>
        <w:top w:val="none" w:sz="0" w:space="0" w:color="auto"/>
        <w:left w:val="none" w:sz="0" w:space="0" w:color="auto"/>
        <w:bottom w:val="none" w:sz="0" w:space="0" w:color="auto"/>
        <w:right w:val="none" w:sz="0" w:space="0" w:color="auto"/>
      </w:divBdr>
    </w:div>
    <w:div w:id="649404410">
      <w:bodyDiv w:val="1"/>
      <w:marLeft w:val="0"/>
      <w:marRight w:val="0"/>
      <w:marTop w:val="0"/>
      <w:marBottom w:val="0"/>
      <w:divBdr>
        <w:top w:val="none" w:sz="0" w:space="0" w:color="auto"/>
        <w:left w:val="none" w:sz="0" w:space="0" w:color="auto"/>
        <w:bottom w:val="none" w:sz="0" w:space="0" w:color="auto"/>
        <w:right w:val="none" w:sz="0" w:space="0" w:color="auto"/>
      </w:divBdr>
    </w:div>
    <w:div w:id="661158169">
      <w:bodyDiv w:val="1"/>
      <w:marLeft w:val="0"/>
      <w:marRight w:val="0"/>
      <w:marTop w:val="0"/>
      <w:marBottom w:val="0"/>
      <w:divBdr>
        <w:top w:val="none" w:sz="0" w:space="0" w:color="auto"/>
        <w:left w:val="none" w:sz="0" w:space="0" w:color="auto"/>
        <w:bottom w:val="none" w:sz="0" w:space="0" w:color="auto"/>
        <w:right w:val="none" w:sz="0" w:space="0" w:color="auto"/>
      </w:divBdr>
    </w:div>
    <w:div w:id="664895454">
      <w:bodyDiv w:val="1"/>
      <w:marLeft w:val="0"/>
      <w:marRight w:val="0"/>
      <w:marTop w:val="0"/>
      <w:marBottom w:val="0"/>
      <w:divBdr>
        <w:top w:val="none" w:sz="0" w:space="0" w:color="auto"/>
        <w:left w:val="none" w:sz="0" w:space="0" w:color="auto"/>
        <w:bottom w:val="none" w:sz="0" w:space="0" w:color="auto"/>
        <w:right w:val="none" w:sz="0" w:space="0" w:color="auto"/>
      </w:divBdr>
    </w:div>
    <w:div w:id="668217425">
      <w:bodyDiv w:val="1"/>
      <w:marLeft w:val="0"/>
      <w:marRight w:val="0"/>
      <w:marTop w:val="0"/>
      <w:marBottom w:val="0"/>
      <w:divBdr>
        <w:top w:val="none" w:sz="0" w:space="0" w:color="auto"/>
        <w:left w:val="none" w:sz="0" w:space="0" w:color="auto"/>
        <w:bottom w:val="none" w:sz="0" w:space="0" w:color="auto"/>
        <w:right w:val="none" w:sz="0" w:space="0" w:color="auto"/>
      </w:divBdr>
    </w:div>
    <w:div w:id="682125994">
      <w:bodyDiv w:val="1"/>
      <w:marLeft w:val="0"/>
      <w:marRight w:val="0"/>
      <w:marTop w:val="0"/>
      <w:marBottom w:val="0"/>
      <w:divBdr>
        <w:top w:val="none" w:sz="0" w:space="0" w:color="auto"/>
        <w:left w:val="none" w:sz="0" w:space="0" w:color="auto"/>
        <w:bottom w:val="none" w:sz="0" w:space="0" w:color="auto"/>
        <w:right w:val="none" w:sz="0" w:space="0" w:color="auto"/>
      </w:divBdr>
    </w:div>
    <w:div w:id="687411268">
      <w:bodyDiv w:val="1"/>
      <w:marLeft w:val="0"/>
      <w:marRight w:val="0"/>
      <w:marTop w:val="0"/>
      <w:marBottom w:val="0"/>
      <w:divBdr>
        <w:top w:val="none" w:sz="0" w:space="0" w:color="auto"/>
        <w:left w:val="none" w:sz="0" w:space="0" w:color="auto"/>
        <w:bottom w:val="none" w:sz="0" w:space="0" w:color="auto"/>
        <w:right w:val="none" w:sz="0" w:space="0" w:color="auto"/>
      </w:divBdr>
    </w:div>
    <w:div w:id="692733812">
      <w:bodyDiv w:val="1"/>
      <w:marLeft w:val="0"/>
      <w:marRight w:val="0"/>
      <w:marTop w:val="0"/>
      <w:marBottom w:val="0"/>
      <w:divBdr>
        <w:top w:val="none" w:sz="0" w:space="0" w:color="auto"/>
        <w:left w:val="none" w:sz="0" w:space="0" w:color="auto"/>
        <w:bottom w:val="none" w:sz="0" w:space="0" w:color="auto"/>
        <w:right w:val="none" w:sz="0" w:space="0" w:color="auto"/>
      </w:divBdr>
    </w:div>
    <w:div w:id="695498698">
      <w:bodyDiv w:val="1"/>
      <w:marLeft w:val="0"/>
      <w:marRight w:val="0"/>
      <w:marTop w:val="0"/>
      <w:marBottom w:val="0"/>
      <w:divBdr>
        <w:top w:val="none" w:sz="0" w:space="0" w:color="auto"/>
        <w:left w:val="none" w:sz="0" w:space="0" w:color="auto"/>
        <w:bottom w:val="none" w:sz="0" w:space="0" w:color="auto"/>
        <w:right w:val="none" w:sz="0" w:space="0" w:color="auto"/>
      </w:divBdr>
    </w:div>
    <w:div w:id="725883665">
      <w:bodyDiv w:val="1"/>
      <w:marLeft w:val="0"/>
      <w:marRight w:val="0"/>
      <w:marTop w:val="0"/>
      <w:marBottom w:val="0"/>
      <w:divBdr>
        <w:top w:val="none" w:sz="0" w:space="0" w:color="auto"/>
        <w:left w:val="none" w:sz="0" w:space="0" w:color="auto"/>
        <w:bottom w:val="none" w:sz="0" w:space="0" w:color="auto"/>
        <w:right w:val="none" w:sz="0" w:space="0" w:color="auto"/>
      </w:divBdr>
    </w:div>
    <w:div w:id="728695105">
      <w:bodyDiv w:val="1"/>
      <w:marLeft w:val="0"/>
      <w:marRight w:val="0"/>
      <w:marTop w:val="0"/>
      <w:marBottom w:val="0"/>
      <w:divBdr>
        <w:top w:val="none" w:sz="0" w:space="0" w:color="auto"/>
        <w:left w:val="none" w:sz="0" w:space="0" w:color="auto"/>
        <w:bottom w:val="none" w:sz="0" w:space="0" w:color="auto"/>
        <w:right w:val="none" w:sz="0" w:space="0" w:color="auto"/>
      </w:divBdr>
    </w:div>
    <w:div w:id="735858996">
      <w:bodyDiv w:val="1"/>
      <w:marLeft w:val="0"/>
      <w:marRight w:val="0"/>
      <w:marTop w:val="0"/>
      <w:marBottom w:val="0"/>
      <w:divBdr>
        <w:top w:val="none" w:sz="0" w:space="0" w:color="auto"/>
        <w:left w:val="none" w:sz="0" w:space="0" w:color="auto"/>
        <w:bottom w:val="none" w:sz="0" w:space="0" w:color="auto"/>
        <w:right w:val="none" w:sz="0" w:space="0" w:color="auto"/>
      </w:divBdr>
    </w:div>
    <w:div w:id="738214628">
      <w:bodyDiv w:val="1"/>
      <w:marLeft w:val="0"/>
      <w:marRight w:val="0"/>
      <w:marTop w:val="0"/>
      <w:marBottom w:val="0"/>
      <w:divBdr>
        <w:top w:val="none" w:sz="0" w:space="0" w:color="auto"/>
        <w:left w:val="none" w:sz="0" w:space="0" w:color="auto"/>
        <w:bottom w:val="none" w:sz="0" w:space="0" w:color="auto"/>
        <w:right w:val="none" w:sz="0" w:space="0" w:color="auto"/>
      </w:divBdr>
    </w:div>
    <w:div w:id="739719630">
      <w:bodyDiv w:val="1"/>
      <w:marLeft w:val="0"/>
      <w:marRight w:val="0"/>
      <w:marTop w:val="0"/>
      <w:marBottom w:val="0"/>
      <w:divBdr>
        <w:top w:val="none" w:sz="0" w:space="0" w:color="auto"/>
        <w:left w:val="none" w:sz="0" w:space="0" w:color="auto"/>
        <w:bottom w:val="none" w:sz="0" w:space="0" w:color="auto"/>
        <w:right w:val="none" w:sz="0" w:space="0" w:color="auto"/>
      </w:divBdr>
    </w:div>
    <w:div w:id="744913366">
      <w:bodyDiv w:val="1"/>
      <w:marLeft w:val="0"/>
      <w:marRight w:val="0"/>
      <w:marTop w:val="0"/>
      <w:marBottom w:val="0"/>
      <w:divBdr>
        <w:top w:val="none" w:sz="0" w:space="0" w:color="auto"/>
        <w:left w:val="none" w:sz="0" w:space="0" w:color="auto"/>
        <w:bottom w:val="none" w:sz="0" w:space="0" w:color="auto"/>
        <w:right w:val="none" w:sz="0" w:space="0" w:color="auto"/>
      </w:divBdr>
    </w:div>
    <w:div w:id="752433655">
      <w:bodyDiv w:val="1"/>
      <w:marLeft w:val="0"/>
      <w:marRight w:val="0"/>
      <w:marTop w:val="0"/>
      <w:marBottom w:val="0"/>
      <w:divBdr>
        <w:top w:val="none" w:sz="0" w:space="0" w:color="auto"/>
        <w:left w:val="none" w:sz="0" w:space="0" w:color="auto"/>
        <w:bottom w:val="none" w:sz="0" w:space="0" w:color="auto"/>
        <w:right w:val="none" w:sz="0" w:space="0" w:color="auto"/>
      </w:divBdr>
    </w:div>
    <w:div w:id="758063471">
      <w:bodyDiv w:val="1"/>
      <w:marLeft w:val="0"/>
      <w:marRight w:val="0"/>
      <w:marTop w:val="0"/>
      <w:marBottom w:val="0"/>
      <w:divBdr>
        <w:top w:val="none" w:sz="0" w:space="0" w:color="auto"/>
        <w:left w:val="none" w:sz="0" w:space="0" w:color="auto"/>
        <w:bottom w:val="none" w:sz="0" w:space="0" w:color="auto"/>
        <w:right w:val="none" w:sz="0" w:space="0" w:color="auto"/>
      </w:divBdr>
    </w:div>
    <w:div w:id="768354709">
      <w:bodyDiv w:val="1"/>
      <w:marLeft w:val="0"/>
      <w:marRight w:val="0"/>
      <w:marTop w:val="0"/>
      <w:marBottom w:val="0"/>
      <w:divBdr>
        <w:top w:val="none" w:sz="0" w:space="0" w:color="auto"/>
        <w:left w:val="none" w:sz="0" w:space="0" w:color="auto"/>
        <w:bottom w:val="none" w:sz="0" w:space="0" w:color="auto"/>
        <w:right w:val="none" w:sz="0" w:space="0" w:color="auto"/>
      </w:divBdr>
    </w:div>
    <w:div w:id="768502710">
      <w:bodyDiv w:val="1"/>
      <w:marLeft w:val="0"/>
      <w:marRight w:val="0"/>
      <w:marTop w:val="0"/>
      <w:marBottom w:val="0"/>
      <w:divBdr>
        <w:top w:val="none" w:sz="0" w:space="0" w:color="auto"/>
        <w:left w:val="none" w:sz="0" w:space="0" w:color="auto"/>
        <w:bottom w:val="none" w:sz="0" w:space="0" w:color="auto"/>
        <w:right w:val="none" w:sz="0" w:space="0" w:color="auto"/>
      </w:divBdr>
    </w:div>
    <w:div w:id="781725965">
      <w:bodyDiv w:val="1"/>
      <w:marLeft w:val="0"/>
      <w:marRight w:val="0"/>
      <w:marTop w:val="0"/>
      <w:marBottom w:val="0"/>
      <w:divBdr>
        <w:top w:val="none" w:sz="0" w:space="0" w:color="auto"/>
        <w:left w:val="none" w:sz="0" w:space="0" w:color="auto"/>
        <w:bottom w:val="none" w:sz="0" w:space="0" w:color="auto"/>
        <w:right w:val="none" w:sz="0" w:space="0" w:color="auto"/>
      </w:divBdr>
    </w:div>
    <w:div w:id="794444848">
      <w:bodyDiv w:val="1"/>
      <w:marLeft w:val="0"/>
      <w:marRight w:val="0"/>
      <w:marTop w:val="0"/>
      <w:marBottom w:val="0"/>
      <w:divBdr>
        <w:top w:val="none" w:sz="0" w:space="0" w:color="auto"/>
        <w:left w:val="none" w:sz="0" w:space="0" w:color="auto"/>
        <w:bottom w:val="none" w:sz="0" w:space="0" w:color="auto"/>
        <w:right w:val="none" w:sz="0" w:space="0" w:color="auto"/>
      </w:divBdr>
    </w:div>
    <w:div w:id="796871176">
      <w:bodyDiv w:val="1"/>
      <w:marLeft w:val="0"/>
      <w:marRight w:val="0"/>
      <w:marTop w:val="0"/>
      <w:marBottom w:val="0"/>
      <w:divBdr>
        <w:top w:val="none" w:sz="0" w:space="0" w:color="auto"/>
        <w:left w:val="none" w:sz="0" w:space="0" w:color="auto"/>
        <w:bottom w:val="none" w:sz="0" w:space="0" w:color="auto"/>
        <w:right w:val="none" w:sz="0" w:space="0" w:color="auto"/>
      </w:divBdr>
    </w:div>
    <w:div w:id="817263157">
      <w:bodyDiv w:val="1"/>
      <w:marLeft w:val="0"/>
      <w:marRight w:val="0"/>
      <w:marTop w:val="0"/>
      <w:marBottom w:val="0"/>
      <w:divBdr>
        <w:top w:val="none" w:sz="0" w:space="0" w:color="auto"/>
        <w:left w:val="none" w:sz="0" w:space="0" w:color="auto"/>
        <w:bottom w:val="none" w:sz="0" w:space="0" w:color="auto"/>
        <w:right w:val="none" w:sz="0" w:space="0" w:color="auto"/>
      </w:divBdr>
    </w:div>
    <w:div w:id="829444712">
      <w:bodyDiv w:val="1"/>
      <w:marLeft w:val="0"/>
      <w:marRight w:val="0"/>
      <w:marTop w:val="0"/>
      <w:marBottom w:val="0"/>
      <w:divBdr>
        <w:top w:val="none" w:sz="0" w:space="0" w:color="auto"/>
        <w:left w:val="none" w:sz="0" w:space="0" w:color="auto"/>
        <w:bottom w:val="none" w:sz="0" w:space="0" w:color="auto"/>
        <w:right w:val="none" w:sz="0" w:space="0" w:color="auto"/>
      </w:divBdr>
    </w:div>
    <w:div w:id="844322179">
      <w:bodyDiv w:val="1"/>
      <w:marLeft w:val="0"/>
      <w:marRight w:val="0"/>
      <w:marTop w:val="0"/>
      <w:marBottom w:val="0"/>
      <w:divBdr>
        <w:top w:val="none" w:sz="0" w:space="0" w:color="auto"/>
        <w:left w:val="none" w:sz="0" w:space="0" w:color="auto"/>
        <w:bottom w:val="none" w:sz="0" w:space="0" w:color="auto"/>
        <w:right w:val="none" w:sz="0" w:space="0" w:color="auto"/>
      </w:divBdr>
    </w:div>
    <w:div w:id="871573896">
      <w:bodyDiv w:val="1"/>
      <w:marLeft w:val="0"/>
      <w:marRight w:val="0"/>
      <w:marTop w:val="0"/>
      <w:marBottom w:val="0"/>
      <w:divBdr>
        <w:top w:val="none" w:sz="0" w:space="0" w:color="auto"/>
        <w:left w:val="none" w:sz="0" w:space="0" w:color="auto"/>
        <w:bottom w:val="none" w:sz="0" w:space="0" w:color="auto"/>
        <w:right w:val="none" w:sz="0" w:space="0" w:color="auto"/>
      </w:divBdr>
    </w:div>
    <w:div w:id="883564867">
      <w:bodyDiv w:val="1"/>
      <w:marLeft w:val="0"/>
      <w:marRight w:val="0"/>
      <w:marTop w:val="0"/>
      <w:marBottom w:val="0"/>
      <w:divBdr>
        <w:top w:val="none" w:sz="0" w:space="0" w:color="auto"/>
        <w:left w:val="none" w:sz="0" w:space="0" w:color="auto"/>
        <w:bottom w:val="none" w:sz="0" w:space="0" w:color="auto"/>
        <w:right w:val="none" w:sz="0" w:space="0" w:color="auto"/>
      </w:divBdr>
    </w:div>
    <w:div w:id="891114180">
      <w:bodyDiv w:val="1"/>
      <w:marLeft w:val="0"/>
      <w:marRight w:val="0"/>
      <w:marTop w:val="0"/>
      <w:marBottom w:val="0"/>
      <w:divBdr>
        <w:top w:val="none" w:sz="0" w:space="0" w:color="auto"/>
        <w:left w:val="none" w:sz="0" w:space="0" w:color="auto"/>
        <w:bottom w:val="none" w:sz="0" w:space="0" w:color="auto"/>
        <w:right w:val="none" w:sz="0" w:space="0" w:color="auto"/>
      </w:divBdr>
    </w:div>
    <w:div w:id="901713284">
      <w:bodyDiv w:val="1"/>
      <w:marLeft w:val="0"/>
      <w:marRight w:val="0"/>
      <w:marTop w:val="0"/>
      <w:marBottom w:val="0"/>
      <w:divBdr>
        <w:top w:val="none" w:sz="0" w:space="0" w:color="auto"/>
        <w:left w:val="none" w:sz="0" w:space="0" w:color="auto"/>
        <w:bottom w:val="none" w:sz="0" w:space="0" w:color="auto"/>
        <w:right w:val="none" w:sz="0" w:space="0" w:color="auto"/>
      </w:divBdr>
    </w:div>
    <w:div w:id="902906726">
      <w:bodyDiv w:val="1"/>
      <w:marLeft w:val="0"/>
      <w:marRight w:val="0"/>
      <w:marTop w:val="0"/>
      <w:marBottom w:val="0"/>
      <w:divBdr>
        <w:top w:val="none" w:sz="0" w:space="0" w:color="auto"/>
        <w:left w:val="none" w:sz="0" w:space="0" w:color="auto"/>
        <w:bottom w:val="none" w:sz="0" w:space="0" w:color="auto"/>
        <w:right w:val="none" w:sz="0" w:space="0" w:color="auto"/>
      </w:divBdr>
    </w:div>
    <w:div w:id="907493798">
      <w:bodyDiv w:val="1"/>
      <w:marLeft w:val="0"/>
      <w:marRight w:val="0"/>
      <w:marTop w:val="0"/>
      <w:marBottom w:val="0"/>
      <w:divBdr>
        <w:top w:val="none" w:sz="0" w:space="0" w:color="auto"/>
        <w:left w:val="none" w:sz="0" w:space="0" w:color="auto"/>
        <w:bottom w:val="none" w:sz="0" w:space="0" w:color="auto"/>
        <w:right w:val="none" w:sz="0" w:space="0" w:color="auto"/>
      </w:divBdr>
    </w:div>
    <w:div w:id="914783361">
      <w:bodyDiv w:val="1"/>
      <w:marLeft w:val="0"/>
      <w:marRight w:val="0"/>
      <w:marTop w:val="0"/>
      <w:marBottom w:val="0"/>
      <w:divBdr>
        <w:top w:val="none" w:sz="0" w:space="0" w:color="auto"/>
        <w:left w:val="none" w:sz="0" w:space="0" w:color="auto"/>
        <w:bottom w:val="none" w:sz="0" w:space="0" w:color="auto"/>
        <w:right w:val="none" w:sz="0" w:space="0" w:color="auto"/>
      </w:divBdr>
    </w:div>
    <w:div w:id="917398684">
      <w:bodyDiv w:val="1"/>
      <w:marLeft w:val="0"/>
      <w:marRight w:val="0"/>
      <w:marTop w:val="0"/>
      <w:marBottom w:val="0"/>
      <w:divBdr>
        <w:top w:val="none" w:sz="0" w:space="0" w:color="auto"/>
        <w:left w:val="none" w:sz="0" w:space="0" w:color="auto"/>
        <w:bottom w:val="none" w:sz="0" w:space="0" w:color="auto"/>
        <w:right w:val="none" w:sz="0" w:space="0" w:color="auto"/>
      </w:divBdr>
    </w:div>
    <w:div w:id="927423150">
      <w:bodyDiv w:val="1"/>
      <w:marLeft w:val="0"/>
      <w:marRight w:val="0"/>
      <w:marTop w:val="0"/>
      <w:marBottom w:val="0"/>
      <w:divBdr>
        <w:top w:val="none" w:sz="0" w:space="0" w:color="auto"/>
        <w:left w:val="none" w:sz="0" w:space="0" w:color="auto"/>
        <w:bottom w:val="none" w:sz="0" w:space="0" w:color="auto"/>
        <w:right w:val="none" w:sz="0" w:space="0" w:color="auto"/>
      </w:divBdr>
    </w:div>
    <w:div w:id="943003352">
      <w:bodyDiv w:val="1"/>
      <w:marLeft w:val="0"/>
      <w:marRight w:val="0"/>
      <w:marTop w:val="0"/>
      <w:marBottom w:val="0"/>
      <w:divBdr>
        <w:top w:val="none" w:sz="0" w:space="0" w:color="auto"/>
        <w:left w:val="none" w:sz="0" w:space="0" w:color="auto"/>
        <w:bottom w:val="none" w:sz="0" w:space="0" w:color="auto"/>
        <w:right w:val="none" w:sz="0" w:space="0" w:color="auto"/>
      </w:divBdr>
    </w:div>
    <w:div w:id="949557126">
      <w:bodyDiv w:val="1"/>
      <w:marLeft w:val="0"/>
      <w:marRight w:val="0"/>
      <w:marTop w:val="0"/>
      <w:marBottom w:val="0"/>
      <w:divBdr>
        <w:top w:val="none" w:sz="0" w:space="0" w:color="auto"/>
        <w:left w:val="none" w:sz="0" w:space="0" w:color="auto"/>
        <w:bottom w:val="none" w:sz="0" w:space="0" w:color="auto"/>
        <w:right w:val="none" w:sz="0" w:space="0" w:color="auto"/>
      </w:divBdr>
    </w:div>
    <w:div w:id="962927092">
      <w:bodyDiv w:val="1"/>
      <w:marLeft w:val="0"/>
      <w:marRight w:val="0"/>
      <w:marTop w:val="0"/>
      <w:marBottom w:val="0"/>
      <w:divBdr>
        <w:top w:val="none" w:sz="0" w:space="0" w:color="auto"/>
        <w:left w:val="none" w:sz="0" w:space="0" w:color="auto"/>
        <w:bottom w:val="none" w:sz="0" w:space="0" w:color="auto"/>
        <w:right w:val="none" w:sz="0" w:space="0" w:color="auto"/>
      </w:divBdr>
    </w:div>
    <w:div w:id="965620060">
      <w:bodyDiv w:val="1"/>
      <w:marLeft w:val="0"/>
      <w:marRight w:val="0"/>
      <w:marTop w:val="0"/>
      <w:marBottom w:val="0"/>
      <w:divBdr>
        <w:top w:val="none" w:sz="0" w:space="0" w:color="auto"/>
        <w:left w:val="none" w:sz="0" w:space="0" w:color="auto"/>
        <w:bottom w:val="none" w:sz="0" w:space="0" w:color="auto"/>
        <w:right w:val="none" w:sz="0" w:space="0" w:color="auto"/>
      </w:divBdr>
    </w:div>
    <w:div w:id="989601526">
      <w:bodyDiv w:val="1"/>
      <w:marLeft w:val="0"/>
      <w:marRight w:val="0"/>
      <w:marTop w:val="0"/>
      <w:marBottom w:val="0"/>
      <w:divBdr>
        <w:top w:val="none" w:sz="0" w:space="0" w:color="auto"/>
        <w:left w:val="none" w:sz="0" w:space="0" w:color="auto"/>
        <w:bottom w:val="none" w:sz="0" w:space="0" w:color="auto"/>
        <w:right w:val="none" w:sz="0" w:space="0" w:color="auto"/>
      </w:divBdr>
    </w:div>
    <w:div w:id="994331841">
      <w:bodyDiv w:val="1"/>
      <w:marLeft w:val="0"/>
      <w:marRight w:val="0"/>
      <w:marTop w:val="0"/>
      <w:marBottom w:val="0"/>
      <w:divBdr>
        <w:top w:val="none" w:sz="0" w:space="0" w:color="auto"/>
        <w:left w:val="none" w:sz="0" w:space="0" w:color="auto"/>
        <w:bottom w:val="none" w:sz="0" w:space="0" w:color="auto"/>
        <w:right w:val="none" w:sz="0" w:space="0" w:color="auto"/>
      </w:divBdr>
    </w:div>
    <w:div w:id="994337164">
      <w:bodyDiv w:val="1"/>
      <w:marLeft w:val="0"/>
      <w:marRight w:val="0"/>
      <w:marTop w:val="0"/>
      <w:marBottom w:val="0"/>
      <w:divBdr>
        <w:top w:val="none" w:sz="0" w:space="0" w:color="auto"/>
        <w:left w:val="none" w:sz="0" w:space="0" w:color="auto"/>
        <w:bottom w:val="none" w:sz="0" w:space="0" w:color="auto"/>
        <w:right w:val="none" w:sz="0" w:space="0" w:color="auto"/>
      </w:divBdr>
    </w:div>
    <w:div w:id="1008288306">
      <w:bodyDiv w:val="1"/>
      <w:marLeft w:val="0"/>
      <w:marRight w:val="0"/>
      <w:marTop w:val="0"/>
      <w:marBottom w:val="0"/>
      <w:divBdr>
        <w:top w:val="none" w:sz="0" w:space="0" w:color="auto"/>
        <w:left w:val="none" w:sz="0" w:space="0" w:color="auto"/>
        <w:bottom w:val="none" w:sz="0" w:space="0" w:color="auto"/>
        <w:right w:val="none" w:sz="0" w:space="0" w:color="auto"/>
      </w:divBdr>
    </w:div>
    <w:div w:id="1009137106">
      <w:bodyDiv w:val="1"/>
      <w:marLeft w:val="0"/>
      <w:marRight w:val="0"/>
      <w:marTop w:val="0"/>
      <w:marBottom w:val="0"/>
      <w:divBdr>
        <w:top w:val="none" w:sz="0" w:space="0" w:color="auto"/>
        <w:left w:val="none" w:sz="0" w:space="0" w:color="auto"/>
        <w:bottom w:val="none" w:sz="0" w:space="0" w:color="auto"/>
        <w:right w:val="none" w:sz="0" w:space="0" w:color="auto"/>
      </w:divBdr>
    </w:div>
    <w:div w:id="1009260533">
      <w:bodyDiv w:val="1"/>
      <w:marLeft w:val="0"/>
      <w:marRight w:val="0"/>
      <w:marTop w:val="0"/>
      <w:marBottom w:val="0"/>
      <w:divBdr>
        <w:top w:val="none" w:sz="0" w:space="0" w:color="auto"/>
        <w:left w:val="none" w:sz="0" w:space="0" w:color="auto"/>
        <w:bottom w:val="none" w:sz="0" w:space="0" w:color="auto"/>
        <w:right w:val="none" w:sz="0" w:space="0" w:color="auto"/>
      </w:divBdr>
    </w:div>
    <w:div w:id="1018704001">
      <w:bodyDiv w:val="1"/>
      <w:marLeft w:val="0"/>
      <w:marRight w:val="0"/>
      <w:marTop w:val="0"/>
      <w:marBottom w:val="0"/>
      <w:divBdr>
        <w:top w:val="none" w:sz="0" w:space="0" w:color="auto"/>
        <w:left w:val="none" w:sz="0" w:space="0" w:color="auto"/>
        <w:bottom w:val="none" w:sz="0" w:space="0" w:color="auto"/>
        <w:right w:val="none" w:sz="0" w:space="0" w:color="auto"/>
      </w:divBdr>
    </w:div>
    <w:div w:id="1027482272">
      <w:bodyDiv w:val="1"/>
      <w:marLeft w:val="0"/>
      <w:marRight w:val="0"/>
      <w:marTop w:val="0"/>
      <w:marBottom w:val="0"/>
      <w:divBdr>
        <w:top w:val="none" w:sz="0" w:space="0" w:color="auto"/>
        <w:left w:val="none" w:sz="0" w:space="0" w:color="auto"/>
        <w:bottom w:val="none" w:sz="0" w:space="0" w:color="auto"/>
        <w:right w:val="none" w:sz="0" w:space="0" w:color="auto"/>
      </w:divBdr>
    </w:div>
    <w:div w:id="1034572469">
      <w:bodyDiv w:val="1"/>
      <w:marLeft w:val="0"/>
      <w:marRight w:val="0"/>
      <w:marTop w:val="0"/>
      <w:marBottom w:val="0"/>
      <w:divBdr>
        <w:top w:val="none" w:sz="0" w:space="0" w:color="auto"/>
        <w:left w:val="none" w:sz="0" w:space="0" w:color="auto"/>
        <w:bottom w:val="none" w:sz="0" w:space="0" w:color="auto"/>
        <w:right w:val="none" w:sz="0" w:space="0" w:color="auto"/>
      </w:divBdr>
    </w:div>
    <w:div w:id="1039742026">
      <w:bodyDiv w:val="1"/>
      <w:marLeft w:val="0"/>
      <w:marRight w:val="0"/>
      <w:marTop w:val="0"/>
      <w:marBottom w:val="0"/>
      <w:divBdr>
        <w:top w:val="none" w:sz="0" w:space="0" w:color="auto"/>
        <w:left w:val="none" w:sz="0" w:space="0" w:color="auto"/>
        <w:bottom w:val="none" w:sz="0" w:space="0" w:color="auto"/>
        <w:right w:val="none" w:sz="0" w:space="0" w:color="auto"/>
      </w:divBdr>
    </w:div>
    <w:div w:id="1065877727">
      <w:bodyDiv w:val="1"/>
      <w:marLeft w:val="0"/>
      <w:marRight w:val="0"/>
      <w:marTop w:val="0"/>
      <w:marBottom w:val="0"/>
      <w:divBdr>
        <w:top w:val="none" w:sz="0" w:space="0" w:color="auto"/>
        <w:left w:val="none" w:sz="0" w:space="0" w:color="auto"/>
        <w:bottom w:val="none" w:sz="0" w:space="0" w:color="auto"/>
        <w:right w:val="none" w:sz="0" w:space="0" w:color="auto"/>
      </w:divBdr>
    </w:div>
    <w:div w:id="1067804168">
      <w:bodyDiv w:val="1"/>
      <w:marLeft w:val="0"/>
      <w:marRight w:val="0"/>
      <w:marTop w:val="0"/>
      <w:marBottom w:val="0"/>
      <w:divBdr>
        <w:top w:val="none" w:sz="0" w:space="0" w:color="auto"/>
        <w:left w:val="none" w:sz="0" w:space="0" w:color="auto"/>
        <w:bottom w:val="none" w:sz="0" w:space="0" w:color="auto"/>
        <w:right w:val="none" w:sz="0" w:space="0" w:color="auto"/>
      </w:divBdr>
    </w:div>
    <w:div w:id="1073312992">
      <w:bodyDiv w:val="1"/>
      <w:marLeft w:val="0"/>
      <w:marRight w:val="0"/>
      <w:marTop w:val="0"/>
      <w:marBottom w:val="0"/>
      <w:divBdr>
        <w:top w:val="none" w:sz="0" w:space="0" w:color="auto"/>
        <w:left w:val="none" w:sz="0" w:space="0" w:color="auto"/>
        <w:bottom w:val="none" w:sz="0" w:space="0" w:color="auto"/>
        <w:right w:val="none" w:sz="0" w:space="0" w:color="auto"/>
      </w:divBdr>
    </w:div>
    <w:div w:id="1075517692">
      <w:bodyDiv w:val="1"/>
      <w:marLeft w:val="0"/>
      <w:marRight w:val="0"/>
      <w:marTop w:val="0"/>
      <w:marBottom w:val="0"/>
      <w:divBdr>
        <w:top w:val="none" w:sz="0" w:space="0" w:color="auto"/>
        <w:left w:val="none" w:sz="0" w:space="0" w:color="auto"/>
        <w:bottom w:val="none" w:sz="0" w:space="0" w:color="auto"/>
        <w:right w:val="none" w:sz="0" w:space="0" w:color="auto"/>
      </w:divBdr>
    </w:div>
    <w:div w:id="1091856719">
      <w:bodyDiv w:val="1"/>
      <w:marLeft w:val="0"/>
      <w:marRight w:val="0"/>
      <w:marTop w:val="0"/>
      <w:marBottom w:val="0"/>
      <w:divBdr>
        <w:top w:val="none" w:sz="0" w:space="0" w:color="auto"/>
        <w:left w:val="none" w:sz="0" w:space="0" w:color="auto"/>
        <w:bottom w:val="none" w:sz="0" w:space="0" w:color="auto"/>
        <w:right w:val="none" w:sz="0" w:space="0" w:color="auto"/>
      </w:divBdr>
    </w:div>
    <w:div w:id="1095637863">
      <w:bodyDiv w:val="1"/>
      <w:marLeft w:val="0"/>
      <w:marRight w:val="0"/>
      <w:marTop w:val="0"/>
      <w:marBottom w:val="0"/>
      <w:divBdr>
        <w:top w:val="none" w:sz="0" w:space="0" w:color="auto"/>
        <w:left w:val="none" w:sz="0" w:space="0" w:color="auto"/>
        <w:bottom w:val="none" w:sz="0" w:space="0" w:color="auto"/>
        <w:right w:val="none" w:sz="0" w:space="0" w:color="auto"/>
      </w:divBdr>
    </w:div>
    <w:div w:id="1101101545">
      <w:bodyDiv w:val="1"/>
      <w:marLeft w:val="0"/>
      <w:marRight w:val="0"/>
      <w:marTop w:val="0"/>
      <w:marBottom w:val="0"/>
      <w:divBdr>
        <w:top w:val="none" w:sz="0" w:space="0" w:color="auto"/>
        <w:left w:val="none" w:sz="0" w:space="0" w:color="auto"/>
        <w:bottom w:val="none" w:sz="0" w:space="0" w:color="auto"/>
        <w:right w:val="none" w:sz="0" w:space="0" w:color="auto"/>
      </w:divBdr>
    </w:div>
    <w:div w:id="1108352941">
      <w:bodyDiv w:val="1"/>
      <w:marLeft w:val="0"/>
      <w:marRight w:val="0"/>
      <w:marTop w:val="0"/>
      <w:marBottom w:val="0"/>
      <w:divBdr>
        <w:top w:val="none" w:sz="0" w:space="0" w:color="auto"/>
        <w:left w:val="none" w:sz="0" w:space="0" w:color="auto"/>
        <w:bottom w:val="none" w:sz="0" w:space="0" w:color="auto"/>
        <w:right w:val="none" w:sz="0" w:space="0" w:color="auto"/>
      </w:divBdr>
    </w:div>
    <w:div w:id="1121613134">
      <w:bodyDiv w:val="1"/>
      <w:marLeft w:val="0"/>
      <w:marRight w:val="0"/>
      <w:marTop w:val="0"/>
      <w:marBottom w:val="0"/>
      <w:divBdr>
        <w:top w:val="none" w:sz="0" w:space="0" w:color="auto"/>
        <w:left w:val="none" w:sz="0" w:space="0" w:color="auto"/>
        <w:bottom w:val="none" w:sz="0" w:space="0" w:color="auto"/>
        <w:right w:val="none" w:sz="0" w:space="0" w:color="auto"/>
      </w:divBdr>
    </w:div>
    <w:div w:id="1130854693">
      <w:bodyDiv w:val="1"/>
      <w:marLeft w:val="0"/>
      <w:marRight w:val="0"/>
      <w:marTop w:val="0"/>
      <w:marBottom w:val="0"/>
      <w:divBdr>
        <w:top w:val="none" w:sz="0" w:space="0" w:color="auto"/>
        <w:left w:val="none" w:sz="0" w:space="0" w:color="auto"/>
        <w:bottom w:val="none" w:sz="0" w:space="0" w:color="auto"/>
        <w:right w:val="none" w:sz="0" w:space="0" w:color="auto"/>
      </w:divBdr>
    </w:div>
    <w:div w:id="1137382617">
      <w:bodyDiv w:val="1"/>
      <w:marLeft w:val="0"/>
      <w:marRight w:val="0"/>
      <w:marTop w:val="0"/>
      <w:marBottom w:val="0"/>
      <w:divBdr>
        <w:top w:val="none" w:sz="0" w:space="0" w:color="auto"/>
        <w:left w:val="none" w:sz="0" w:space="0" w:color="auto"/>
        <w:bottom w:val="none" w:sz="0" w:space="0" w:color="auto"/>
        <w:right w:val="none" w:sz="0" w:space="0" w:color="auto"/>
      </w:divBdr>
    </w:div>
    <w:div w:id="1137645781">
      <w:bodyDiv w:val="1"/>
      <w:marLeft w:val="0"/>
      <w:marRight w:val="0"/>
      <w:marTop w:val="0"/>
      <w:marBottom w:val="0"/>
      <w:divBdr>
        <w:top w:val="none" w:sz="0" w:space="0" w:color="auto"/>
        <w:left w:val="none" w:sz="0" w:space="0" w:color="auto"/>
        <w:bottom w:val="none" w:sz="0" w:space="0" w:color="auto"/>
        <w:right w:val="none" w:sz="0" w:space="0" w:color="auto"/>
      </w:divBdr>
    </w:div>
    <w:div w:id="1142036357">
      <w:bodyDiv w:val="1"/>
      <w:marLeft w:val="0"/>
      <w:marRight w:val="0"/>
      <w:marTop w:val="0"/>
      <w:marBottom w:val="0"/>
      <w:divBdr>
        <w:top w:val="none" w:sz="0" w:space="0" w:color="auto"/>
        <w:left w:val="none" w:sz="0" w:space="0" w:color="auto"/>
        <w:bottom w:val="none" w:sz="0" w:space="0" w:color="auto"/>
        <w:right w:val="none" w:sz="0" w:space="0" w:color="auto"/>
      </w:divBdr>
    </w:div>
    <w:div w:id="1149174290">
      <w:bodyDiv w:val="1"/>
      <w:marLeft w:val="0"/>
      <w:marRight w:val="0"/>
      <w:marTop w:val="0"/>
      <w:marBottom w:val="0"/>
      <w:divBdr>
        <w:top w:val="none" w:sz="0" w:space="0" w:color="auto"/>
        <w:left w:val="none" w:sz="0" w:space="0" w:color="auto"/>
        <w:bottom w:val="none" w:sz="0" w:space="0" w:color="auto"/>
        <w:right w:val="none" w:sz="0" w:space="0" w:color="auto"/>
      </w:divBdr>
    </w:div>
    <w:div w:id="1150251349">
      <w:bodyDiv w:val="1"/>
      <w:marLeft w:val="0"/>
      <w:marRight w:val="0"/>
      <w:marTop w:val="0"/>
      <w:marBottom w:val="0"/>
      <w:divBdr>
        <w:top w:val="none" w:sz="0" w:space="0" w:color="auto"/>
        <w:left w:val="none" w:sz="0" w:space="0" w:color="auto"/>
        <w:bottom w:val="none" w:sz="0" w:space="0" w:color="auto"/>
        <w:right w:val="none" w:sz="0" w:space="0" w:color="auto"/>
      </w:divBdr>
    </w:div>
    <w:div w:id="1155226205">
      <w:bodyDiv w:val="1"/>
      <w:marLeft w:val="0"/>
      <w:marRight w:val="0"/>
      <w:marTop w:val="0"/>
      <w:marBottom w:val="0"/>
      <w:divBdr>
        <w:top w:val="none" w:sz="0" w:space="0" w:color="auto"/>
        <w:left w:val="none" w:sz="0" w:space="0" w:color="auto"/>
        <w:bottom w:val="none" w:sz="0" w:space="0" w:color="auto"/>
        <w:right w:val="none" w:sz="0" w:space="0" w:color="auto"/>
      </w:divBdr>
    </w:div>
    <w:div w:id="1166898919">
      <w:bodyDiv w:val="1"/>
      <w:marLeft w:val="0"/>
      <w:marRight w:val="0"/>
      <w:marTop w:val="0"/>
      <w:marBottom w:val="0"/>
      <w:divBdr>
        <w:top w:val="none" w:sz="0" w:space="0" w:color="auto"/>
        <w:left w:val="none" w:sz="0" w:space="0" w:color="auto"/>
        <w:bottom w:val="none" w:sz="0" w:space="0" w:color="auto"/>
        <w:right w:val="none" w:sz="0" w:space="0" w:color="auto"/>
      </w:divBdr>
    </w:div>
    <w:div w:id="1202281588">
      <w:bodyDiv w:val="1"/>
      <w:marLeft w:val="0"/>
      <w:marRight w:val="0"/>
      <w:marTop w:val="0"/>
      <w:marBottom w:val="0"/>
      <w:divBdr>
        <w:top w:val="none" w:sz="0" w:space="0" w:color="auto"/>
        <w:left w:val="none" w:sz="0" w:space="0" w:color="auto"/>
        <w:bottom w:val="none" w:sz="0" w:space="0" w:color="auto"/>
        <w:right w:val="none" w:sz="0" w:space="0" w:color="auto"/>
      </w:divBdr>
    </w:div>
    <w:div w:id="1217618917">
      <w:bodyDiv w:val="1"/>
      <w:marLeft w:val="0"/>
      <w:marRight w:val="0"/>
      <w:marTop w:val="0"/>
      <w:marBottom w:val="0"/>
      <w:divBdr>
        <w:top w:val="none" w:sz="0" w:space="0" w:color="auto"/>
        <w:left w:val="none" w:sz="0" w:space="0" w:color="auto"/>
        <w:bottom w:val="none" w:sz="0" w:space="0" w:color="auto"/>
        <w:right w:val="none" w:sz="0" w:space="0" w:color="auto"/>
      </w:divBdr>
    </w:div>
    <w:div w:id="1223906361">
      <w:bodyDiv w:val="1"/>
      <w:marLeft w:val="0"/>
      <w:marRight w:val="0"/>
      <w:marTop w:val="0"/>
      <w:marBottom w:val="0"/>
      <w:divBdr>
        <w:top w:val="none" w:sz="0" w:space="0" w:color="auto"/>
        <w:left w:val="none" w:sz="0" w:space="0" w:color="auto"/>
        <w:bottom w:val="none" w:sz="0" w:space="0" w:color="auto"/>
        <w:right w:val="none" w:sz="0" w:space="0" w:color="auto"/>
      </w:divBdr>
    </w:div>
    <w:div w:id="1226070191">
      <w:bodyDiv w:val="1"/>
      <w:marLeft w:val="0"/>
      <w:marRight w:val="0"/>
      <w:marTop w:val="0"/>
      <w:marBottom w:val="0"/>
      <w:divBdr>
        <w:top w:val="none" w:sz="0" w:space="0" w:color="auto"/>
        <w:left w:val="none" w:sz="0" w:space="0" w:color="auto"/>
        <w:bottom w:val="none" w:sz="0" w:space="0" w:color="auto"/>
        <w:right w:val="none" w:sz="0" w:space="0" w:color="auto"/>
      </w:divBdr>
    </w:div>
    <w:div w:id="1231766018">
      <w:bodyDiv w:val="1"/>
      <w:marLeft w:val="0"/>
      <w:marRight w:val="0"/>
      <w:marTop w:val="0"/>
      <w:marBottom w:val="0"/>
      <w:divBdr>
        <w:top w:val="none" w:sz="0" w:space="0" w:color="auto"/>
        <w:left w:val="none" w:sz="0" w:space="0" w:color="auto"/>
        <w:bottom w:val="none" w:sz="0" w:space="0" w:color="auto"/>
        <w:right w:val="none" w:sz="0" w:space="0" w:color="auto"/>
      </w:divBdr>
    </w:div>
    <w:div w:id="1234927388">
      <w:bodyDiv w:val="1"/>
      <w:marLeft w:val="0"/>
      <w:marRight w:val="0"/>
      <w:marTop w:val="0"/>
      <w:marBottom w:val="0"/>
      <w:divBdr>
        <w:top w:val="none" w:sz="0" w:space="0" w:color="auto"/>
        <w:left w:val="none" w:sz="0" w:space="0" w:color="auto"/>
        <w:bottom w:val="none" w:sz="0" w:space="0" w:color="auto"/>
        <w:right w:val="none" w:sz="0" w:space="0" w:color="auto"/>
      </w:divBdr>
    </w:div>
    <w:div w:id="1235237852">
      <w:bodyDiv w:val="1"/>
      <w:marLeft w:val="0"/>
      <w:marRight w:val="0"/>
      <w:marTop w:val="0"/>
      <w:marBottom w:val="0"/>
      <w:divBdr>
        <w:top w:val="none" w:sz="0" w:space="0" w:color="auto"/>
        <w:left w:val="none" w:sz="0" w:space="0" w:color="auto"/>
        <w:bottom w:val="none" w:sz="0" w:space="0" w:color="auto"/>
        <w:right w:val="none" w:sz="0" w:space="0" w:color="auto"/>
      </w:divBdr>
    </w:div>
    <w:div w:id="1235819201">
      <w:bodyDiv w:val="1"/>
      <w:marLeft w:val="0"/>
      <w:marRight w:val="0"/>
      <w:marTop w:val="0"/>
      <w:marBottom w:val="0"/>
      <w:divBdr>
        <w:top w:val="none" w:sz="0" w:space="0" w:color="auto"/>
        <w:left w:val="none" w:sz="0" w:space="0" w:color="auto"/>
        <w:bottom w:val="none" w:sz="0" w:space="0" w:color="auto"/>
        <w:right w:val="none" w:sz="0" w:space="0" w:color="auto"/>
      </w:divBdr>
    </w:div>
    <w:div w:id="1238975347">
      <w:bodyDiv w:val="1"/>
      <w:marLeft w:val="0"/>
      <w:marRight w:val="0"/>
      <w:marTop w:val="0"/>
      <w:marBottom w:val="0"/>
      <w:divBdr>
        <w:top w:val="none" w:sz="0" w:space="0" w:color="auto"/>
        <w:left w:val="none" w:sz="0" w:space="0" w:color="auto"/>
        <w:bottom w:val="none" w:sz="0" w:space="0" w:color="auto"/>
        <w:right w:val="none" w:sz="0" w:space="0" w:color="auto"/>
      </w:divBdr>
    </w:div>
    <w:div w:id="1243686936">
      <w:bodyDiv w:val="1"/>
      <w:marLeft w:val="0"/>
      <w:marRight w:val="0"/>
      <w:marTop w:val="0"/>
      <w:marBottom w:val="0"/>
      <w:divBdr>
        <w:top w:val="none" w:sz="0" w:space="0" w:color="auto"/>
        <w:left w:val="none" w:sz="0" w:space="0" w:color="auto"/>
        <w:bottom w:val="none" w:sz="0" w:space="0" w:color="auto"/>
        <w:right w:val="none" w:sz="0" w:space="0" w:color="auto"/>
      </w:divBdr>
    </w:div>
    <w:div w:id="1251088454">
      <w:bodyDiv w:val="1"/>
      <w:marLeft w:val="0"/>
      <w:marRight w:val="0"/>
      <w:marTop w:val="0"/>
      <w:marBottom w:val="0"/>
      <w:divBdr>
        <w:top w:val="none" w:sz="0" w:space="0" w:color="auto"/>
        <w:left w:val="none" w:sz="0" w:space="0" w:color="auto"/>
        <w:bottom w:val="none" w:sz="0" w:space="0" w:color="auto"/>
        <w:right w:val="none" w:sz="0" w:space="0" w:color="auto"/>
      </w:divBdr>
    </w:div>
    <w:div w:id="1269317550">
      <w:bodyDiv w:val="1"/>
      <w:marLeft w:val="0"/>
      <w:marRight w:val="0"/>
      <w:marTop w:val="0"/>
      <w:marBottom w:val="0"/>
      <w:divBdr>
        <w:top w:val="none" w:sz="0" w:space="0" w:color="auto"/>
        <w:left w:val="none" w:sz="0" w:space="0" w:color="auto"/>
        <w:bottom w:val="none" w:sz="0" w:space="0" w:color="auto"/>
        <w:right w:val="none" w:sz="0" w:space="0" w:color="auto"/>
      </w:divBdr>
    </w:div>
    <w:div w:id="1270358837">
      <w:bodyDiv w:val="1"/>
      <w:marLeft w:val="0"/>
      <w:marRight w:val="0"/>
      <w:marTop w:val="0"/>
      <w:marBottom w:val="0"/>
      <w:divBdr>
        <w:top w:val="none" w:sz="0" w:space="0" w:color="auto"/>
        <w:left w:val="none" w:sz="0" w:space="0" w:color="auto"/>
        <w:bottom w:val="none" w:sz="0" w:space="0" w:color="auto"/>
        <w:right w:val="none" w:sz="0" w:space="0" w:color="auto"/>
      </w:divBdr>
    </w:div>
    <w:div w:id="1275401271">
      <w:bodyDiv w:val="1"/>
      <w:marLeft w:val="0"/>
      <w:marRight w:val="0"/>
      <w:marTop w:val="0"/>
      <w:marBottom w:val="0"/>
      <w:divBdr>
        <w:top w:val="none" w:sz="0" w:space="0" w:color="auto"/>
        <w:left w:val="none" w:sz="0" w:space="0" w:color="auto"/>
        <w:bottom w:val="none" w:sz="0" w:space="0" w:color="auto"/>
        <w:right w:val="none" w:sz="0" w:space="0" w:color="auto"/>
      </w:divBdr>
    </w:div>
    <w:div w:id="1276641901">
      <w:bodyDiv w:val="1"/>
      <w:marLeft w:val="0"/>
      <w:marRight w:val="0"/>
      <w:marTop w:val="0"/>
      <w:marBottom w:val="0"/>
      <w:divBdr>
        <w:top w:val="none" w:sz="0" w:space="0" w:color="auto"/>
        <w:left w:val="none" w:sz="0" w:space="0" w:color="auto"/>
        <w:bottom w:val="none" w:sz="0" w:space="0" w:color="auto"/>
        <w:right w:val="none" w:sz="0" w:space="0" w:color="auto"/>
      </w:divBdr>
    </w:div>
    <w:div w:id="1279722356">
      <w:bodyDiv w:val="1"/>
      <w:marLeft w:val="0"/>
      <w:marRight w:val="0"/>
      <w:marTop w:val="0"/>
      <w:marBottom w:val="0"/>
      <w:divBdr>
        <w:top w:val="none" w:sz="0" w:space="0" w:color="auto"/>
        <w:left w:val="none" w:sz="0" w:space="0" w:color="auto"/>
        <w:bottom w:val="none" w:sz="0" w:space="0" w:color="auto"/>
        <w:right w:val="none" w:sz="0" w:space="0" w:color="auto"/>
      </w:divBdr>
    </w:div>
    <w:div w:id="1280724869">
      <w:bodyDiv w:val="1"/>
      <w:marLeft w:val="0"/>
      <w:marRight w:val="0"/>
      <w:marTop w:val="0"/>
      <w:marBottom w:val="0"/>
      <w:divBdr>
        <w:top w:val="none" w:sz="0" w:space="0" w:color="auto"/>
        <w:left w:val="none" w:sz="0" w:space="0" w:color="auto"/>
        <w:bottom w:val="none" w:sz="0" w:space="0" w:color="auto"/>
        <w:right w:val="none" w:sz="0" w:space="0" w:color="auto"/>
      </w:divBdr>
    </w:div>
    <w:div w:id="1282302465">
      <w:bodyDiv w:val="1"/>
      <w:marLeft w:val="0"/>
      <w:marRight w:val="0"/>
      <w:marTop w:val="0"/>
      <w:marBottom w:val="0"/>
      <w:divBdr>
        <w:top w:val="none" w:sz="0" w:space="0" w:color="auto"/>
        <w:left w:val="none" w:sz="0" w:space="0" w:color="auto"/>
        <w:bottom w:val="none" w:sz="0" w:space="0" w:color="auto"/>
        <w:right w:val="none" w:sz="0" w:space="0" w:color="auto"/>
      </w:divBdr>
    </w:div>
    <w:div w:id="1294747154">
      <w:bodyDiv w:val="1"/>
      <w:marLeft w:val="0"/>
      <w:marRight w:val="0"/>
      <w:marTop w:val="0"/>
      <w:marBottom w:val="0"/>
      <w:divBdr>
        <w:top w:val="none" w:sz="0" w:space="0" w:color="auto"/>
        <w:left w:val="none" w:sz="0" w:space="0" w:color="auto"/>
        <w:bottom w:val="none" w:sz="0" w:space="0" w:color="auto"/>
        <w:right w:val="none" w:sz="0" w:space="0" w:color="auto"/>
      </w:divBdr>
    </w:div>
    <w:div w:id="1296646293">
      <w:bodyDiv w:val="1"/>
      <w:marLeft w:val="0"/>
      <w:marRight w:val="0"/>
      <w:marTop w:val="0"/>
      <w:marBottom w:val="0"/>
      <w:divBdr>
        <w:top w:val="none" w:sz="0" w:space="0" w:color="auto"/>
        <w:left w:val="none" w:sz="0" w:space="0" w:color="auto"/>
        <w:bottom w:val="none" w:sz="0" w:space="0" w:color="auto"/>
        <w:right w:val="none" w:sz="0" w:space="0" w:color="auto"/>
      </w:divBdr>
    </w:div>
    <w:div w:id="1297026171">
      <w:bodyDiv w:val="1"/>
      <w:marLeft w:val="0"/>
      <w:marRight w:val="0"/>
      <w:marTop w:val="0"/>
      <w:marBottom w:val="0"/>
      <w:divBdr>
        <w:top w:val="none" w:sz="0" w:space="0" w:color="auto"/>
        <w:left w:val="none" w:sz="0" w:space="0" w:color="auto"/>
        <w:bottom w:val="none" w:sz="0" w:space="0" w:color="auto"/>
        <w:right w:val="none" w:sz="0" w:space="0" w:color="auto"/>
      </w:divBdr>
    </w:div>
    <w:div w:id="1302879854">
      <w:bodyDiv w:val="1"/>
      <w:marLeft w:val="0"/>
      <w:marRight w:val="0"/>
      <w:marTop w:val="0"/>
      <w:marBottom w:val="0"/>
      <w:divBdr>
        <w:top w:val="none" w:sz="0" w:space="0" w:color="auto"/>
        <w:left w:val="none" w:sz="0" w:space="0" w:color="auto"/>
        <w:bottom w:val="none" w:sz="0" w:space="0" w:color="auto"/>
        <w:right w:val="none" w:sz="0" w:space="0" w:color="auto"/>
      </w:divBdr>
    </w:div>
    <w:div w:id="1303656394">
      <w:bodyDiv w:val="1"/>
      <w:marLeft w:val="0"/>
      <w:marRight w:val="0"/>
      <w:marTop w:val="0"/>
      <w:marBottom w:val="0"/>
      <w:divBdr>
        <w:top w:val="none" w:sz="0" w:space="0" w:color="auto"/>
        <w:left w:val="none" w:sz="0" w:space="0" w:color="auto"/>
        <w:bottom w:val="none" w:sz="0" w:space="0" w:color="auto"/>
        <w:right w:val="none" w:sz="0" w:space="0" w:color="auto"/>
      </w:divBdr>
    </w:div>
    <w:div w:id="1305811422">
      <w:bodyDiv w:val="1"/>
      <w:marLeft w:val="0"/>
      <w:marRight w:val="0"/>
      <w:marTop w:val="0"/>
      <w:marBottom w:val="0"/>
      <w:divBdr>
        <w:top w:val="none" w:sz="0" w:space="0" w:color="auto"/>
        <w:left w:val="none" w:sz="0" w:space="0" w:color="auto"/>
        <w:bottom w:val="none" w:sz="0" w:space="0" w:color="auto"/>
        <w:right w:val="none" w:sz="0" w:space="0" w:color="auto"/>
      </w:divBdr>
    </w:div>
    <w:div w:id="1312179602">
      <w:bodyDiv w:val="1"/>
      <w:marLeft w:val="0"/>
      <w:marRight w:val="0"/>
      <w:marTop w:val="0"/>
      <w:marBottom w:val="0"/>
      <w:divBdr>
        <w:top w:val="none" w:sz="0" w:space="0" w:color="auto"/>
        <w:left w:val="none" w:sz="0" w:space="0" w:color="auto"/>
        <w:bottom w:val="none" w:sz="0" w:space="0" w:color="auto"/>
        <w:right w:val="none" w:sz="0" w:space="0" w:color="auto"/>
      </w:divBdr>
    </w:div>
    <w:div w:id="1322083028">
      <w:bodyDiv w:val="1"/>
      <w:marLeft w:val="0"/>
      <w:marRight w:val="0"/>
      <w:marTop w:val="0"/>
      <w:marBottom w:val="0"/>
      <w:divBdr>
        <w:top w:val="none" w:sz="0" w:space="0" w:color="auto"/>
        <w:left w:val="none" w:sz="0" w:space="0" w:color="auto"/>
        <w:bottom w:val="none" w:sz="0" w:space="0" w:color="auto"/>
        <w:right w:val="none" w:sz="0" w:space="0" w:color="auto"/>
      </w:divBdr>
    </w:div>
    <w:div w:id="1325163020">
      <w:bodyDiv w:val="1"/>
      <w:marLeft w:val="0"/>
      <w:marRight w:val="0"/>
      <w:marTop w:val="0"/>
      <w:marBottom w:val="0"/>
      <w:divBdr>
        <w:top w:val="none" w:sz="0" w:space="0" w:color="auto"/>
        <w:left w:val="none" w:sz="0" w:space="0" w:color="auto"/>
        <w:bottom w:val="none" w:sz="0" w:space="0" w:color="auto"/>
        <w:right w:val="none" w:sz="0" w:space="0" w:color="auto"/>
      </w:divBdr>
    </w:div>
    <w:div w:id="1329360086">
      <w:bodyDiv w:val="1"/>
      <w:marLeft w:val="0"/>
      <w:marRight w:val="0"/>
      <w:marTop w:val="0"/>
      <w:marBottom w:val="0"/>
      <w:divBdr>
        <w:top w:val="none" w:sz="0" w:space="0" w:color="auto"/>
        <w:left w:val="none" w:sz="0" w:space="0" w:color="auto"/>
        <w:bottom w:val="none" w:sz="0" w:space="0" w:color="auto"/>
        <w:right w:val="none" w:sz="0" w:space="0" w:color="auto"/>
      </w:divBdr>
    </w:div>
    <w:div w:id="1335301669">
      <w:bodyDiv w:val="1"/>
      <w:marLeft w:val="0"/>
      <w:marRight w:val="0"/>
      <w:marTop w:val="0"/>
      <w:marBottom w:val="0"/>
      <w:divBdr>
        <w:top w:val="none" w:sz="0" w:space="0" w:color="auto"/>
        <w:left w:val="none" w:sz="0" w:space="0" w:color="auto"/>
        <w:bottom w:val="none" w:sz="0" w:space="0" w:color="auto"/>
        <w:right w:val="none" w:sz="0" w:space="0" w:color="auto"/>
      </w:divBdr>
    </w:div>
    <w:div w:id="1335958695">
      <w:bodyDiv w:val="1"/>
      <w:marLeft w:val="0"/>
      <w:marRight w:val="0"/>
      <w:marTop w:val="0"/>
      <w:marBottom w:val="0"/>
      <w:divBdr>
        <w:top w:val="none" w:sz="0" w:space="0" w:color="auto"/>
        <w:left w:val="none" w:sz="0" w:space="0" w:color="auto"/>
        <w:bottom w:val="none" w:sz="0" w:space="0" w:color="auto"/>
        <w:right w:val="none" w:sz="0" w:space="0" w:color="auto"/>
      </w:divBdr>
    </w:div>
    <w:div w:id="1341161359">
      <w:bodyDiv w:val="1"/>
      <w:marLeft w:val="0"/>
      <w:marRight w:val="0"/>
      <w:marTop w:val="0"/>
      <w:marBottom w:val="0"/>
      <w:divBdr>
        <w:top w:val="none" w:sz="0" w:space="0" w:color="auto"/>
        <w:left w:val="none" w:sz="0" w:space="0" w:color="auto"/>
        <w:bottom w:val="none" w:sz="0" w:space="0" w:color="auto"/>
        <w:right w:val="none" w:sz="0" w:space="0" w:color="auto"/>
      </w:divBdr>
    </w:div>
    <w:div w:id="1360547231">
      <w:bodyDiv w:val="1"/>
      <w:marLeft w:val="0"/>
      <w:marRight w:val="0"/>
      <w:marTop w:val="0"/>
      <w:marBottom w:val="0"/>
      <w:divBdr>
        <w:top w:val="none" w:sz="0" w:space="0" w:color="auto"/>
        <w:left w:val="none" w:sz="0" w:space="0" w:color="auto"/>
        <w:bottom w:val="none" w:sz="0" w:space="0" w:color="auto"/>
        <w:right w:val="none" w:sz="0" w:space="0" w:color="auto"/>
      </w:divBdr>
    </w:div>
    <w:div w:id="1367487686">
      <w:bodyDiv w:val="1"/>
      <w:marLeft w:val="0"/>
      <w:marRight w:val="0"/>
      <w:marTop w:val="0"/>
      <w:marBottom w:val="0"/>
      <w:divBdr>
        <w:top w:val="none" w:sz="0" w:space="0" w:color="auto"/>
        <w:left w:val="none" w:sz="0" w:space="0" w:color="auto"/>
        <w:bottom w:val="none" w:sz="0" w:space="0" w:color="auto"/>
        <w:right w:val="none" w:sz="0" w:space="0" w:color="auto"/>
      </w:divBdr>
    </w:div>
    <w:div w:id="1383485806">
      <w:bodyDiv w:val="1"/>
      <w:marLeft w:val="0"/>
      <w:marRight w:val="0"/>
      <w:marTop w:val="0"/>
      <w:marBottom w:val="0"/>
      <w:divBdr>
        <w:top w:val="none" w:sz="0" w:space="0" w:color="auto"/>
        <w:left w:val="none" w:sz="0" w:space="0" w:color="auto"/>
        <w:bottom w:val="none" w:sz="0" w:space="0" w:color="auto"/>
        <w:right w:val="none" w:sz="0" w:space="0" w:color="auto"/>
      </w:divBdr>
    </w:div>
    <w:div w:id="1386223549">
      <w:bodyDiv w:val="1"/>
      <w:marLeft w:val="0"/>
      <w:marRight w:val="0"/>
      <w:marTop w:val="0"/>
      <w:marBottom w:val="0"/>
      <w:divBdr>
        <w:top w:val="none" w:sz="0" w:space="0" w:color="auto"/>
        <w:left w:val="none" w:sz="0" w:space="0" w:color="auto"/>
        <w:bottom w:val="none" w:sz="0" w:space="0" w:color="auto"/>
        <w:right w:val="none" w:sz="0" w:space="0" w:color="auto"/>
      </w:divBdr>
    </w:div>
    <w:div w:id="1400903456">
      <w:bodyDiv w:val="1"/>
      <w:marLeft w:val="0"/>
      <w:marRight w:val="0"/>
      <w:marTop w:val="0"/>
      <w:marBottom w:val="0"/>
      <w:divBdr>
        <w:top w:val="none" w:sz="0" w:space="0" w:color="auto"/>
        <w:left w:val="none" w:sz="0" w:space="0" w:color="auto"/>
        <w:bottom w:val="none" w:sz="0" w:space="0" w:color="auto"/>
        <w:right w:val="none" w:sz="0" w:space="0" w:color="auto"/>
      </w:divBdr>
    </w:div>
    <w:div w:id="1402829197">
      <w:bodyDiv w:val="1"/>
      <w:marLeft w:val="0"/>
      <w:marRight w:val="0"/>
      <w:marTop w:val="0"/>
      <w:marBottom w:val="0"/>
      <w:divBdr>
        <w:top w:val="none" w:sz="0" w:space="0" w:color="auto"/>
        <w:left w:val="none" w:sz="0" w:space="0" w:color="auto"/>
        <w:bottom w:val="none" w:sz="0" w:space="0" w:color="auto"/>
        <w:right w:val="none" w:sz="0" w:space="0" w:color="auto"/>
      </w:divBdr>
    </w:div>
    <w:div w:id="1408069522">
      <w:bodyDiv w:val="1"/>
      <w:marLeft w:val="0"/>
      <w:marRight w:val="0"/>
      <w:marTop w:val="0"/>
      <w:marBottom w:val="0"/>
      <w:divBdr>
        <w:top w:val="none" w:sz="0" w:space="0" w:color="auto"/>
        <w:left w:val="none" w:sz="0" w:space="0" w:color="auto"/>
        <w:bottom w:val="none" w:sz="0" w:space="0" w:color="auto"/>
        <w:right w:val="none" w:sz="0" w:space="0" w:color="auto"/>
      </w:divBdr>
    </w:div>
    <w:div w:id="1413812359">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19403307">
      <w:bodyDiv w:val="1"/>
      <w:marLeft w:val="0"/>
      <w:marRight w:val="0"/>
      <w:marTop w:val="0"/>
      <w:marBottom w:val="0"/>
      <w:divBdr>
        <w:top w:val="none" w:sz="0" w:space="0" w:color="auto"/>
        <w:left w:val="none" w:sz="0" w:space="0" w:color="auto"/>
        <w:bottom w:val="none" w:sz="0" w:space="0" w:color="auto"/>
        <w:right w:val="none" w:sz="0" w:space="0" w:color="auto"/>
      </w:divBdr>
    </w:div>
    <w:div w:id="1422872939">
      <w:bodyDiv w:val="1"/>
      <w:marLeft w:val="0"/>
      <w:marRight w:val="0"/>
      <w:marTop w:val="0"/>
      <w:marBottom w:val="0"/>
      <w:divBdr>
        <w:top w:val="none" w:sz="0" w:space="0" w:color="auto"/>
        <w:left w:val="none" w:sz="0" w:space="0" w:color="auto"/>
        <w:bottom w:val="none" w:sz="0" w:space="0" w:color="auto"/>
        <w:right w:val="none" w:sz="0" w:space="0" w:color="auto"/>
      </w:divBdr>
    </w:div>
    <w:div w:id="1422988151">
      <w:bodyDiv w:val="1"/>
      <w:marLeft w:val="0"/>
      <w:marRight w:val="0"/>
      <w:marTop w:val="0"/>
      <w:marBottom w:val="0"/>
      <w:divBdr>
        <w:top w:val="none" w:sz="0" w:space="0" w:color="auto"/>
        <w:left w:val="none" w:sz="0" w:space="0" w:color="auto"/>
        <w:bottom w:val="none" w:sz="0" w:space="0" w:color="auto"/>
        <w:right w:val="none" w:sz="0" w:space="0" w:color="auto"/>
      </w:divBdr>
    </w:div>
    <w:div w:id="1427312509">
      <w:bodyDiv w:val="1"/>
      <w:marLeft w:val="0"/>
      <w:marRight w:val="0"/>
      <w:marTop w:val="0"/>
      <w:marBottom w:val="0"/>
      <w:divBdr>
        <w:top w:val="none" w:sz="0" w:space="0" w:color="auto"/>
        <w:left w:val="none" w:sz="0" w:space="0" w:color="auto"/>
        <w:bottom w:val="none" w:sz="0" w:space="0" w:color="auto"/>
        <w:right w:val="none" w:sz="0" w:space="0" w:color="auto"/>
      </w:divBdr>
    </w:div>
    <w:div w:id="1430739134">
      <w:bodyDiv w:val="1"/>
      <w:marLeft w:val="0"/>
      <w:marRight w:val="0"/>
      <w:marTop w:val="0"/>
      <w:marBottom w:val="0"/>
      <w:divBdr>
        <w:top w:val="none" w:sz="0" w:space="0" w:color="auto"/>
        <w:left w:val="none" w:sz="0" w:space="0" w:color="auto"/>
        <w:bottom w:val="none" w:sz="0" w:space="0" w:color="auto"/>
        <w:right w:val="none" w:sz="0" w:space="0" w:color="auto"/>
      </w:divBdr>
    </w:div>
    <w:div w:id="1447038416">
      <w:bodyDiv w:val="1"/>
      <w:marLeft w:val="0"/>
      <w:marRight w:val="0"/>
      <w:marTop w:val="0"/>
      <w:marBottom w:val="0"/>
      <w:divBdr>
        <w:top w:val="none" w:sz="0" w:space="0" w:color="auto"/>
        <w:left w:val="none" w:sz="0" w:space="0" w:color="auto"/>
        <w:bottom w:val="none" w:sz="0" w:space="0" w:color="auto"/>
        <w:right w:val="none" w:sz="0" w:space="0" w:color="auto"/>
      </w:divBdr>
    </w:div>
    <w:div w:id="1453162433">
      <w:bodyDiv w:val="1"/>
      <w:marLeft w:val="0"/>
      <w:marRight w:val="0"/>
      <w:marTop w:val="0"/>
      <w:marBottom w:val="0"/>
      <w:divBdr>
        <w:top w:val="none" w:sz="0" w:space="0" w:color="auto"/>
        <w:left w:val="none" w:sz="0" w:space="0" w:color="auto"/>
        <w:bottom w:val="none" w:sz="0" w:space="0" w:color="auto"/>
        <w:right w:val="none" w:sz="0" w:space="0" w:color="auto"/>
      </w:divBdr>
    </w:div>
    <w:div w:id="1457794384">
      <w:bodyDiv w:val="1"/>
      <w:marLeft w:val="0"/>
      <w:marRight w:val="0"/>
      <w:marTop w:val="0"/>
      <w:marBottom w:val="0"/>
      <w:divBdr>
        <w:top w:val="none" w:sz="0" w:space="0" w:color="auto"/>
        <w:left w:val="none" w:sz="0" w:space="0" w:color="auto"/>
        <w:bottom w:val="none" w:sz="0" w:space="0" w:color="auto"/>
        <w:right w:val="none" w:sz="0" w:space="0" w:color="auto"/>
      </w:divBdr>
    </w:div>
    <w:div w:id="1458379680">
      <w:bodyDiv w:val="1"/>
      <w:marLeft w:val="0"/>
      <w:marRight w:val="0"/>
      <w:marTop w:val="0"/>
      <w:marBottom w:val="0"/>
      <w:divBdr>
        <w:top w:val="none" w:sz="0" w:space="0" w:color="auto"/>
        <w:left w:val="none" w:sz="0" w:space="0" w:color="auto"/>
        <w:bottom w:val="none" w:sz="0" w:space="0" w:color="auto"/>
        <w:right w:val="none" w:sz="0" w:space="0" w:color="auto"/>
      </w:divBdr>
    </w:div>
    <w:div w:id="1473906012">
      <w:bodyDiv w:val="1"/>
      <w:marLeft w:val="0"/>
      <w:marRight w:val="0"/>
      <w:marTop w:val="0"/>
      <w:marBottom w:val="0"/>
      <w:divBdr>
        <w:top w:val="none" w:sz="0" w:space="0" w:color="auto"/>
        <w:left w:val="none" w:sz="0" w:space="0" w:color="auto"/>
        <w:bottom w:val="none" w:sz="0" w:space="0" w:color="auto"/>
        <w:right w:val="none" w:sz="0" w:space="0" w:color="auto"/>
      </w:divBdr>
    </w:div>
    <w:div w:id="1497846234">
      <w:bodyDiv w:val="1"/>
      <w:marLeft w:val="0"/>
      <w:marRight w:val="0"/>
      <w:marTop w:val="0"/>
      <w:marBottom w:val="0"/>
      <w:divBdr>
        <w:top w:val="none" w:sz="0" w:space="0" w:color="auto"/>
        <w:left w:val="none" w:sz="0" w:space="0" w:color="auto"/>
        <w:bottom w:val="none" w:sz="0" w:space="0" w:color="auto"/>
        <w:right w:val="none" w:sz="0" w:space="0" w:color="auto"/>
      </w:divBdr>
    </w:div>
    <w:div w:id="1507012961">
      <w:bodyDiv w:val="1"/>
      <w:marLeft w:val="0"/>
      <w:marRight w:val="0"/>
      <w:marTop w:val="0"/>
      <w:marBottom w:val="0"/>
      <w:divBdr>
        <w:top w:val="none" w:sz="0" w:space="0" w:color="auto"/>
        <w:left w:val="none" w:sz="0" w:space="0" w:color="auto"/>
        <w:bottom w:val="none" w:sz="0" w:space="0" w:color="auto"/>
        <w:right w:val="none" w:sz="0" w:space="0" w:color="auto"/>
      </w:divBdr>
    </w:div>
    <w:div w:id="1512255109">
      <w:bodyDiv w:val="1"/>
      <w:marLeft w:val="0"/>
      <w:marRight w:val="0"/>
      <w:marTop w:val="0"/>
      <w:marBottom w:val="0"/>
      <w:divBdr>
        <w:top w:val="none" w:sz="0" w:space="0" w:color="auto"/>
        <w:left w:val="none" w:sz="0" w:space="0" w:color="auto"/>
        <w:bottom w:val="none" w:sz="0" w:space="0" w:color="auto"/>
        <w:right w:val="none" w:sz="0" w:space="0" w:color="auto"/>
      </w:divBdr>
    </w:div>
    <w:div w:id="1516118736">
      <w:bodyDiv w:val="1"/>
      <w:marLeft w:val="0"/>
      <w:marRight w:val="0"/>
      <w:marTop w:val="0"/>
      <w:marBottom w:val="0"/>
      <w:divBdr>
        <w:top w:val="none" w:sz="0" w:space="0" w:color="auto"/>
        <w:left w:val="none" w:sz="0" w:space="0" w:color="auto"/>
        <w:bottom w:val="none" w:sz="0" w:space="0" w:color="auto"/>
        <w:right w:val="none" w:sz="0" w:space="0" w:color="auto"/>
      </w:divBdr>
    </w:div>
    <w:div w:id="1516306812">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24200114">
      <w:bodyDiv w:val="1"/>
      <w:marLeft w:val="0"/>
      <w:marRight w:val="0"/>
      <w:marTop w:val="0"/>
      <w:marBottom w:val="0"/>
      <w:divBdr>
        <w:top w:val="none" w:sz="0" w:space="0" w:color="auto"/>
        <w:left w:val="none" w:sz="0" w:space="0" w:color="auto"/>
        <w:bottom w:val="none" w:sz="0" w:space="0" w:color="auto"/>
        <w:right w:val="none" w:sz="0" w:space="0" w:color="auto"/>
      </w:divBdr>
    </w:div>
    <w:div w:id="1527255522">
      <w:bodyDiv w:val="1"/>
      <w:marLeft w:val="0"/>
      <w:marRight w:val="0"/>
      <w:marTop w:val="0"/>
      <w:marBottom w:val="0"/>
      <w:divBdr>
        <w:top w:val="none" w:sz="0" w:space="0" w:color="auto"/>
        <w:left w:val="none" w:sz="0" w:space="0" w:color="auto"/>
        <w:bottom w:val="none" w:sz="0" w:space="0" w:color="auto"/>
        <w:right w:val="none" w:sz="0" w:space="0" w:color="auto"/>
      </w:divBdr>
    </w:div>
    <w:div w:id="1527715777">
      <w:bodyDiv w:val="1"/>
      <w:marLeft w:val="0"/>
      <w:marRight w:val="0"/>
      <w:marTop w:val="0"/>
      <w:marBottom w:val="0"/>
      <w:divBdr>
        <w:top w:val="none" w:sz="0" w:space="0" w:color="auto"/>
        <w:left w:val="none" w:sz="0" w:space="0" w:color="auto"/>
        <w:bottom w:val="none" w:sz="0" w:space="0" w:color="auto"/>
        <w:right w:val="none" w:sz="0" w:space="0" w:color="auto"/>
      </w:divBdr>
    </w:div>
    <w:div w:id="1534923589">
      <w:bodyDiv w:val="1"/>
      <w:marLeft w:val="0"/>
      <w:marRight w:val="0"/>
      <w:marTop w:val="0"/>
      <w:marBottom w:val="0"/>
      <w:divBdr>
        <w:top w:val="none" w:sz="0" w:space="0" w:color="auto"/>
        <w:left w:val="none" w:sz="0" w:space="0" w:color="auto"/>
        <w:bottom w:val="none" w:sz="0" w:space="0" w:color="auto"/>
        <w:right w:val="none" w:sz="0" w:space="0" w:color="auto"/>
      </w:divBdr>
    </w:div>
    <w:div w:id="1598827217">
      <w:bodyDiv w:val="1"/>
      <w:marLeft w:val="0"/>
      <w:marRight w:val="0"/>
      <w:marTop w:val="0"/>
      <w:marBottom w:val="0"/>
      <w:divBdr>
        <w:top w:val="none" w:sz="0" w:space="0" w:color="auto"/>
        <w:left w:val="none" w:sz="0" w:space="0" w:color="auto"/>
        <w:bottom w:val="none" w:sz="0" w:space="0" w:color="auto"/>
        <w:right w:val="none" w:sz="0" w:space="0" w:color="auto"/>
      </w:divBdr>
    </w:div>
    <w:div w:id="1610697284">
      <w:bodyDiv w:val="1"/>
      <w:marLeft w:val="0"/>
      <w:marRight w:val="0"/>
      <w:marTop w:val="0"/>
      <w:marBottom w:val="0"/>
      <w:divBdr>
        <w:top w:val="none" w:sz="0" w:space="0" w:color="auto"/>
        <w:left w:val="none" w:sz="0" w:space="0" w:color="auto"/>
        <w:bottom w:val="none" w:sz="0" w:space="0" w:color="auto"/>
        <w:right w:val="none" w:sz="0" w:space="0" w:color="auto"/>
      </w:divBdr>
    </w:div>
    <w:div w:id="1612740350">
      <w:bodyDiv w:val="1"/>
      <w:marLeft w:val="0"/>
      <w:marRight w:val="0"/>
      <w:marTop w:val="0"/>
      <w:marBottom w:val="0"/>
      <w:divBdr>
        <w:top w:val="none" w:sz="0" w:space="0" w:color="auto"/>
        <w:left w:val="none" w:sz="0" w:space="0" w:color="auto"/>
        <w:bottom w:val="none" w:sz="0" w:space="0" w:color="auto"/>
        <w:right w:val="none" w:sz="0" w:space="0" w:color="auto"/>
      </w:divBdr>
    </w:div>
    <w:div w:id="1636376055">
      <w:bodyDiv w:val="1"/>
      <w:marLeft w:val="0"/>
      <w:marRight w:val="0"/>
      <w:marTop w:val="0"/>
      <w:marBottom w:val="0"/>
      <w:divBdr>
        <w:top w:val="none" w:sz="0" w:space="0" w:color="auto"/>
        <w:left w:val="none" w:sz="0" w:space="0" w:color="auto"/>
        <w:bottom w:val="none" w:sz="0" w:space="0" w:color="auto"/>
        <w:right w:val="none" w:sz="0" w:space="0" w:color="auto"/>
      </w:divBdr>
    </w:div>
    <w:div w:id="1636565433">
      <w:bodyDiv w:val="1"/>
      <w:marLeft w:val="0"/>
      <w:marRight w:val="0"/>
      <w:marTop w:val="0"/>
      <w:marBottom w:val="0"/>
      <w:divBdr>
        <w:top w:val="none" w:sz="0" w:space="0" w:color="auto"/>
        <w:left w:val="none" w:sz="0" w:space="0" w:color="auto"/>
        <w:bottom w:val="none" w:sz="0" w:space="0" w:color="auto"/>
        <w:right w:val="none" w:sz="0" w:space="0" w:color="auto"/>
      </w:divBdr>
    </w:div>
    <w:div w:id="1640770759">
      <w:bodyDiv w:val="1"/>
      <w:marLeft w:val="0"/>
      <w:marRight w:val="0"/>
      <w:marTop w:val="0"/>
      <w:marBottom w:val="0"/>
      <w:divBdr>
        <w:top w:val="none" w:sz="0" w:space="0" w:color="auto"/>
        <w:left w:val="none" w:sz="0" w:space="0" w:color="auto"/>
        <w:bottom w:val="none" w:sz="0" w:space="0" w:color="auto"/>
        <w:right w:val="none" w:sz="0" w:space="0" w:color="auto"/>
      </w:divBdr>
    </w:div>
    <w:div w:id="1641300638">
      <w:bodyDiv w:val="1"/>
      <w:marLeft w:val="0"/>
      <w:marRight w:val="0"/>
      <w:marTop w:val="0"/>
      <w:marBottom w:val="0"/>
      <w:divBdr>
        <w:top w:val="none" w:sz="0" w:space="0" w:color="auto"/>
        <w:left w:val="none" w:sz="0" w:space="0" w:color="auto"/>
        <w:bottom w:val="none" w:sz="0" w:space="0" w:color="auto"/>
        <w:right w:val="none" w:sz="0" w:space="0" w:color="auto"/>
      </w:divBdr>
    </w:div>
    <w:div w:id="1653021910">
      <w:bodyDiv w:val="1"/>
      <w:marLeft w:val="0"/>
      <w:marRight w:val="0"/>
      <w:marTop w:val="0"/>
      <w:marBottom w:val="0"/>
      <w:divBdr>
        <w:top w:val="none" w:sz="0" w:space="0" w:color="auto"/>
        <w:left w:val="none" w:sz="0" w:space="0" w:color="auto"/>
        <w:bottom w:val="none" w:sz="0" w:space="0" w:color="auto"/>
        <w:right w:val="none" w:sz="0" w:space="0" w:color="auto"/>
      </w:divBdr>
    </w:div>
    <w:div w:id="1659311237">
      <w:bodyDiv w:val="1"/>
      <w:marLeft w:val="0"/>
      <w:marRight w:val="0"/>
      <w:marTop w:val="0"/>
      <w:marBottom w:val="0"/>
      <w:divBdr>
        <w:top w:val="none" w:sz="0" w:space="0" w:color="auto"/>
        <w:left w:val="none" w:sz="0" w:space="0" w:color="auto"/>
        <w:bottom w:val="none" w:sz="0" w:space="0" w:color="auto"/>
        <w:right w:val="none" w:sz="0" w:space="0" w:color="auto"/>
      </w:divBdr>
    </w:div>
    <w:div w:id="1660884117">
      <w:bodyDiv w:val="1"/>
      <w:marLeft w:val="0"/>
      <w:marRight w:val="0"/>
      <w:marTop w:val="0"/>
      <w:marBottom w:val="0"/>
      <w:divBdr>
        <w:top w:val="none" w:sz="0" w:space="0" w:color="auto"/>
        <w:left w:val="none" w:sz="0" w:space="0" w:color="auto"/>
        <w:bottom w:val="none" w:sz="0" w:space="0" w:color="auto"/>
        <w:right w:val="none" w:sz="0" w:space="0" w:color="auto"/>
      </w:divBdr>
    </w:div>
    <w:div w:id="1663269098">
      <w:bodyDiv w:val="1"/>
      <w:marLeft w:val="0"/>
      <w:marRight w:val="0"/>
      <w:marTop w:val="0"/>
      <w:marBottom w:val="0"/>
      <w:divBdr>
        <w:top w:val="none" w:sz="0" w:space="0" w:color="auto"/>
        <w:left w:val="none" w:sz="0" w:space="0" w:color="auto"/>
        <w:bottom w:val="none" w:sz="0" w:space="0" w:color="auto"/>
        <w:right w:val="none" w:sz="0" w:space="0" w:color="auto"/>
      </w:divBdr>
    </w:div>
    <w:div w:id="1686781421">
      <w:bodyDiv w:val="1"/>
      <w:marLeft w:val="0"/>
      <w:marRight w:val="0"/>
      <w:marTop w:val="0"/>
      <w:marBottom w:val="0"/>
      <w:divBdr>
        <w:top w:val="none" w:sz="0" w:space="0" w:color="auto"/>
        <w:left w:val="none" w:sz="0" w:space="0" w:color="auto"/>
        <w:bottom w:val="none" w:sz="0" w:space="0" w:color="auto"/>
        <w:right w:val="none" w:sz="0" w:space="0" w:color="auto"/>
      </w:divBdr>
    </w:div>
    <w:div w:id="1690643884">
      <w:bodyDiv w:val="1"/>
      <w:marLeft w:val="0"/>
      <w:marRight w:val="0"/>
      <w:marTop w:val="0"/>
      <w:marBottom w:val="0"/>
      <w:divBdr>
        <w:top w:val="none" w:sz="0" w:space="0" w:color="auto"/>
        <w:left w:val="none" w:sz="0" w:space="0" w:color="auto"/>
        <w:bottom w:val="none" w:sz="0" w:space="0" w:color="auto"/>
        <w:right w:val="none" w:sz="0" w:space="0" w:color="auto"/>
      </w:divBdr>
    </w:div>
    <w:div w:id="1690719393">
      <w:bodyDiv w:val="1"/>
      <w:marLeft w:val="0"/>
      <w:marRight w:val="0"/>
      <w:marTop w:val="0"/>
      <w:marBottom w:val="0"/>
      <w:divBdr>
        <w:top w:val="none" w:sz="0" w:space="0" w:color="auto"/>
        <w:left w:val="none" w:sz="0" w:space="0" w:color="auto"/>
        <w:bottom w:val="none" w:sz="0" w:space="0" w:color="auto"/>
        <w:right w:val="none" w:sz="0" w:space="0" w:color="auto"/>
      </w:divBdr>
    </w:div>
    <w:div w:id="1709842044">
      <w:bodyDiv w:val="1"/>
      <w:marLeft w:val="0"/>
      <w:marRight w:val="0"/>
      <w:marTop w:val="0"/>
      <w:marBottom w:val="0"/>
      <w:divBdr>
        <w:top w:val="none" w:sz="0" w:space="0" w:color="auto"/>
        <w:left w:val="none" w:sz="0" w:space="0" w:color="auto"/>
        <w:bottom w:val="none" w:sz="0" w:space="0" w:color="auto"/>
        <w:right w:val="none" w:sz="0" w:space="0" w:color="auto"/>
      </w:divBdr>
    </w:div>
    <w:div w:id="1731074065">
      <w:bodyDiv w:val="1"/>
      <w:marLeft w:val="0"/>
      <w:marRight w:val="0"/>
      <w:marTop w:val="0"/>
      <w:marBottom w:val="0"/>
      <w:divBdr>
        <w:top w:val="none" w:sz="0" w:space="0" w:color="auto"/>
        <w:left w:val="none" w:sz="0" w:space="0" w:color="auto"/>
        <w:bottom w:val="none" w:sz="0" w:space="0" w:color="auto"/>
        <w:right w:val="none" w:sz="0" w:space="0" w:color="auto"/>
      </w:divBdr>
    </w:div>
    <w:div w:id="1748191192">
      <w:bodyDiv w:val="1"/>
      <w:marLeft w:val="0"/>
      <w:marRight w:val="0"/>
      <w:marTop w:val="0"/>
      <w:marBottom w:val="0"/>
      <w:divBdr>
        <w:top w:val="none" w:sz="0" w:space="0" w:color="auto"/>
        <w:left w:val="none" w:sz="0" w:space="0" w:color="auto"/>
        <w:bottom w:val="none" w:sz="0" w:space="0" w:color="auto"/>
        <w:right w:val="none" w:sz="0" w:space="0" w:color="auto"/>
      </w:divBdr>
    </w:div>
    <w:div w:id="1787193618">
      <w:bodyDiv w:val="1"/>
      <w:marLeft w:val="0"/>
      <w:marRight w:val="0"/>
      <w:marTop w:val="0"/>
      <w:marBottom w:val="0"/>
      <w:divBdr>
        <w:top w:val="none" w:sz="0" w:space="0" w:color="auto"/>
        <w:left w:val="none" w:sz="0" w:space="0" w:color="auto"/>
        <w:bottom w:val="none" w:sz="0" w:space="0" w:color="auto"/>
        <w:right w:val="none" w:sz="0" w:space="0" w:color="auto"/>
      </w:divBdr>
    </w:div>
    <w:div w:id="1818061339">
      <w:bodyDiv w:val="1"/>
      <w:marLeft w:val="0"/>
      <w:marRight w:val="0"/>
      <w:marTop w:val="0"/>
      <w:marBottom w:val="0"/>
      <w:divBdr>
        <w:top w:val="none" w:sz="0" w:space="0" w:color="auto"/>
        <w:left w:val="none" w:sz="0" w:space="0" w:color="auto"/>
        <w:bottom w:val="none" w:sz="0" w:space="0" w:color="auto"/>
        <w:right w:val="none" w:sz="0" w:space="0" w:color="auto"/>
      </w:divBdr>
    </w:div>
    <w:div w:id="1827353690">
      <w:bodyDiv w:val="1"/>
      <w:marLeft w:val="0"/>
      <w:marRight w:val="0"/>
      <w:marTop w:val="0"/>
      <w:marBottom w:val="0"/>
      <w:divBdr>
        <w:top w:val="none" w:sz="0" w:space="0" w:color="auto"/>
        <w:left w:val="none" w:sz="0" w:space="0" w:color="auto"/>
        <w:bottom w:val="none" w:sz="0" w:space="0" w:color="auto"/>
        <w:right w:val="none" w:sz="0" w:space="0" w:color="auto"/>
      </w:divBdr>
    </w:div>
    <w:div w:id="1842236836">
      <w:bodyDiv w:val="1"/>
      <w:marLeft w:val="0"/>
      <w:marRight w:val="0"/>
      <w:marTop w:val="0"/>
      <w:marBottom w:val="0"/>
      <w:divBdr>
        <w:top w:val="none" w:sz="0" w:space="0" w:color="auto"/>
        <w:left w:val="none" w:sz="0" w:space="0" w:color="auto"/>
        <w:bottom w:val="none" w:sz="0" w:space="0" w:color="auto"/>
        <w:right w:val="none" w:sz="0" w:space="0" w:color="auto"/>
      </w:divBdr>
    </w:div>
    <w:div w:id="1849447284">
      <w:bodyDiv w:val="1"/>
      <w:marLeft w:val="0"/>
      <w:marRight w:val="0"/>
      <w:marTop w:val="0"/>
      <w:marBottom w:val="0"/>
      <w:divBdr>
        <w:top w:val="none" w:sz="0" w:space="0" w:color="auto"/>
        <w:left w:val="none" w:sz="0" w:space="0" w:color="auto"/>
        <w:bottom w:val="none" w:sz="0" w:space="0" w:color="auto"/>
        <w:right w:val="none" w:sz="0" w:space="0" w:color="auto"/>
      </w:divBdr>
    </w:div>
    <w:div w:id="1852331350">
      <w:bodyDiv w:val="1"/>
      <w:marLeft w:val="0"/>
      <w:marRight w:val="0"/>
      <w:marTop w:val="0"/>
      <w:marBottom w:val="0"/>
      <w:divBdr>
        <w:top w:val="none" w:sz="0" w:space="0" w:color="auto"/>
        <w:left w:val="none" w:sz="0" w:space="0" w:color="auto"/>
        <w:bottom w:val="none" w:sz="0" w:space="0" w:color="auto"/>
        <w:right w:val="none" w:sz="0" w:space="0" w:color="auto"/>
      </w:divBdr>
    </w:div>
    <w:div w:id="1861313018">
      <w:bodyDiv w:val="1"/>
      <w:marLeft w:val="0"/>
      <w:marRight w:val="0"/>
      <w:marTop w:val="0"/>
      <w:marBottom w:val="0"/>
      <w:divBdr>
        <w:top w:val="none" w:sz="0" w:space="0" w:color="auto"/>
        <w:left w:val="none" w:sz="0" w:space="0" w:color="auto"/>
        <w:bottom w:val="none" w:sz="0" w:space="0" w:color="auto"/>
        <w:right w:val="none" w:sz="0" w:space="0" w:color="auto"/>
      </w:divBdr>
    </w:div>
    <w:div w:id="1866746920">
      <w:bodyDiv w:val="1"/>
      <w:marLeft w:val="0"/>
      <w:marRight w:val="0"/>
      <w:marTop w:val="0"/>
      <w:marBottom w:val="0"/>
      <w:divBdr>
        <w:top w:val="none" w:sz="0" w:space="0" w:color="auto"/>
        <w:left w:val="none" w:sz="0" w:space="0" w:color="auto"/>
        <w:bottom w:val="none" w:sz="0" w:space="0" w:color="auto"/>
        <w:right w:val="none" w:sz="0" w:space="0" w:color="auto"/>
      </w:divBdr>
    </w:div>
    <w:div w:id="1882281685">
      <w:bodyDiv w:val="1"/>
      <w:marLeft w:val="0"/>
      <w:marRight w:val="0"/>
      <w:marTop w:val="0"/>
      <w:marBottom w:val="0"/>
      <w:divBdr>
        <w:top w:val="none" w:sz="0" w:space="0" w:color="auto"/>
        <w:left w:val="none" w:sz="0" w:space="0" w:color="auto"/>
        <w:bottom w:val="none" w:sz="0" w:space="0" w:color="auto"/>
        <w:right w:val="none" w:sz="0" w:space="0" w:color="auto"/>
      </w:divBdr>
    </w:div>
    <w:div w:id="1886410592">
      <w:bodyDiv w:val="1"/>
      <w:marLeft w:val="0"/>
      <w:marRight w:val="0"/>
      <w:marTop w:val="0"/>
      <w:marBottom w:val="0"/>
      <w:divBdr>
        <w:top w:val="none" w:sz="0" w:space="0" w:color="auto"/>
        <w:left w:val="none" w:sz="0" w:space="0" w:color="auto"/>
        <w:bottom w:val="none" w:sz="0" w:space="0" w:color="auto"/>
        <w:right w:val="none" w:sz="0" w:space="0" w:color="auto"/>
      </w:divBdr>
    </w:div>
    <w:div w:id="1887521162">
      <w:bodyDiv w:val="1"/>
      <w:marLeft w:val="0"/>
      <w:marRight w:val="0"/>
      <w:marTop w:val="0"/>
      <w:marBottom w:val="0"/>
      <w:divBdr>
        <w:top w:val="none" w:sz="0" w:space="0" w:color="auto"/>
        <w:left w:val="none" w:sz="0" w:space="0" w:color="auto"/>
        <w:bottom w:val="none" w:sz="0" w:space="0" w:color="auto"/>
        <w:right w:val="none" w:sz="0" w:space="0" w:color="auto"/>
      </w:divBdr>
    </w:div>
    <w:div w:id="1890073977">
      <w:bodyDiv w:val="1"/>
      <w:marLeft w:val="0"/>
      <w:marRight w:val="0"/>
      <w:marTop w:val="0"/>
      <w:marBottom w:val="0"/>
      <w:divBdr>
        <w:top w:val="none" w:sz="0" w:space="0" w:color="auto"/>
        <w:left w:val="none" w:sz="0" w:space="0" w:color="auto"/>
        <w:bottom w:val="none" w:sz="0" w:space="0" w:color="auto"/>
        <w:right w:val="none" w:sz="0" w:space="0" w:color="auto"/>
      </w:divBdr>
    </w:div>
    <w:div w:id="1891766967">
      <w:bodyDiv w:val="1"/>
      <w:marLeft w:val="0"/>
      <w:marRight w:val="0"/>
      <w:marTop w:val="0"/>
      <w:marBottom w:val="0"/>
      <w:divBdr>
        <w:top w:val="none" w:sz="0" w:space="0" w:color="auto"/>
        <w:left w:val="none" w:sz="0" w:space="0" w:color="auto"/>
        <w:bottom w:val="none" w:sz="0" w:space="0" w:color="auto"/>
        <w:right w:val="none" w:sz="0" w:space="0" w:color="auto"/>
      </w:divBdr>
    </w:div>
    <w:div w:id="1893686611">
      <w:bodyDiv w:val="1"/>
      <w:marLeft w:val="0"/>
      <w:marRight w:val="0"/>
      <w:marTop w:val="0"/>
      <w:marBottom w:val="0"/>
      <w:divBdr>
        <w:top w:val="none" w:sz="0" w:space="0" w:color="auto"/>
        <w:left w:val="none" w:sz="0" w:space="0" w:color="auto"/>
        <w:bottom w:val="none" w:sz="0" w:space="0" w:color="auto"/>
        <w:right w:val="none" w:sz="0" w:space="0" w:color="auto"/>
      </w:divBdr>
    </w:div>
    <w:div w:id="1901362599">
      <w:bodyDiv w:val="1"/>
      <w:marLeft w:val="0"/>
      <w:marRight w:val="0"/>
      <w:marTop w:val="0"/>
      <w:marBottom w:val="0"/>
      <w:divBdr>
        <w:top w:val="none" w:sz="0" w:space="0" w:color="auto"/>
        <w:left w:val="none" w:sz="0" w:space="0" w:color="auto"/>
        <w:bottom w:val="none" w:sz="0" w:space="0" w:color="auto"/>
        <w:right w:val="none" w:sz="0" w:space="0" w:color="auto"/>
      </w:divBdr>
    </w:div>
    <w:div w:id="1923836089">
      <w:bodyDiv w:val="1"/>
      <w:marLeft w:val="0"/>
      <w:marRight w:val="0"/>
      <w:marTop w:val="0"/>
      <w:marBottom w:val="0"/>
      <w:divBdr>
        <w:top w:val="none" w:sz="0" w:space="0" w:color="auto"/>
        <w:left w:val="none" w:sz="0" w:space="0" w:color="auto"/>
        <w:bottom w:val="none" w:sz="0" w:space="0" w:color="auto"/>
        <w:right w:val="none" w:sz="0" w:space="0" w:color="auto"/>
      </w:divBdr>
    </w:div>
    <w:div w:id="1937588464">
      <w:bodyDiv w:val="1"/>
      <w:marLeft w:val="0"/>
      <w:marRight w:val="0"/>
      <w:marTop w:val="0"/>
      <w:marBottom w:val="0"/>
      <w:divBdr>
        <w:top w:val="none" w:sz="0" w:space="0" w:color="auto"/>
        <w:left w:val="none" w:sz="0" w:space="0" w:color="auto"/>
        <w:bottom w:val="none" w:sz="0" w:space="0" w:color="auto"/>
        <w:right w:val="none" w:sz="0" w:space="0" w:color="auto"/>
      </w:divBdr>
    </w:div>
    <w:div w:id="1938441796">
      <w:bodyDiv w:val="1"/>
      <w:marLeft w:val="0"/>
      <w:marRight w:val="0"/>
      <w:marTop w:val="0"/>
      <w:marBottom w:val="0"/>
      <w:divBdr>
        <w:top w:val="none" w:sz="0" w:space="0" w:color="auto"/>
        <w:left w:val="none" w:sz="0" w:space="0" w:color="auto"/>
        <w:bottom w:val="none" w:sz="0" w:space="0" w:color="auto"/>
        <w:right w:val="none" w:sz="0" w:space="0" w:color="auto"/>
      </w:divBdr>
    </w:div>
    <w:div w:id="1946227392">
      <w:bodyDiv w:val="1"/>
      <w:marLeft w:val="0"/>
      <w:marRight w:val="0"/>
      <w:marTop w:val="0"/>
      <w:marBottom w:val="0"/>
      <w:divBdr>
        <w:top w:val="none" w:sz="0" w:space="0" w:color="auto"/>
        <w:left w:val="none" w:sz="0" w:space="0" w:color="auto"/>
        <w:bottom w:val="none" w:sz="0" w:space="0" w:color="auto"/>
        <w:right w:val="none" w:sz="0" w:space="0" w:color="auto"/>
      </w:divBdr>
    </w:div>
    <w:div w:id="1949004804">
      <w:bodyDiv w:val="1"/>
      <w:marLeft w:val="0"/>
      <w:marRight w:val="0"/>
      <w:marTop w:val="0"/>
      <w:marBottom w:val="0"/>
      <w:divBdr>
        <w:top w:val="none" w:sz="0" w:space="0" w:color="auto"/>
        <w:left w:val="none" w:sz="0" w:space="0" w:color="auto"/>
        <w:bottom w:val="none" w:sz="0" w:space="0" w:color="auto"/>
        <w:right w:val="none" w:sz="0" w:space="0" w:color="auto"/>
      </w:divBdr>
    </w:div>
    <w:div w:id="1950624087">
      <w:bodyDiv w:val="1"/>
      <w:marLeft w:val="0"/>
      <w:marRight w:val="0"/>
      <w:marTop w:val="0"/>
      <w:marBottom w:val="0"/>
      <w:divBdr>
        <w:top w:val="none" w:sz="0" w:space="0" w:color="auto"/>
        <w:left w:val="none" w:sz="0" w:space="0" w:color="auto"/>
        <w:bottom w:val="none" w:sz="0" w:space="0" w:color="auto"/>
        <w:right w:val="none" w:sz="0" w:space="0" w:color="auto"/>
      </w:divBdr>
    </w:div>
    <w:div w:id="1965234504">
      <w:bodyDiv w:val="1"/>
      <w:marLeft w:val="0"/>
      <w:marRight w:val="0"/>
      <w:marTop w:val="0"/>
      <w:marBottom w:val="0"/>
      <w:divBdr>
        <w:top w:val="none" w:sz="0" w:space="0" w:color="auto"/>
        <w:left w:val="none" w:sz="0" w:space="0" w:color="auto"/>
        <w:bottom w:val="none" w:sz="0" w:space="0" w:color="auto"/>
        <w:right w:val="none" w:sz="0" w:space="0" w:color="auto"/>
      </w:divBdr>
    </w:div>
    <w:div w:id="1981687010">
      <w:bodyDiv w:val="1"/>
      <w:marLeft w:val="0"/>
      <w:marRight w:val="0"/>
      <w:marTop w:val="0"/>
      <w:marBottom w:val="0"/>
      <w:divBdr>
        <w:top w:val="none" w:sz="0" w:space="0" w:color="auto"/>
        <w:left w:val="none" w:sz="0" w:space="0" w:color="auto"/>
        <w:bottom w:val="none" w:sz="0" w:space="0" w:color="auto"/>
        <w:right w:val="none" w:sz="0" w:space="0" w:color="auto"/>
      </w:divBdr>
    </w:div>
    <w:div w:id="1985501257">
      <w:bodyDiv w:val="1"/>
      <w:marLeft w:val="0"/>
      <w:marRight w:val="0"/>
      <w:marTop w:val="0"/>
      <w:marBottom w:val="0"/>
      <w:divBdr>
        <w:top w:val="none" w:sz="0" w:space="0" w:color="auto"/>
        <w:left w:val="none" w:sz="0" w:space="0" w:color="auto"/>
        <w:bottom w:val="none" w:sz="0" w:space="0" w:color="auto"/>
        <w:right w:val="none" w:sz="0" w:space="0" w:color="auto"/>
      </w:divBdr>
    </w:div>
    <w:div w:id="1996714050">
      <w:bodyDiv w:val="1"/>
      <w:marLeft w:val="0"/>
      <w:marRight w:val="0"/>
      <w:marTop w:val="0"/>
      <w:marBottom w:val="0"/>
      <w:divBdr>
        <w:top w:val="none" w:sz="0" w:space="0" w:color="auto"/>
        <w:left w:val="none" w:sz="0" w:space="0" w:color="auto"/>
        <w:bottom w:val="none" w:sz="0" w:space="0" w:color="auto"/>
        <w:right w:val="none" w:sz="0" w:space="0" w:color="auto"/>
      </w:divBdr>
    </w:div>
    <w:div w:id="2000881781">
      <w:bodyDiv w:val="1"/>
      <w:marLeft w:val="0"/>
      <w:marRight w:val="0"/>
      <w:marTop w:val="0"/>
      <w:marBottom w:val="0"/>
      <w:divBdr>
        <w:top w:val="none" w:sz="0" w:space="0" w:color="auto"/>
        <w:left w:val="none" w:sz="0" w:space="0" w:color="auto"/>
        <w:bottom w:val="none" w:sz="0" w:space="0" w:color="auto"/>
        <w:right w:val="none" w:sz="0" w:space="0" w:color="auto"/>
      </w:divBdr>
    </w:div>
    <w:div w:id="2004578475">
      <w:bodyDiv w:val="1"/>
      <w:marLeft w:val="0"/>
      <w:marRight w:val="0"/>
      <w:marTop w:val="0"/>
      <w:marBottom w:val="0"/>
      <w:divBdr>
        <w:top w:val="none" w:sz="0" w:space="0" w:color="auto"/>
        <w:left w:val="none" w:sz="0" w:space="0" w:color="auto"/>
        <w:bottom w:val="none" w:sz="0" w:space="0" w:color="auto"/>
        <w:right w:val="none" w:sz="0" w:space="0" w:color="auto"/>
      </w:divBdr>
    </w:div>
    <w:div w:id="2004969509">
      <w:bodyDiv w:val="1"/>
      <w:marLeft w:val="0"/>
      <w:marRight w:val="0"/>
      <w:marTop w:val="0"/>
      <w:marBottom w:val="0"/>
      <w:divBdr>
        <w:top w:val="none" w:sz="0" w:space="0" w:color="auto"/>
        <w:left w:val="none" w:sz="0" w:space="0" w:color="auto"/>
        <w:bottom w:val="none" w:sz="0" w:space="0" w:color="auto"/>
        <w:right w:val="none" w:sz="0" w:space="0" w:color="auto"/>
      </w:divBdr>
    </w:div>
    <w:div w:id="2010206348">
      <w:bodyDiv w:val="1"/>
      <w:marLeft w:val="0"/>
      <w:marRight w:val="0"/>
      <w:marTop w:val="0"/>
      <w:marBottom w:val="0"/>
      <w:divBdr>
        <w:top w:val="none" w:sz="0" w:space="0" w:color="auto"/>
        <w:left w:val="none" w:sz="0" w:space="0" w:color="auto"/>
        <w:bottom w:val="none" w:sz="0" w:space="0" w:color="auto"/>
        <w:right w:val="none" w:sz="0" w:space="0" w:color="auto"/>
      </w:divBdr>
    </w:div>
    <w:div w:id="2011179219">
      <w:bodyDiv w:val="1"/>
      <w:marLeft w:val="0"/>
      <w:marRight w:val="0"/>
      <w:marTop w:val="0"/>
      <w:marBottom w:val="0"/>
      <w:divBdr>
        <w:top w:val="none" w:sz="0" w:space="0" w:color="auto"/>
        <w:left w:val="none" w:sz="0" w:space="0" w:color="auto"/>
        <w:bottom w:val="none" w:sz="0" w:space="0" w:color="auto"/>
        <w:right w:val="none" w:sz="0" w:space="0" w:color="auto"/>
      </w:divBdr>
    </w:div>
    <w:div w:id="2022537529">
      <w:bodyDiv w:val="1"/>
      <w:marLeft w:val="0"/>
      <w:marRight w:val="0"/>
      <w:marTop w:val="0"/>
      <w:marBottom w:val="0"/>
      <w:divBdr>
        <w:top w:val="none" w:sz="0" w:space="0" w:color="auto"/>
        <w:left w:val="none" w:sz="0" w:space="0" w:color="auto"/>
        <w:bottom w:val="none" w:sz="0" w:space="0" w:color="auto"/>
        <w:right w:val="none" w:sz="0" w:space="0" w:color="auto"/>
      </w:divBdr>
    </w:div>
    <w:div w:id="2026514305">
      <w:bodyDiv w:val="1"/>
      <w:marLeft w:val="0"/>
      <w:marRight w:val="0"/>
      <w:marTop w:val="0"/>
      <w:marBottom w:val="0"/>
      <w:divBdr>
        <w:top w:val="none" w:sz="0" w:space="0" w:color="auto"/>
        <w:left w:val="none" w:sz="0" w:space="0" w:color="auto"/>
        <w:bottom w:val="none" w:sz="0" w:space="0" w:color="auto"/>
        <w:right w:val="none" w:sz="0" w:space="0" w:color="auto"/>
      </w:divBdr>
    </w:div>
    <w:div w:id="2028823483">
      <w:bodyDiv w:val="1"/>
      <w:marLeft w:val="0"/>
      <w:marRight w:val="0"/>
      <w:marTop w:val="0"/>
      <w:marBottom w:val="0"/>
      <w:divBdr>
        <w:top w:val="none" w:sz="0" w:space="0" w:color="auto"/>
        <w:left w:val="none" w:sz="0" w:space="0" w:color="auto"/>
        <w:bottom w:val="none" w:sz="0" w:space="0" w:color="auto"/>
        <w:right w:val="none" w:sz="0" w:space="0" w:color="auto"/>
      </w:divBdr>
    </w:div>
    <w:div w:id="2029670985">
      <w:bodyDiv w:val="1"/>
      <w:marLeft w:val="0"/>
      <w:marRight w:val="0"/>
      <w:marTop w:val="0"/>
      <w:marBottom w:val="0"/>
      <w:divBdr>
        <w:top w:val="none" w:sz="0" w:space="0" w:color="auto"/>
        <w:left w:val="none" w:sz="0" w:space="0" w:color="auto"/>
        <w:bottom w:val="none" w:sz="0" w:space="0" w:color="auto"/>
        <w:right w:val="none" w:sz="0" w:space="0" w:color="auto"/>
      </w:divBdr>
    </w:div>
    <w:div w:id="2033341769">
      <w:bodyDiv w:val="1"/>
      <w:marLeft w:val="0"/>
      <w:marRight w:val="0"/>
      <w:marTop w:val="0"/>
      <w:marBottom w:val="0"/>
      <w:divBdr>
        <w:top w:val="none" w:sz="0" w:space="0" w:color="auto"/>
        <w:left w:val="none" w:sz="0" w:space="0" w:color="auto"/>
        <w:bottom w:val="none" w:sz="0" w:space="0" w:color="auto"/>
        <w:right w:val="none" w:sz="0" w:space="0" w:color="auto"/>
      </w:divBdr>
    </w:div>
    <w:div w:id="2047023422">
      <w:bodyDiv w:val="1"/>
      <w:marLeft w:val="0"/>
      <w:marRight w:val="0"/>
      <w:marTop w:val="0"/>
      <w:marBottom w:val="0"/>
      <w:divBdr>
        <w:top w:val="none" w:sz="0" w:space="0" w:color="auto"/>
        <w:left w:val="none" w:sz="0" w:space="0" w:color="auto"/>
        <w:bottom w:val="none" w:sz="0" w:space="0" w:color="auto"/>
        <w:right w:val="none" w:sz="0" w:space="0" w:color="auto"/>
      </w:divBdr>
    </w:div>
    <w:div w:id="2059476283">
      <w:bodyDiv w:val="1"/>
      <w:marLeft w:val="0"/>
      <w:marRight w:val="0"/>
      <w:marTop w:val="0"/>
      <w:marBottom w:val="0"/>
      <w:divBdr>
        <w:top w:val="none" w:sz="0" w:space="0" w:color="auto"/>
        <w:left w:val="none" w:sz="0" w:space="0" w:color="auto"/>
        <w:bottom w:val="none" w:sz="0" w:space="0" w:color="auto"/>
        <w:right w:val="none" w:sz="0" w:space="0" w:color="auto"/>
      </w:divBdr>
    </w:div>
    <w:div w:id="2070029556">
      <w:bodyDiv w:val="1"/>
      <w:marLeft w:val="0"/>
      <w:marRight w:val="0"/>
      <w:marTop w:val="0"/>
      <w:marBottom w:val="0"/>
      <w:divBdr>
        <w:top w:val="none" w:sz="0" w:space="0" w:color="auto"/>
        <w:left w:val="none" w:sz="0" w:space="0" w:color="auto"/>
        <w:bottom w:val="none" w:sz="0" w:space="0" w:color="auto"/>
        <w:right w:val="none" w:sz="0" w:space="0" w:color="auto"/>
      </w:divBdr>
    </w:div>
    <w:div w:id="2077242059">
      <w:bodyDiv w:val="1"/>
      <w:marLeft w:val="0"/>
      <w:marRight w:val="0"/>
      <w:marTop w:val="0"/>
      <w:marBottom w:val="0"/>
      <w:divBdr>
        <w:top w:val="none" w:sz="0" w:space="0" w:color="auto"/>
        <w:left w:val="none" w:sz="0" w:space="0" w:color="auto"/>
        <w:bottom w:val="none" w:sz="0" w:space="0" w:color="auto"/>
        <w:right w:val="none" w:sz="0" w:space="0" w:color="auto"/>
      </w:divBdr>
    </w:div>
    <w:div w:id="2088379036">
      <w:bodyDiv w:val="1"/>
      <w:marLeft w:val="0"/>
      <w:marRight w:val="0"/>
      <w:marTop w:val="0"/>
      <w:marBottom w:val="0"/>
      <w:divBdr>
        <w:top w:val="none" w:sz="0" w:space="0" w:color="auto"/>
        <w:left w:val="none" w:sz="0" w:space="0" w:color="auto"/>
        <w:bottom w:val="none" w:sz="0" w:space="0" w:color="auto"/>
        <w:right w:val="none" w:sz="0" w:space="0" w:color="auto"/>
      </w:divBdr>
    </w:div>
    <w:div w:id="2094550374">
      <w:bodyDiv w:val="1"/>
      <w:marLeft w:val="0"/>
      <w:marRight w:val="0"/>
      <w:marTop w:val="0"/>
      <w:marBottom w:val="0"/>
      <w:divBdr>
        <w:top w:val="none" w:sz="0" w:space="0" w:color="auto"/>
        <w:left w:val="none" w:sz="0" w:space="0" w:color="auto"/>
        <w:bottom w:val="none" w:sz="0" w:space="0" w:color="auto"/>
        <w:right w:val="none" w:sz="0" w:space="0" w:color="auto"/>
      </w:divBdr>
    </w:div>
    <w:div w:id="2102602419">
      <w:bodyDiv w:val="1"/>
      <w:marLeft w:val="0"/>
      <w:marRight w:val="0"/>
      <w:marTop w:val="0"/>
      <w:marBottom w:val="0"/>
      <w:divBdr>
        <w:top w:val="none" w:sz="0" w:space="0" w:color="auto"/>
        <w:left w:val="none" w:sz="0" w:space="0" w:color="auto"/>
        <w:bottom w:val="none" w:sz="0" w:space="0" w:color="auto"/>
        <w:right w:val="none" w:sz="0" w:space="0" w:color="auto"/>
      </w:divBdr>
    </w:div>
    <w:div w:id="2117945595">
      <w:bodyDiv w:val="1"/>
      <w:marLeft w:val="0"/>
      <w:marRight w:val="0"/>
      <w:marTop w:val="0"/>
      <w:marBottom w:val="0"/>
      <w:divBdr>
        <w:top w:val="none" w:sz="0" w:space="0" w:color="auto"/>
        <w:left w:val="none" w:sz="0" w:space="0" w:color="auto"/>
        <w:bottom w:val="none" w:sz="0" w:space="0" w:color="auto"/>
        <w:right w:val="none" w:sz="0" w:space="0" w:color="auto"/>
      </w:divBdr>
    </w:div>
    <w:div w:id="2123916289">
      <w:bodyDiv w:val="1"/>
      <w:marLeft w:val="0"/>
      <w:marRight w:val="0"/>
      <w:marTop w:val="0"/>
      <w:marBottom w:val="0"/>
      <w:divBdr>
        <w:top w:val="none" w:sz="0" w:space="0" w:color="auto"/>
        <w:left w:val="none" w:sz="0" w:space="0" w:color="auto"/>
        <w:bottom w:val="none" w:sz="0" w:space="0" w:color="auto"/>
        <w:right w:val="none" w:sz="0" w:space="0" w:color="auto"/>
      </w:divBdr>
    </w:div>
    <w:div w:id="2133203607">
      <w:bodyDiv w:val="1"/>
      <w:marLeft w:val="0"/>
      <w:marRight w:val="0"/>
      <w:marTop w:val="0"/>
      <w:marBottom w:val="0"/>
      <w:divBdr>
        <w:top w:val="none" w:sz="0" w:space="0" w:color="auto"/>
        <w:left w:val="none" w:sz="0" w:space="0" w:color="auto"/>
        <w:bottom w:val="none" w:sz="0" w:space="0" w:color="auto"/>
        <w:right w:val="none" w:sz="0" w:space="0" w:color="auto"/>
      </w:divBdr>
    </w:div>
    <w:div w:id="2134251085">
      <w:bodyDiv w:val="1"/>
      <w:marLeft w:val="0"/>
      <w:marRight w:val="0"/>
      <w:marTop w:val="0"/>
      <w:marBottom w:val="0"/>
      <w:divBdr>
        <w:top w:val="none" w:sz="0" w:space="0" w:color="auto"/>
        <w:left w:val="none" w:sz="0" w:space="0" w:color="auto"/>
        <w:bottom w:val="none" w:sz="0" w:space="0" w:color="auto"/>
        <w:right w:val="none" w:sz="0" w:space="0" w:color="auto"/>
      </w:divBdr>
    </w:div>
    <w:div w:id="21423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footer" Target="footer1.xml"/><Relationship Id="rId26" Type="http://schemas.microsoft.com/office/2007/relationships/diagramDrawing" Target="diagrams/drawing1.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diagramColors" Target="diagrams/colors1.xml"/><Relationship Id="rId33" Type="http://schemas.openxmlformats.org/officeDocument/2006/relationships/chart" Target="charts/chart3.xml"/><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2.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QuickStyle" Target="diagrams/quickStyle1.xml"/><Relationship Id="rId32" Type="http://schemas.openxmlformats.org/officeDocument/2006/relationships/image" Target="media/image9.png"/><Relationship Id="rId37" Type="http://schemas.openxmlformats.org/officeDocument/2006/relationships/image" Target="media/image13.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linkinglondon.ac.uk/" TargetMode="External"/><Relationship Id="rId23" Type="http://schemas.openxmlformats.org/officeDocument/2006/relationships/diagramLayout" Target="diagrams/layout1.xml"/><Relationship Id="rId28" Type="http://schemas.openxmlformats.org/officeDocument/2006/relationships/image" Target="media/image6.png"/><Relationship Id="rId36"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url?sa=i&amp;source=imgres&amp;cd=&amp;cad=rja&amp;uact=8&amp;ved=0CAgQjRwwAGoVChMI-87rk-fuxgIVgfJyCh2jMgql&amp;url=http://contentmine.org/events/event/ross-mounce-talks-about-open-scholarship-at-kings-college-london/kings-college-london-logo-2/&amp;ei=eJWvVfuyEoHlywOj5aioCg&amp;psig=AFQjCNGgo-pfGCgPdDZWidF0K3uK5leiJA&amp;ust=1437656824415550" TargetMode="External"/><Relationship Id="rId14" Type="http://schemas.openxmlformats.org/officeDocument/2006/relationships/hyperlink" Target="mailto:h.d.joslin@greenwich.ac.uk" TargetMode="External"/><Relationship Id="rId22" Type="http://schemas.openxmlformats.org/officeDocument/2006/relationships/diagramData" Target="diagrams/data1.xml"/><Relationship Id="rId27" Type="http://schemas.openxmlformats.org/officeDocument/2006/relationships/chart" Target="charts/chart1.xml"/><Relationship Id="rId30" Type="http://schemas.openxmlformats.org/officeDocument/2006/relationships/image" Target="media/image7.png"/><Relationship Id="rId35" Type="http://schemas.openxmlformats.org/officeDocument/2006/relationships/image" Target="media/image11.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nkinglond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Documents\Custom%20Office%20Templates\BIS_report_template%20lates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Work\LLN\LLN\Linking%20London\2015%20Update\FE%20Tables%202015%20LLOnd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Work\LLN\LLN\Linking%20London\2015%20Update\FE%20Tables%202015%20LLOnd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Work\LLN\LLN\Linking%20London\2015%20Update\FE%20Tables%202015%20LLOnd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Arial" panose="020B0604020202020204" pitchFamily="34" charset="0"/>
              </a:defRPr>
            </a:pPr>
            <a:r>
              <a:rPr lang="en-GB"/>
              <a:t>FE and Sixth Form College level 3 qualification breakdown</a:t>
            </a:r>
          </a:p>
        </c:rich>
      </c:tx>
      <c:layout>
        <c:manualLayout>
          <c:xMode val="edge"/>
          <c:yMode val="edge"/>
          <c:x val="0.14604203608407218"/>
          <c:y val="1.69491525423728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'F1'!$C$23</c:f>
              <c:strCache>
                <c:ptCount val="1"/>
                <c:pt idx="0">
                  <c:v>Access</c:v>
                </c:pt>
              </c:strCache>
            </c:strRef>
          </c:tx>
          <c:spPr>
            <a:solidFill>
              <a:schemeClr val="accent1"/>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'F1'!$C$24:$C$33</c:f>
              <c:numCache>
                <c:formatCode>0%</c:formatCode>
                <c:ptCount val="10"/>
                <c:pt idx="0">
                  <c:v>0.11312204378735095</c:v>
                </c:pt>
                <c:pt idx="1">
                  <c:v>0.11018944664454672</c:v>
                </c:pt>
                <c:pt idx="2">
                  <c:v>0.12311020615932808</c:v>
                </c:pt>
                <c:pt idx="3">
                  <c:v>0.14402860142439633</c:v>
                </c:pt>
                <c:pt idx="4">
                  <c:v>0.12708392383210079</c:v>
                </c:pt>
                <c:pt idx="5">
                  <c:v>2.9612081729345571E-4</c:v>
                </c:pt>
                <c:pt idx="6">
                  <c:v>8.8652482269503544E-4</c:v>
                </c:pt>
                <c:pt idx="7">
                  <c:v>8.8313217544892548E-4</c:v>
                </c:pt>
                <c:pt idx="8">
                  <c:v>2.6350461133069827E-4</c:v>
                </c:pt>
                <c:pt idx="9">
                  <c:v>1.3204806549584047E-4</c:v>
                </c:pt>
              </c:numCache>
            </c:numRef>
          </c:val>
        </c:ser>
        <c:ser>
          <c:idx val="1"/>
          <c:order val="1"/>
          <c:tx>
            <c:strRef>
              <c:f>'F1'!$D$23</c:f>
              <c:strCache>
                <c:ptCount val="1"/>
                <c:pt idx="0">
                  <c:v>BTEC (FT/PT)</c:v>
                </c:pt>
              </c:strCache>
            </c:strRef>
          </c:tx>
          <c:spPr>
            <a:solidFill>
              <a:schemeClr val="accent2"/>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'F1'!$D$24:$D$33</c:f>
              <c:numCache>
                <c:formatCode>0%</c:formatCode>
                <c:ptCount val="10"/>
                <c:pt idx="0">
                  <c:v>0.23086073583142153</c:v>
                </c:pt>
                <c:pt idx="1">
                  <c:v>0.22506154340147705</c:v>
                </c:pt>
                <c:pt idx="2">
                  <c:v>0.25103079664036648</c:v>
                </c:pt>
                <c:pt idx="3">
                  <c:v>0.34151462701813123</c:v>
                </c:pt>
                <c:pt idx="4">
                  <c:v>0.41979953103661521</c:v>
                </c:pt>
                <c:pt idx="5">
                  <c:v>0.22179449215279834</c:v>
                </c:pt>
                <c:pt idx="6">
                  <c:v>0.23448581560283688</c:v>
                </c:pt>
                <c:pt idx="7">
                  <c:v>0.25772740653517812</c:v>
                </c:pt>
                <c:pt idx="8">
                  <c:v>0.27114624505928853</c:v>
                </c:pt>
                <c:pt idx="9">
                  <c:v>0.31295391522514193</c:v>
                </c:pt>
              </c:numCache>
            </c:numRef>
          </c:val>
        </c:ser>
        <c:ser>
          <c:idx val="2"/>
          <c:order val="2"/>
          <c:tx>
            <c:strRef>
              <c:f>'F1'!$E$23</c:f>
              <c:strCache>
                <c:ptCount val="1"/>
                <c:pt idx="0">
                  <c:v>GCE A2 Level/IB</c:v>
                </c:pt>
              </c:strCache>
            </c:strRef>
          </c:tx>
          <c:spPr>
            <a:solidFill>
              <a:schemeClr val="accent3"/>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'F1'!$E$24:$E$33</c:f>
              <c:numCache>
                <c:formatCode>0%</c:formatCode>
                <c:ptCount val="10"/>
                <c:pt idx="0">
                  <c:v>0.14099187130030871</c:v>
                </c:pt>
                <c:pt idx="1">
                  <c:v>0.1173070748153698</c:v>
                </c:pt>
                <c:pt idx="2">
                  <c:v>0.10946805803003309</c:v>
                </c:pt>
                <c:pt idx="3">
                  <c:v>0.11667565190250546</c:v>
                </c:pt>
                <c:pt idx="4">
                  <c:v>0.10056945553866371</c:v>
                </c:pt>
                <c:pt idx="5">
                  <c:v>0.67693218833283975</c:v>
                </c:pt>
                <c:pt idx="6">
                  <c:v>0.67494089834515369</c:v>
                </c:pt>
                <c:pt idx="7">
                  <c:v>0.66926700029437736</c:v>
                </c:pt>
                <c:pt idx="8">
                  <c:v>0.63702239789196313</c:v>
                </c:pt>
                <c:pt idx="9">
                  <c:v>0.60478013997094937</c:v>
                </c:pt>
              </c:numCache>
            </c:numRef>
          </c:val>
        </c:ser>
        <c:ser>
          <c:idx val="3"/>
          <c:order val="3"/>
          <c:tx>
            <c:strRef>
              <c:f>'F1'!$F$23</c:f>
              <c:strCache>
                <c:ptCount val="1"/>
                <c:pt idx="0">
                  <c:v>GCE AA2 (PT)</c:v>
                </c:pt>
              </c:strCache>
            </c:strRef>
          </c:tx>
          <c:spPr>
            <a:solidFill>
              <a:schemeClr val="accent4"/>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'F1'!$F$24:$F$33</c:f>
              <c:numCache>
                <c:formatCode>0%</c:formatCode>
                <c:ptCount val="10"/>
                <c:pt idx="0">
                  <c:v>2.7161752626957827E-2</c:v>
                </c:pt>
                <c:pt idx="1">
                  <c:v>2.0817724499625389E-2</c:v>
                </c:pt>
                <c:pt idx="2">
                  <c:v>1.6670908628149655E-2</c:v>
                </c:pt>
                <c:pt idx="3">
                  <c:v>1.6485543228442527E-2</c:v>
                </c:pt>
                <c:pt idx="4">
                  <c:v>1.8217423793449972E-2</c:v>
                </c:pt>
                <c:pt idx="5">
                  <c:v>3.1240746224459579E-2</c:v>
                </c:pt>
                <c:pt idx="6">
                  <c:v>2.2163120567375887E-2</c:v>
                </c:pt>
                <c:pt idx="7">
                  <c:v>2.3844568737120989E-2</c:v>
                </c:pt>
                <c:pt idx="8">
                  <c:v>5.5731225296442685E-2</c:v>
                </c:pt>
                <c:pt idx="9">
                  <c:v>2.5881420837184737E-2</c:v>
                </c:pt>
              </c:numCache>
            </c:numRef>
          </c:val>
        </c:ser>
        <c:ser>
          <c:idx val="4"/>
          <c:order val="4"/>
          <c:tx>
            <c:strRef>
              <c:f>'F1'!$G$23</c:f>
              <c:strCache>
                <c:ptCount val="1"/>
                <c:pt idx="0">
                  <c:v>NVQ</c:v>
                </c:pt>
              </c:strCache>
            </c:strRef>
          </c:tx>
          <c:spPr>
            <a:solidFill>
              <a:schemeClr val="accent5"/>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'F1'!$G$24:$G$33</c:f>
              <c:numCache>
                <c:formatCode>0%</c:formatCode>
                <c:ptCount val="10"/>
                <c:pt idx="0">
                  <c:v>0.13974565950094883</c:v>
                </c:pt>
                <c:pt idx="1">
                  <c:v>0.23870812372899497</c:v>
                </c:pt>
                <c:pt idx="2">
                  <c:v>0.24527869686943243</c:v>
                </c:pt>
                <c:pt idx="3">
                  <c:v>0.1888318247595267</c:v>
                </c:pt>
                <c:pt idx="4">
                  <c:v>7.1091757066659794E-2</c:v>
                </c:pt>
                <c:pt idx="5">
                  <c:v>4.7379330766952913E-3</c:v>
                </c:pt>
                <c:pt idx="6">
                  <c:v>8.4219858156028369E-3</c:v>
                </c:pt>
                <c:pt idx="7">
                  <c:v>1.2952605239917574E-2</c:v>
                </c:pt>
                <c:pt idx="8">
                  <c:v>7.6416337285902507E-3</c:v>
                </c:pt>
                <c:pt idx="9">
                  <c:v>2.1127690479334476E-3</c:v>
                </c:pt>
              </c:numCache>
            </c:numRef>
          </c:val>
        </c:ser>
        <c:ser>
          <c:idx val="5"/>
          <c:order val="5"/>
          <c:tx>
            <c:strRef>
              <c:f>'F1'!$H$23</c:f>
              <c:strCache>
                <c:ptCount val="1"/>
                <c:pt idx="0">
                  <c:v>Vocational (FT/PT/NVQ)</c:v>
                </c:pt>
              </c:strCache>
            </c:strRef>
          </c:tx>
          <c:spPr>
            <a:solidFill>
              <a:schemeClr val="accent6"/>
            </a:solidFill>
            <a:ln>
              <a:noFill/>
            </a:ln>
            <a:effectLst/>
          </c:spPr>
          <c:invertIfNegative val="0"/>
          <c:cat>
            <c:multiLvlStrRef>
              <c:f>'F1'!$A$24:$B$33</c:f>
              <c:multiLvlStrCache>
                <c:ptCount val="10"/>
                <c:lvl>
                  <c:pt idx="0">
                    <c:v>2007-08</c:v>
                  </c:pt>
                  <c:pt idx="1">
                    <c:v>2008-09</c:v>
                  </c:pt>
                  <c:pt idx="2">
                    <c:v>2009-10</c:v>
                  </c:pt>
                  <c:pt idx="3">
                    <c:v>2010-11</c:v>
                  </c:pt>
                  <c:pt idx="4">
                    <c:v>2011-12</c:v>
                  </c:pt>
                  <c:pt idx="5">
                    <c:v>2007-08</c:v>
                  </c:pt>
                  <c:pt idx="6">
                    <c:v>2008-09</c:v>
                  </c:pt>
                  <c:pt idx="7">
                    <c:v>2009-10</c:v>
                  </c:pt>
                  <c:pt idx="8">
                    <c:v>2010-11</c:v>
                  </c:pt>
                  <c:pt idx="9">
                    <c:v>2011-12</c:v>
                  </c:pt>
                </c:lvl>
                <c:lvl>
                  <c:pt idx="0">
                    <c:v>FE College/School</c:v>
                  </c:pt>
                  <c:pt idx="5">
                    <c:v>Sixth form college</c:v>
                  </c:pt>
                </c:lvl>
              </c:multiLvlStrCache>
            </c:multiLvlStrRef>
          </c:cat>
          <c:val>
            <c:numRef>
              <c:f>'F1'!$H$24:$H$33</c:f>
              <c:numCache>
                <c:formatCode>0%</c:formatCode>
                <c:ptCount val="10"/>
                <c:pt idx="0">
                  <c:v>0.34811793695301213</c:v>
                </c:pt>
                <c:pt idx="1">
                  <c:v>0.2879160869099861</c:v>
                </c:pt>
                <c:pt idx="2">
                  <c:v>0.25444133367269023</c:v>
                </c:pt>
                <c:pt idx="3">
                  <c:v>0.1924637516669977</c:v>
                </c:pt>
                <c:pt idx="4">
                  <c:v>0.26323790873251052</c:v>
                </c:pt>
                <c:pt idx="5">
                  <c:v>6.4998519395913529E-2</c:v>
                </c:pt>
                <c:pt idx="6">
                  <c:v>5.9101654846335699E-2</c:v>
                </c:pt>
                <c:pt idx="7">
                  <c:v>3.5325287017957022E-2</c:v>
                </c:pt>
                <c:pt idx="8">
                  <c:v>2.8194993412384718E-2</c:v>
                </c:pt>
                <c:pt idx="9">
                  <c:v>5.4139706853294597E-2</c:v>
                </c:pt>
              </c:numCache>
            </c:numRef>
          </c:val>
        </c:ser>
        <c:dLbls>
          <c:showLegendKey val="0"/>
          <c:showVal val="0"/>
          <c:showCatName val="0"/>
          <c:showSerName val="0"/>
          <c:showPercent val="0"/>
          <c:showBubbleSize val="0"/>
        </c:dLbls>
        <c:gapWidth val="150"/>
        <c:overlap val="100"/>
        <c:axId val="399675960"/>
        <c:axId val="399683408"/>
      </c:barChart>
      <c:catAx>
        <c:axId val="399675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399683408"/>
        <c:crosses val="autoZero"/>
        <c:auto val="1"/>
        <c:lblAlgn val="ctr"/>
        <c:lblOffset val="100"/>
        <c:noMultiLvlLbl val="0"/>
      </c:catAx>
      <c:valAx>
        <c:axId val="3996834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39967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mn-lt"/>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Share of immediate HE entrants by delivery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'F5'!$A$25</c:f>
              <c:strCache>
                <c:ptCount val="1"/>
                <c:pt idx="0">
                  <c:v>HE in FE</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'F5'!$B$24:$F$24</c:f>
              <c:strCache>
                <c:ptCount val="5"/>
                <c:pt idx="0">
                  <c:v>2007-08 into HE 2008-09</c:v>
                </c:pt>
                <c:pt idx="1">
                  <c:v>2008-09 into HE 2009-10</c:v>
                </c:pt>
                <c:pt idx="2">
                  <c:v>2009-10 into HE 2010-11</c:v>
                </c:pt>
                <c:pt idx="3">
                  <c:v>2010-11 into HE 2011-12</c:v>
                </c:pt>
                <c:pt idx="4">
                  <c:v>2011-12 into HE 2012/13</c:v>
                </c:pt>
              </c:strCache>
            </c:strRef>
          </c:cat>
          <c:val>
            <c:numRef>
              <c:f>'F5'!$B$25:$F$25</c:f>
              <c:numCache>
                <c:formatCode>0%</c:formatCode>
                <c:ptCount val="5"/>
                <c:pt idx="0">
                  <c:v>6.6049452410522749E-2</c:v>
                </c:pt>
                <c:pt idx="1">
                  <c:v>9.2222598487413932E-2</c:v>
                </c:pt>
                <c:pt idx="2">
                  <c:v>9.4788561333774987E-2</c:v>
                </c:pt>
                <c:pt idx="3">
                  <c:v>8.4852090206046185E-2</c:v>
                </c:pt>
                <c:pt idx="4">
                  <c:v>0.14087122917604683</c:v>
                </c:pt>
              </c:numCache>
            </c:numRef>
          </c:val>
        </c:ser>
        <c:ser>
          <c:idx val="1"/>
          <c:order val="1"/>
          <c:tx>
            <c:strRef>
              <c:f>'F5'!$A$26</c:f>
              <c:strCache>
                <c:ptCount val="1"/>
                <c:pt idx="0">
                  <c:v>University</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'F5'!$B$24:$F$24</c:f>
              <c:strCache>
                <c:ptCount val="5"/>
                <c:pt idx="0">
                  <c:v>2007-08 into HE 2008-09</c:v>
                </c:pt>
                <c:pt idx="1">
                  <c:v>2008-09 into HE 2009-10</c:v>
                </c:pt>
                <c:pt idx="2">
                  <c:v>2009-10 into HE 2010-11</c:v>
                </c:pt>
                <c:pt idx="3">
                  <c:v>2010-11 into HE 2011-12</c:v>
                </c:pt>
                <c:pt idx="4">
                  <c:v>2011-12 into HE 2012/13</c:v>
                </c:pt>
              </c:strCache>
            </c:strRef>
          </c:cat>
          <c:val>
            <c:numRef>
              <c:f>'F5'!$B$26:$F$26</c:f>
              <c:numCache>
                <c:formatCode>0%</c:formatCode>
                <c:ptCount val="5"/>
                <c:pt idx="0">
                  <c:v>0.93395054758947726</c:v>
                </c:pt>
                <c:pt idx="1">
                  <c:v>0.90777740151258612</c:v>
                </c:pt>
                <c:pt idx="2">
                  <c:v>0.905211438666225</c:v>
                </c:pt>
                <c:pt idx="3">
                  <c:v>0.91514790979395377</c:v>
                </c:pt>
                <c:pt idx="4">
                  <c:v>0.85912877082395323</c:v>
                </c:pt>
              </c:numCache>
            </c:numRef>
          </c:val>
        </c:ser>
        <c:dLbls>
          <c:dLblPos val="ctr"/>
          <c:showLegendKey val="0"/>
          <c:showVal val="1"/>
          <c:showCatName val="0"/>
          <c:showSerName val="0"/>
          <c:showPercent val="0"/>
          <c:showBubbleSize val="0"/>
        </c:dLbls>
        <c:gapWidth val="150"/>
        <c:overlap val="100"/>
        <c:axId val="399678704"/>
        <c:axId val="399679096"/>
      </c:barChart>
      <c:catAx>
        <c:axId val="39967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9679096"/>
        <c:crossesAt val="0"/>
        <c:auto val="1"/>
        <c:lblAlgn val="ctr"/>
        <c:lblOffset val="100"/>
        <c:noMultiLvlLbl val="0"/>
      </c:catAx>
      <c:valAx>
        <c:axId val="399679096"/>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67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Progression</a:t>
            </a:r>
            <a:r>
              <a:rPr lang="en-GB" sz="1200" b="1" baseline="0"/>
              <a:t> rate of London FE level 3 cohorts for POLAR3 Q1 and Q5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'T23'!$A$3</c:f>
              <c:strCache>
                <c:ptCount val="1"/>
                <c:pt idx="0">
                  <c:v>Q1 - disadvantaged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'T23'!$B$2:$F$2</c:f>
              <c:strCache>
                <c:ptCount val="5"/>
                <c:pt idx="0">
                  <c:v>2007-08</c:v>
                </c:pt>
                <c:pt idx="1">
                  <c:v>2008-09</c:v>
                </c:pt>
                <c:pt idx="2">
                  <c:v>2009-10</c:v>
                </c:pt>
                <c:pt idx="3">
                  <c:v>2010-11</c:v>
                </c:pt>
                <c:pt idx="4">
                  <c:v>2011-12</c:v>
                </c:pt>
              </c:strCache>
            </c:strRef>
          </c:cat>
          <c:val>
            <c:numRef>
              <c:f>'T23'!$B$3:$F$3</c:f>
              <c:numCache>
                <c:formatCode>0%</c:formatCode>
                <c:ptCount val="5"/>
                <c:pt idx="0">
                  <c:v>0.30251071647274952</c:v>
                </c:pt>
                <c:pt idx="1">
                  <c:v>0.27093083723348932</c:v>
                </c:pt>
                <c:pt idx="2">
                  <c:v>0.22461814914645103</c:v>
                </c:pt>
                <c:pt idx="3">
                  <c:v>0.28397790055248617</c:v>
                </c:pt>
                <c:pt idx="4">
                  <c:v>0.27596899224806204</c:v>
                </c:pt>
              </c:numCache>
            </c:numRef>
          </c:val>
          <c:smooth val="0"/>
        </c:ser>
        <c:ser>
          <c:idx val="1"/>
          <c:order val="1"/>
          <c:tx>
            <c:strRef>
              <c:f>'T23'!$A$4</c:f>
              <c:strCache>
                <c:ptCount val="1"/>
                <c:pt idx="0">
                  <c:v>Q5 - advantaged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'T23'!$B$2:$F$2</c:f>
              <c:strCache>
                <c:ptCount val="5"/>
                <c:pt idx="0">
                  <c:v>2007-08</c:v>
                </c:pt>
                <c:pt idx="1">
                  <c:v>2008-09</c:v>
                </c:pt>
                <c:pt idx="2">
                  <c:v>2009-10</c:v>
                </c:pt>
                <c:pt idx="3">
                  <c:v>2010-11</c:v>
                </c:pt>
                <c:pt idx="4">
                  <c:v>2011-12</c:v>
                </c:pt>
              </c:strCache>
            </c:strRef>
          </c:cat>
          <c:val>
            <c:numRef>
              <c:f>'T23'!$B$4:$F$4</c:f>
              <c:numCache>
                <c:formatCode>0%</c:formatCode>
                <c:ptCount val="5"/>
                <c:pt idx="0">
                  <c:v>0.41437444543034607</c:v>
                </c:pt>
                <c:pt idx="1">
                  <c:v>0.40627482128673548</c:v>
                </c:pt>
                <c:pt idx="2">
                  <c:v>0.3970564962810571</c:v>
                </c:pt>
                <c:pt idx="3">
                  <c:v>0.43823355568690364</c:v>
                </c:pt>
                <c:pt idx="4">
                  <c:v>0.39205678283754686</c:v>
                </c:pt>
              </c:numCache>
            </c:numRef>
          </c:val>
          <c:smooth val="0"/>
        </c:ser>
        <c:dLbls>
          <c:dLblPos val="t"/>
          <c:showLegendKey val="0"/>
          <c:showVal val="1"/>
          <c:showCatName val="0"/>
          <c:showSerName val="0"/>
          <c:showPercent val="0"/>
          <c:showBubbleSize val="0"/>
        </c:dLbls>
        <c:marker val="1"/>
        <c:smooth val="0"/>
        <c:axId val="399679488"/>
        <c:axId val="399679880"/>
      </c:lineChart>
      <c:catAx>
        <c:axId val="3996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9679880"/>
        <c:crosses val="autoZero"/>
        <c:auto val="1"/>
        <c:lblAlgn val="ctr"/>
        <c:lblOffset val="100"/>
        <c:noMultiLvlLbl val="0"/>
      </c:catAx>
      <c:valAx>
        <c:axId val="3996798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67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E5E763-8299-4FC1-AB50-C914FAC82330}"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n-GB"/>
        </a:p>
      </dgm:t>
    </dgm:pt>
    <dgm:pt modelId="{1D5735BD-720E-4427-90BA-91C8CB80036A}">
      <dgm:prSet phldrT="[Text]" custT="1"/>
      <dgm:spPr/>
      <dgm:t>
        <a:bodyPr/>
        <a:lstStyle/>
        <a:p>
          <a:pPr algn="ctr"/>
          <a:r>
            <a:rPr lang="en-GB" sz="900"/>
            <a:t>FE College level 3 achievers</a:t>
          </a:r>
        </a:p>
      </dgm:t>
    </dgm:pt>
    <dgm:pt modelId="{8D8BB7A5-6787-4E38-B8A3-982DE5D68AA4}" type="parTrans" cxnId="{E67FE694-B662-4AD7-A3FF-299DD8E8BD3A}">
      <dgm:prSet/>
      <dgm:spPr/>
      <dgm:t>
        <a:bodyPr/>
        <a:lstStyle/>
        <a:p>
          <a:pPr algn="ctr"/>
          <a:endParaRPr lang="en-GB"/>
        </a:p>
      </dgm:t>
    </dgm:pt>
    <dgm:pt modelId="{4DBF9FF9-2298-4181-9F10-CBA52C5E0C19}" type="sibTrans" cxnId="{E67FE694-B662-4AD7-A3FF-299DD8E8BD3A}">
      <dgm:prSet/>
      <dgm:spPr/>
      <dgm:t>
        <a:bodyPr/>
        <a:lstStyle/>
        <a:p>
          <a:pPr algn="ctr"/>
          <a:endParaRPr lang="en-GB"/>
        </a:p>
      </dgm:t>
    </dgm:pt>
    <dgm:pt modelId="{B1DC8793-31B5-42FD-8D27-E68C371F5F29}">
      <dgm:prSet phldrT="[Text]" custT="1"/>
      <dgm:spPr/>
      <dgm:t>
        <a:bodyPr/>
        <a:lstStyle/>
        <a:p>
          <a:pPr algn="ctr"/>
          <a:r>
            <a:rPr lang="en-GB" sz="900"/>
            <a:t>Linked to KS4 attainment</a:t>
          </a:r>
        </a:p>
      </dgm:t>
    </dgm:pt>
    <dgm:pt modelId="{102FF527-CDDE-4762-ABC8-6509FEE554B0}" type="parTrans" cxnId="{5D356499-EAD9-4821-9BC3-7BE5B4D3436C}">
      <dgm:prSet/>
      <dgm:spPr/>
      <dgm:t>
        <a:bodyPr/>
        <a:lstStyle/>
        <a:p>
          <a:pPr algn="ctr"/>
          <a:endParaRPr lang="en-GB"/>
        </a:p>
      </dgm:t>
    </dgm:pt>
    <dgm:pt modelId="{307166B8-BFF0-4C77-9A93-102083AB1404}" type="sibTrans" cxnId="{5D356499-EAD9-4821-9BC3-7BE5B4D3436C}">
      <dgm:prSet/>
      <dgm:spPr/>
      <dgm:t>
        <a:bodyPr/>
        <a:lstStyle/>
        <a:p>
          <a:pPr algn="ctr"/>
          <a:endParaRPr lang="en-GB"/>
        </a:p>
      </dgm:t>
    </dgm:pt>
    <dgm:pt modelId="{BF431403-B479-4876-8417-6ECF416FAFA4}">
      <dgm:prSet phldrT="[Text]" custT="1"/>
      <dgm:spPr/>
      <dgm:t>
        <a:bodyPr/>
        <a:lstStyle/>
        <a:p>
          <a:pPr algn="ctr"/>
          <a:r>
            <a:rPr lang="en-GB" sz="900"/>
            <a:t>Linked to HE entrant data</a:t>
          </a:r>
        </a:p>
      </dgm:t>
    </dgm:pt>
    <dgm:pt modelId="{5C00C7E2-8069-420C-AC98-CDB83D916E07}" type="parTrans" cxnId="{94DAA6EB-7FF5-4E38-BE08-C2ED1FEE35E4}">
      <dgm:prSet/>
      <dgm:spPr/>
      <dgm:t>
        <a:bodyPr/>
        <a:lstStyle/>
        <a:p>
          <a:pPr algn="ctr"/>
          <a:endParaRPr lang="en-GB"/>
        </a:p>
      </dgm:t>
    </dgm:pt>
    <dgm:pt modelId="{CB5732BA-EC7D-465C-AFCD-694601544A9F}" type="sibTrans" cxnId="{94DAA6EB-7FF5-4E38-BE08-C2ED1FEE35E4}">
      <dgm:prSet/>
      <dgm:spPr/>
      <dgm:t>
        <a:bodyPr/>
        <a:lstStyle/>
        <a:p>
          <a:pPr algn="ctr"/>
          <a:endParaRPr lang="en-GB"/>
        </a:p>
      </dgm:t>
    </dgm:pt>
    <dgm:pt modelId="{4CDB3B6B-5838-4703-95D3-D65D5C430EA5}" type="pres">
      <dgm:prSet presAssocID="{C1E5E763-8299-4FC1-AB50-C914FAC82330}" presName="Name0" presStyleCnt="0">
        <dgm:presLayoutVars>
          <dgm:chMax val="7"/>
          <dgm:chPref val="7"/>
          <dgm:dir/>
          <dgm:animLvl val="lvl"/>
        </dgm:presLayoutVars>
      </dgm:prSet>
      <dgm:spPr/>
      <dgm:t>
        <a:bodyPr/>
        <a:lstStyle/>
        <a:p>
          <a:endParaRPr lang="en-GB"/>
        </a:p>
      </dgm:t>
    </dgm:pt>
    <dgm:pt modelId="{E9FCD830-7523-4390-ABFE-9284D6E47697}" type="pres">
      <dgm:prSet presAssocID="{1D5735BD-720E-4427-90BA-91C8CB80036A}" presName="Accent1" presStyleCnt="0"/>
      <dgm:spPr/>
    </dgm:pt>
    <dgm:pt modelId="{C3F09991-2B3C-4AEE-B08B-A86D9E481E8D}" type="pres">
      <dgm:prSet presAssocID="{1D5735BD-720E-4427-90BA-91C8CB80036A}" presName="Accent" presStyleLbl="node1" presStyleIdx="0" presStyleCnt="3"/>
      <dgm:spPr/>
    </dgm:pt>
    <dgm:pt modelId="{782F2778-3BFE-4652-9DFD-CB534FAD2644}" type="pres">
      <dgm:prSet presAssocID="{1D5735BD-720E-4427-90BA-91C8CB80036A}" presName="Parent1" presStyleLbl="revTx" presStyleIdx="0" presStyleCnt="3">
        <dgm:presLayoutVars>
          <dgm:chMax val="1"/>
          <dgm:chPref val="1"/>
          <dgm:bulletEnabled val="1"/>
        </dgm:presLayoutVars>
      </dgm:prSet>
      <dgm:spPr/>
      <dgm:t>
        <a:bodyPr/>
        <a:lstStyle/>
        <a:p>
          <a:endParaRPr lang="en-GB"/>
        </a:p>
      </dgm:t>
    </dgm:pt>
    <dgm:pt modelId="{7EDFB0FB-E66C-4B1F-9CD2-C153D36CB125}" type="pres">
      <dgm:prSet presAssocID="{B1DC8793-31B5-42FD-8D27-E68C371F5F29}" presName="Accent2" presStyleCnt="0"/>
      <dgm:spPr/>
    </dgm:pt>
    <dgm:pt modelId="{C7693761-F0E2-4119-A438-5790A110D6EA}" type="pres">
      <dgm:prSet presAssocID="{B1DC8793-31B5-42FD-8D27-E68C371F5F29}" presName="Accent" presStyleLbl="node1" presStyleIdx="1" presStyleCnt="3"/>
      <dgm:spPr/>
    </dgm:pt>
    <dgm:pt modelId="{B48A7358-4B8C-4654-A34B-C28225FE4A42}" type="pres">
      <dgm:prSet presAssocID="{B1DC8793-31B5-42FD-8D27-E68C371F5F29}" presName="Parent2" presStyleLbl="revTx" presStyleIdx="1" presStyleCnt="3">
        <dgm:presLayoutVars>
          <dgm:chMax val="1"/>
          <dgm:chPref val="1"/>
          <dgm:bulletEnabled val="1"/>
        </dgm:presLayoutVars>
      </dgm:prSet>
      <dgm:spPr/>
      <dgm:t>
        <a:bodyPr/>
        <a:lstStyle/>
        <a:p>
          <a:endParaRPr lang="en-GB"/>
        </a:p>
      </dgm:t>
    </dgm:pt>
    <dgm:pt modelId="{C62DBB20-72A5-4B18-BA25-72578E44EB15}" type="pres">
      <dgm:prSet presAssocID="{BF431403-B479-4876-8417-6ECF416FAFA4}" presName="Accent3" presStyleCnt="0"/>
      <dgm:spPr/>
    </dgm:pt>
    <dgm:pt modelId="{292B56D1-A8D3-46E0-8A63-A5EA96A293DD}" type="pres">
      <dgm:prSet presAssocID="{BF431403-B479-4876-8417-6ECF416FAFA4}" presName="Accent" presStyleLbl="node1" presStyleIdx="2" presStyleCnt="3"/>
      <dgm:spPr/>
    </dgm:pt>
    <dgm:pt modelId="{26B1DB5C-C7AC-4183-94F8-A6A92A7F58DF}" type="pres">
      <dgm:prSet presAssocID="{BF431403-B479-4876-8417-6ECF416FAFA4}" presName="Parent3" presStyleLbl="revTx" presStyleIdx="2" presStyleCnt="3">
        <dgm:presLayoutVars>
          <dgm:chMax val="1"/>
          <dgm:chPref val="1"/>
          <dgm:bulletEnabled val="1"/>
        </dgm:presLayoutVars>
      </dgm:prSet>
      <dgm:spPr/>
      <dgm:t>
        <a:bodyPr/>
        <a:lstStyle/>
        <a:p>
          <a:endParaRPr lang="en-GB"/>
        </a:p>
      </dgm:t>
    </dgm:pt>
  </dgm:ptLst>
  <dgm:cxnLst>
    <dgm:cxn modelId="{855C6F94-BA5B-425A-A7B6-300380208143}" type="presOf" srcId="{BF431403-B479-4876-8417-6ECF416FAFA4}" destId="{26B1DB5C-C7AC-4183-94F8-A6A92A7F58DF}" srcOrd="0" destOrd="0" presId="urn:microsoft.com/office/officeart/2009/layout/CircleArrowProcess"/>
    <dgm:cxn modelId="{E982A085-DCF4-4EB7-ACBE-F1C056B944F8}" type="presOf" srcId="{1D5735BD-720E-4427-90BA-91C8CB80036A}" destId="{782F2778-3BFE-4652-9DFD-CB534FAD2644}" srcOrd="0" destOrd="0" presId="urn:microsoft.com/office/officeart/2009/layout/CircleArrowProcess"/>
    <dgm:cxn modelId="{94DAA6EB-7FF5-4E38-BE08-C2ED1FEE35E4}" srcId="{C1E5E763-8299-4FC1-AB50-C914FAC82330}" destId="{BF431403-B479-4876-8417-6ECF416FAFA4}" srcOrd="2" destOrd="0" parTransId="{5C00C7E2-8069-420C-AC98-CDB83D916E07}" sibTransId="{CB5732BA-EC7D-465C-AFCD-694601544A9F}"/>
    <dgm:cxn modelId="{5D356499-EAD9-4821-9BC3-7BE5B4D3436C}" srcId="{C1E5E763-8299-4FC1-AB50-C914FAC82330}" destId="{B1DC8793-31B5-42FD-8D27-E68C371F5F29}" srcOrd="1" destOrd="0" parTransId="{102FF527-CDDE-4762-ABC8-6509FEE554B0}" sibTransId="{307166B8-BFF0-4C77-9A93-102083AB1404}"/>
    <dgm:cxn modelId="{018E64E4-7E31-4950-A981-C71E1880C52E}" type="presOf" srcId="{C1E5E763-8299-4FC1-AB50-C914FAC82330}" destId="{4CDB3B6B-5838-4703-95D3-D65D5C430EA5}" srcOrd="0" destOrd="0" presId="urn:microsoft.com/office/officeart/2009/layout/CircleArrowProcess"/>
    <dgm:cxn modelId="{E67FE694-B662-4AD7-A3FF-299DD8E8BD3A}" srcId="{C1E5E763-8299-4FC1-AB50-C914FAC82330}" destId="{1D5735BD-720E-4427-90BA-91C8CB80036A}" srcOrd="0" destOrd="0" parTransId="{8D8BB7A5-6787-4E38-B8A3-982DE5D68AA4}" sibTransId="{4DBF9FF9-2298-4181-9F10-CBA52C5E0C19}"/>
    <dgm:cxn modelId="{8F21A7E0-4D9A-486E-BE95-F738763FABFD}" type="presOf" srcId="{B1DC8793-31B5-42FD-8D27-E68C371F5F29}" destId="{B48A7358-4B8C-4654-A34B-C28225FE4A42}" srcOrd="0" destOrd="0" presId="urn:microsoft.com/office/officeart/2009/layout/CircleArrowProcess"/>
    <dgm:cxn modelId="{5550CD3D-279A-46FD-8EB1-5137249A9009}" type="presParOf" srcId="{4CDB3B6B-5838-4703-95D3-D65D5C430EA5}" destId="{E9FCD830-7523-4390-ABFE-9284D6E47697}" srcOrd="0" destOrd="0" presId="urn:microsoft.com/office/officeart/2009/layout/CircleArrowProcess"/>
    <dgm:cxn modelId="{BEF05CD2-BA05-4EDA-A6FD-71178574414F}" type="presParOf" srcId="{E9FCD830-7523-4390-ABFE-9284D6E47697}" destId="{C3F09991-2B3C-4AEE-B08B-A86D9E481E8D}" srcOrd="0" destOrd="0" presId="urn:microsoft.com/office/officeart/2009/layout/CircleArrowProcess"/>
    <dgm:cxn modelId="{F0428927-5718-481D-8E6C-33F0D082B86D}" type="presParOf" srcId="{4CDB3B6B-5838-4703-95D3-D65D5C430EA5}" destId="{782F2778-3BFE-4652-9DFD-CB534FAD2644}" srcOrd="1" destOrd="0" presId="urn:microsoft.com/office/officeart/2009/layout/CircleArrowProcess"/>
    <dgm:cxn modelId="{812AE3A0-5E66-470F-813D-CDDC2F63D5F5}" type="presParOf" srcId="{4CDB3B6B-5838-4703-95D3-D65D5C430EA5}" destId="{7EDFB0FB-E66C-4B1F-9CD2-C153D36CB125}" srcOrd="2" destOrd="0" presId="urn:microsoft.com/office/officeart/2009/layout/CircleArrowProcess"/>
    <dgm:cxn modelId="{CA86EC5E-1DD4-4782-8C63-249F04CF6588}" type="presParOf" srcId="{7EDFB0FB-E66C-4B1F-9CD2-C153D36CB125}" destId="{C7693761-F0E2-4119-A438-5790A110D6EA}" srcOrd="0" destOrd="0" presId="urn:microsoft.com/office/officeart/2009/layout/CircleArrowProcess"/>
    <dgm:cxn modelId="{8F52A570-0BE3-4CE1-A4F7-AC95E189026E}" type="presParOf" srcId="{4CDB3B6B-5838-4703-95D3-D65D5C430EA5}" destId="{B48A7358-4B8C-4654-A34B-C28225FE4A42}" srcOrd="3" destOrd="0" presId="urn:microsoft.com/office/officeart/2009/layout/CircleArrowProcess"/>
    <dgm:cxn modelId="{369DF14A-AA70-4751-BECB-7AC4321D2CEC}" type="presParOf" srcId="{4CDB3B6B-5838-4703-95D3-D65D5C430EA5}" destId="{C62DBB20-72A5-4B18-BA25-72578E44EB15}" srcOrd="4" destOrd="0" presId="urn:microsoft.com/office/officeart/2009/layout/CircleArrowProcess"/>
    <dgm:cxn modelId="{75D2C8F4-8EEF-49C1-B56A-D012EE49C8AC}" type="presParOf" srcId="{C62DBB20-72A5-4B18-BA25-72578E44EB15}" destId="{292B56D1-A8D3-46E0-8A63-A5EA96A293DD}" srcOrd="0" destOrd="0" presId="urn:microsoft.com/office/officeart/2009/layout/CircleArrowProcess"/>
    <dgm:cxn modelId="{E7C77221-9C85-46D5-9F78-BABFA9CB4A4D}" type="presParOf" srcId="{4CDB3B6B-5838-4703-95D3-D65D5C430EA5}" destId="{26B1DB5C-C7AC-4183-94F8-A6A92A7F58DF}" srcOrd="5" destOrd="0" presId="urn:microsoft.com/office/officeart/2009/layout/CircleArrow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09991-2B3C-4AEE-B08B-A86D9E481E8D}">
      <dsp:nvSpPr>
        <dsp:cNvPr id="0" name=""/>
        <dsp:cNvSpPr/>
      </dsp:nvSpPr>
      <dsp:spPr>
        <a:xfrm>
          <a:off x="1130163" y="0"/>
          <a:ext cx="1077389" cy="1077553"/>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2F2778-3BFE-4652-9DFD-CB534FAD2644}">
      <dsp:nvSpPr>
        <dsp:cNvPr id="0" name=""/>
        <dsp:cNvSpPr/>
      </dsp:nvSpPr>
      <dsp:spPr>
        <a:xfrm>
          <a:off x="1368301" y="389029"/>
          <a:ext cx="598684" cy="299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FE College level 3 achievers</a:t>
          </a:r>
        </a:p>
      </dsp:txBody>
      <dsp:txXfrm>
        <a:off x="1368301" y="389029"/>
        <a:ext cx="598684" cy="299270"/>
      </dsp:txXfrm>
    </dsp:sp>
    <dsp:sp modelId="{C7693761-F0E2-4119-A438-5790A110D6EA}">
      <dsp:nvSpPr>
        <dsp:cNvPr id="0" name=""/>
        <dsp:cNvSpPr/>
      </dsp:nvSpPr>
      <dsp:spPr>
        <a:xfrm>
          <a:off x="830922" y="619134"/>
          <a:ext cx="1077389" cy="1077553"/>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8A7358-4B8C-4654-A34B-C28225FE4A42}">
      <dsp:nvSpPr>
        <dsp:cNvPr id="0" name=""/>
        <dsp:cNvSpPr/>
      </dsp:nvSpPr>
      <dsp:spPr>
        <a:xfrm>
          <a:off x="1070274" y="1011745"/>
          <a:ext cx="598684" cy="299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Linked to KS4 attainment</a:t>
          </a:r>
        </a:p>
      </dsp:txBody>
      <dsp:txXfrm>
        <a:off x="1070274" y="1011745"/>
        <a:ext cx="598684" cy="299270"/>
      </dsp:txXfrm>
    </dsp:sp>
    <dsp:sp modelId="{292B56D1-A8D3-46E0-8A63-A5EA96A293DD}">
      <dsp:nvSpPr>
        <dsp:cNvPr id="0" name=""/>
        <dsp:cNvSpPr/>
      </dsp:nvSpPr>
      <dsp:spPr>
        <a:xfrm>
          <a:off x="1206845" y="1312359"/>
          <a:ext cx="925644" cy="926015"/>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B1DB5C-C7AC-4183-94F8-A6A92A7F58DF}">
      <dsp:nvSpPr>
        <dsp:cNvPr id="0" name=""/>
        <dsp:cNvSpPr/>
      </dsp:nvSpPr>
      <dsp:spPr>
        <a:xfrm>
          <a:off x="1369718" y="1635356"/>
          <a:ext cx="598684" cy="299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Linked to HE entrant data</a:t>
          </a:r>
        </a:p>
      </dsp:txBody>
      <dsp:txXfrm>
        <a:off x="1369718" y="1635356"/>
        <a:ext cx="598684" cy="29927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Dea97</b:Tag>
    <b:SourceType>Report</b:SourceType>
    <b:Guid>{E52426F8-AEED-4AEA-B7A8-94A4EDAC0C65}</b:Guid>
    <b:Author>
      <b:Author>
        <b:NameList>
          <b:Person>
            <b:Last>Dearing</b:Last>
            <b:First>R</b:First>
          </b:Person>
        </b:NameList>
      </b:Author>
    </b:Author>
    <b:Title>Higher Education in the Learning Society </b:Title>
    <b:Year>1997</b:Year>
    <b:Publisher>HMSO</b:Publisher>
    <b:RefOrder>3</b:RefOrder>
  </b:Source>
  <b:Source>
    <b:Tag>HEF06</b:Tag>
    <b:SourceType>Report</b:SourceType>
    <b:Guid>{6F3D813B-E3BE-4B0E-9DB4-1A5CFAF21ED0}</b:Guid>
    <b:Author>
      <b:Author>
        <b:Corporate>HEFCE</b:Corporate>
      </b:Author>
    </b:Author>
    <b:Title>Higher Education in FE Colleges - Consultation on HEFCE Policy</b:Title>
    <b:Year>2006</b:Year>
    <b:Publisher>HEFCE</b:Publisher>
    <b:RefOrder>4</b:RefOrder>
  </b:Source>
  <b:Source>
    <b:Tag>Lei07</b:Tag>
    <b:SourceType>Report</b:SourceType>
    <b:Guid>{5F9BA879-59FA-4868-8371-C665FDCCD472}</b:Guid>
    <b:Author>
      <b:Author>
        <b:NameList>
          <b:Person>
            <b:Last>Leitch</b:Last>
            <b:First>S</b:First>
          </b:Person>
        </b:NameList>
      </b:Author>
    </b:Author>
    <b:Title>Leitch Review of Skills - Prosperity for all in the Global Economy - World Class Skills</b:Title>
    <b:Year>2006</b:Year>
    <b:Publisher>HMSO</b:Publisher>
    <b:RefOrder>5</b:RefOrder>
  </b:Source>
  <b:Source>
    <b:Tag>DIU07</b:Tag>
    <b:SourceType>Report</b:SourceType>
    <b:Guid>{B36A8686-8D0D-492D-BDF8-278C6778BC4F}</b:Guid>
    <b:Author>
      <b:Author>
        <b:Corporate>DIUS</b:Corporate>
      </b:Author>
    </b:Author>
    <b:Title>World Class Skills: Implementing the Leitch Review of Skills in England</b:Title>
    <b:Year>2007</b:Year>
    <b:Publisher>DIUS</b:Publisher>
    <b:RefOrder>6</b:RefOrder>
  </b:Source>
  <b:Source>
    <b:Tag>Pan091</b:Tag>
    <b:SourceType>Report</b:SourceType>
    <b:Guid>{CA8D9E33-31DA-4FDE-8B89-C9F2B0E70E8B}</b:Guid>
    <b:Author>
      <b:Author>
        <b:Corporate>Panel on Fair Access to the Professions</b:Corporate>
      </b:Author>
    </b:Author>
    <b:Title>Unleashing Aspiration: The Final Report of the Panel on Fair Access to the Professions</b:Title>
    <b:Year>2009</b:Year>
    <b:Publisher>Cabinet Office</b:Publisher>
    <b:RefOrder>7</b:RefOrder>
  </b:Source>
  <b:Source>
    <b:Tag>BIS093</b:Tag>
    <b:SourceType>Report</b:SourceType>
    <b:Guid>{90F59E46-4D4B-4733-A759-DD13417F3F7E}</b:Guid>
    <b:Author>
      <b:Author>
        <b:Corporate>BIS</b:Corporate>
      </b:Author>
    </b:Author>
    <b:Title>Higher Ambitions - The Future of Universities in a Knowledge Economy</b:Title>
    <b:Year>2009a</b:Year>
    <b:Publisher>BIS</b:Publisher>
    <b:RefOrder>8</b:RefOrder>
  </b:Source>
  <b:Source>
    <b:Tag>BIS092</b:Tag>
    <b:SourceType>Report</b:SourceType>
    <b:Guid>{86B70ECB-0EF8-4B82-A566-731332610FC7}</b:Guid>
    <b:Author>
      <b:Author>
        <b:Corporate>BIS</b:Corporate>
      </b:Author>
    </b:Author>
    <b:Title>Skills for Growth - The National Skills Strategy</b:Title>
    <b:Year>2009b</b:Year>
    <b:Publisher>BIS</b:Publisher>
    <b:RefOrder>9</b:RefOrder>
  </b:Source>
  <b:Source>
    <b:Tag>Oxf14</b:Tag>
    <b:SourceType>Report</b:SourceType>
    <b:Guid>{E3E6DD46-0126-44FA-9332-A64918783878}</b:Guid>
    <b:Author>
      <b:Author>
        <b:Corporate>Oxford Economics</b:Corporate>
      </b:Author>
    </b:Author>
    <b:Title>Macroeconomic Influences on the Demand for Part-time Higher Education in the UK</b:Title>
    <b:Year>2014</b:Year>
    <b:Publisher>Oxford Economics</b:Publisher>
    <b:City>Oxford</b:City>
    <b:RefOrder>10</b:RefOrder>
  </b:Source>
  <b:Source>
    <b:Tag>Bro10</b:Tag>
    <b:SourceType>Report</b:SourceType>
    <b:Guid>{32972E17-96CC-45F8-8936-85EFBFFFC5DB}</b:Guid>
    <b:Author>
      <b:Author>
        <b:NameList>
          <b:Person>
            <b:Last>Browne</b:Last>
            <b:First>J</b:First>
          </b:Person>
        </b:NameList>
      </b:Author>
    </b:Author>
    <b:Title>Securing a Sustainable Future for Higher Education - An Independent Review of Higher Education Funding and Student Finance</b:Title>
    <b:Year>2010</b:Year>
    <b:Publisher>BIS</b:Publisher>
    <b:RefOrder>11</b:RefOrder>
  </b:Source>
  <b:Source>
    <b:Tag>BISDec11</b:Tag>
    <b:SourceType>Report</b:SourceType>
    <b:Guid>{22174EF5-7CCF-40EE-ACA2-B647DBE6F97B}</b:Guid>
    <b:Author>
      <b:Author>
        <b:Corporate>BIS</b:Corporate>
      </b:Author>
    </b:Author>
    <b:Title>New Challenges, New Chances</b:Title>
    <b:Year>2011</b:Year>
    <b:Publisher>BIS</b:Publisher>
    <b:RefOrder>12</b:RefOrder>
  </b:Source>
  <b:Source>
    <b:Tag>BIS11</b:Tag>
    <b:SourceType>Report</b:SourceType>
    <b:Guid>{636F22F2-3494-40A7-BD80-A97349A70C9C}</b:Guid>
    <b:Author>
      <b:Author>
        <b:Corporate>BIS</b:Corporate>
      </b:Author>
    </b:Author>
    <b:Title>Higher Education - Students at the Heart of the System</b:Title>
    <b:Year>2011a</b:Year>
    <b:Publisher>BIS</b:Publisher>
    <b:RefOrder>13</b:RefOrder>
  </b:Source>
  <b:Source>
    <b:Tag>BIS1b</b:Tag>
    <b:SourceType>Report</b:SourceType>
    <b:Guid>{7D0929A8-7C27-444B-920D-70BD6319CA0A}</b:Guid>
    <b:Author>
      <b:Author>
        <b:Corporate>BIS</b:Corporate>
      </b:Author>
    </b:Author>
    <b:Title>Specification of Apprenticeship Standards in England</b:Title>
    <b:Year>2011b</b:Year>
    <b:Publisher>BIS</b:Publisher>
    <b:RefOrder>14</b:RefOrder>
  </b:Source>
  <b:Source>
    <b:Tag>Ric12</b:Tag>
    <b:SourceType>Report</b:SourceType>
    <b:Guid>{E57623BA-CDF2-43BA-93E7-554906EAB7AD}</b:Guid>
    <b:Author>
      <b:Author>
        <b:NameList>
          <b:Person>
            <b:Last>Richard</b:Last>
            <b:First>D</b:First>
          </b:Person>
        </b:NameList>
      </b:Author>
    </b:Author>
    <b:Title>Richard Review of Apprenticeships</b:Title>
    <b:Year>2012</b:Year>
    <b:Publisher>BIS</b:Publisher>
    <b:RefOrder>15</b:RefOrder>
  </b:Source>
  <b:Source>
    <b:Tag>BIS131</b:Tag>
    <b:SourceType>Report</b:SourceType>
    <b:Guid>{56DB2E9E-9154-4BE5-A57B-0E72415E8028}</b:Guid>
    <b:Author>
      <b:Author>
        <b:Corporate>BIS</b:Corporate>
      </b:Author>
    </b:Author>
    <b:Title>Specification of Apprenticeship Standards in England</b:Title>
    <b:Year>2013</b:Year>
    <b:Publisher>BIS</b:Publisher>
    <b:RefOrder>16</b:RefOrder>
  </b:Source>
  <b:Source>
    <b:Tag>HEF12</b:Tag>
    <b:SourceType>Report</b:SourceType>
    <b:Guid>{9C0C021C-4EA1-43CE-B192-C6045B1BB144}</b:Guid>
    <b:Author>
      <b:Author>
        <b:Corporate>HEFCE</b:Corporate>
      </b:Author>
    </b:Author>
    <b:Title>POLAR 3 Young Participation in Higher Education</b:Title>
    <b:Year>2012</b:Year>
    <b:Publisher>HEFCE</b:Publisher>
    <b:RefOrder>17</b:RefOrder>
  </b:Source>
  <b:Source>
    <b:Tag>HEF143</b:Tag>
    <b:SourceType>Report</b:SourceType>
    <b:Guid>{0E3C4B11-6FF6-423E-9113-87722D7A0F51}</b:Guid>
    <b:Author>
      <b:Author>
        <b:Corporate>HEFCE</b:Corporate>
      </b:Author>
    </b:Author>
    <b:Title>Further Information on POLAR3</b:Title>
    <b:Year>2014b</b:Year>
    <b:Publisher>HEFCE</b:Publisher>
    <b:RefOrder>23</b:RefOrder>
  </b:Source>
  <b:Source>
    <b:Tag>Wol11</b:Tag>
    <b:SourceType>Report</b:SourceType>
    <b:Guid>{B6400E2C-0635-4A38-AE52-ED28DEDA9EEF}</b:Guid>
    <b:Author>
      <b:Author>
        <b:NameList>
          <b:Person>
            <b:Last>Wolf</b:Last>
            <b:First>A</b:First>
          </b:Person>
        </b:NameList>
      </b:Author>
    </b:Author>
    <b:Title>Review of Vocational Education - The Wolf Report</b:Title>
    <b:Year>2011</b:Year>
    <b:Publisher>The Stationery Office</b:Publisher>
    <b:RefOrder>26</b:RefOrder>
  </b:Source>
  <b:Source>
    <b:Tag>Cho10</b:Tag>
    <b:SourceType>Report</b:SourceType>
    <b:Guid>{692DB132-B2E2-45F2-BCB3-04CD08480EFB}</b:Guid>
    <b:Author>
      <b:Author>
        <b:NameList>
          <b:Person>
            <b:Last>Chowdry</b:Last>
            <b:First>H.,</b:First>
            <b:Middle>Crawford, C., Dearden, L., Goodman, A. &amp; Vignoles, A.</b:Middle>
          </b:Person>
        </b:NameList>
      </b:Author>
    </b:Author>
    <b:Title>Widening Participation in Higher Education: Analysis using Linked Administrative Data</b:Title>
    <b:Year>2010</b:Year>
    <b:Publisher>Institute of Fiscal Studies</b:Publisher>
    <b:URL>http://russellgroup.ac.uk/russell-group-latest-news/151-2012/5255-offa-guidance-onaccess-</b:URL>
    <b:RefOrder>28</b:RefOrder>
  </b:Source>
  <b:Source>
    <b:Tag>BIS</b:Tag>
    <b:SourceType>Report</b:SourceType>
    <b:Guid>{2EEF88DE-2275-4D83-B5B6-9B2F170105B5}</b:Guid>
    <b:Author>
      <b:Author>
        <b:Corporate>IFF Research</b:Corporate>
      </b:Author>
    </b:Author>
    <b:Title>Prior Qualifications of Adults Undertaking Classroom-based Courses in Further Education 2012/13</b:Title>
    <b:Year>2014</b:Year>
    <b:Publisher>BIS</b:Publisher>
    <b:RefOrder>29</b:RefOrder>
  </b:Source>
  <b:Source>
    <b:Tag>BIS15</b:Tag>
    <b:SourceType>Report</b:SourceType>
    <b:Guid>{754A5812-8F18-4E1A-97F2-5E2E9EEC3D47}</b:Guid>
    <b:Author>
      <b:Author>
        <b:Corporate>BIS</b:Corporate>
      </b:Author>
    </b:Author>
    <b:Title>BIS Performance Indicators - Total Achievements in full Level 2 or 3 Further Education of People Academic Age 19 years and Over</b:Title>
    <b:Year>2015</b:Year>
    <b:Publisher>BIS</b:Publisher>
    <b:RefOrder>25</b:RefOrder>
  </b:Source>
  <b:Source>
    <b:Tag>Smi15</b:Tag>
    <b:SourceType>Report</b:SourceType>
    <b:Guid>{3CFED030-02BF-4D58-B64E-DDE76681039E}</b:Guid>
    <b:Title>Progression of College Students in England to Higher Education </b:Title>
    <b:Year>2015</b:Year>
    <b:Publisher>BIS</b:Publisher>
    <b:Author>
      <b:Author>
        <b:NameList>
          <b:Person>
            <b:Last>Smith</b:Last>
            <b:First>S</b:First>
          </b:Person>
          <b:Person>
            <b:Last>Joslin</b:Last>
            <b:First>H</b:First>
          </b:Person>
          <b:Person>
            <b:Last>Jameson</b:Last>
            <b:First>J</b:First>
          </b:Person>
        </b:NameList>
      </b:Author>
    </b:Author>
    <b:RefOrder>1</b:RefOrder>
  </b:Source>
  <b:Source>
    <b:Tag>Tin14</b:Tag>
    <b:SourceType>Report</b:SourceType>
    <b:Guid>{6B6572C2-FF57-4D3D-8702-00A53D448300}</b:Guid>
    <b:Author>
      <b:Author>
        <b:NameList>
          <b:Person>
            <b:Last>Tindell</b:Last>
            <b:First>G.</b:First>
          </b:Person>
          <b:Person>
            <b:Last>Weeden</b:Last>
            <b:First>S.</b:First>
          </b:Person>
          <b:Person>
            <b:Last>Storan</b:Last>
            <b:First>J</b:First>
          </b:Person>
        </b:NameList>
      </b:Author>
    </b:Author>
    <b:Title>The Higher Education Journey of Young London Residents in a Changing Landscape</b:Title>
    <b:Year>2014</b:Year>
    <b:Publisher>London Councils Young People's Education and Skills</b:Publisher>
    <b:RefOrder>22</b:RefOrder>
  </b:Source>
  <b:Source>
    <b:Tag>Ofs13</b:Tag>
    <b:SourceType>Report</b:SourceType>
    <b:Guid>{5463B940-193F-418F-AE6E-D024847E6D6D}</b:Guid>
    <b:Author>
      <b:Author>
        <b:Corporate>Ofsted</b:Corporate>
      </b:Author>
    </b:Author>
    <b:Title>Annual Report 2012-13 - London Regional Report</b:Title>
    <b:Year>2013</b:Year>
    <b:Publisher>Ofsted</b:Publisher>
    <b:RefOrder>21</b:RefOrder>
  </b:Source>
  <b:Source>
    <b:Tag>Ofs14</b:Tag>
    <b:SourceType>Report</b:SourceType>
    <b:Guid>{48698B22-E723-4B4C-8A4D-8998EE08CBEE}</b:Guid>
    <b:Author>
      <b:Author>
        <b:Corporate>Ofsted</b:Corporate>
      </b:Author>
    </b:Author>
    <b:Title>London Regional Report</b:Title>
    <b:Year>2014</b:Year>
    <b:Publisher>Ofsted</b:Publisher>
    <b:RefOrder>20</b:RefOrder>
  </b:Source>
  <b:Source>
    <b:Tag>Hod14</b:Tag>
    <b:SourceType>Report</b:SourceType>
    <b:Guid>{05A03A85-09E7-4613-8338-8796404CBF72}</b:Guid>
    <b:Author>
      <b:Author>
        <b:NameList>
          <b:Person>
            <b:Last>Hodgson</b:Last>
            <b:First>A.</b:First>
          </b:Person>
          <b:Person>
            <b:Last>Spours</b:Last>
            <b:First>K</b:First>
          </b:Person>
        </b:NameList>
      </b:Author>
    </b:Author>
    <b:Title>What is Happening with 17+ Participation, Attainment and Progression in London?  Paper 3: Colleges</b:Title>
    <b:Year>2014</b:Year>
    <b:Publisher>London Councils Young People's Education and Skills</b:Publisher>
    <b:RefOrder>19</b:RefOrder>
  </b:Source>
  <b:Source>
    <b:Tag>Lon14</b:Tag>
    <b:SourceType>Report</b:SourceType>
    <b:Guid>{2D6D04C3-F678-450F-A0CE-DF8B2A6143B0}</b:Guid>
    <b:Author>
      <b:Author>
        <b:Corporate>London Councils</b:Corporate>
      </b:Author>
    </b:Author>
    <b:Title>Young People in London: an Evidence Base</b:Title>
    <b:Year>2014</b:Year>
    <b:Publisher>London Councils</b:Publisher>
    <b:RefOrder>18</b:RefOrder>
  </b:Source>
  <b:Source>
    <b:Tag>Placeholder1</b:Tag>
    <b:SourceType>Report</b:SourceType>
    <b:Guid>{D40E211C-332B-45EA-A33C-FD15ACAB0663}</b:Guid>
    <b:Author>
      <b:Author>
        <b:Corporate>DfE</b:Corporate>
      </b:Author>
    </b:Author>
    <b:Title>16 to 19 Study Programmes</b:Title>
    <b:Year>2014 </b:Year>
    <b:Publisher>Department for Education</b:Publisher>
    <b:RefOrder>27</b:RefOrder>
  </b:Source>
  <b:Source>
    <b:Tag>DfE142</b:Tag>
    <b:SourceType>DocumentFromInternetSite</b:SourceType>
    <b:Guid>{85035E9C-A30F-42FA-BE51-C53FBE58E083}</b:Guid>
    <b:Author>
      <b:Author>
        <b:Corporate>DfE</b:Corporate>
      </b:Author>
    </b:Author>
    <b:Title>Provisional GCSE and Equivalent Results in England 2013 to 2014</b:Title>
    <b:InternetSiteTitle>National Statistics Statistical First Release</b:InternetSiteTitle>
    <b:Year>2014 a</b:Year>
    <b:URL>https://www.gov.uk/government/uploads/system/uploads/attachment_data/file/366556/SFR41_2014_provisional_GCSE_and_equivalents.pdf</b:URL>
    <b:RefOrder>24</b:RefOrder>
  </b:Source>
  <b:Source>
    <b:Tag>Jol13</b:Tag>
    <b:SourceType>Report</b:SourceType>
    <b:Guid>{2A5FDDF5-D939-4AAB-B922-5E37D4AA95AA}</b:Guid>
    <b:Author>
      <b:Author>
        <b:NameList>
          <b:Person>
            <b:Last>Joslin</b:Last>
            <b:First>H</b:First>
          </b:Person>
          <b:Person>
            <b:Last>Smith</b:Last>
            <b:First>S</b:First>
          </b:Person>
        </b:NameList>
      </b:Author>
    </b:Author>
    <b:Title>Progression of College Learners to Higher Education in London</b:Title>
    <b:Year>2013</b:Year>
    <b:Publisher>Linking London</b:Publisher>
    <b:RefOrder>2</b:RefOrder>
  </b:Source>
</b:Sources>
</file>

<file path=customXml/itemProps1.xml><?xml version="1.0" encoding="utf-8"?>
<ds:datastoreItem xmlns:ds="http://schemas.openxmlformats.org/officeDocument/2006/customXml" ds:itemID="{CDE8EDFD-5130-490A-9C13-39ECF779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BIS_report_template latest</Template>
  <TotalTime>1</TotalTime>
  <Pages>1</Pages>
  <Words>21380</Words>
  <Characters>121866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Joslin</dc:creator>
  <cp:keywords/>
  <dc:description/>
  <cp:lastModifiedBy>Hugh Joslin</cp:lastModifiedBy>
  <cp:revision>3</cp:revision>
  <cp:lastPrinted>2015-09-04T16:41:00Z</cp:lastPrinted>
  <dcterms:created xsi:type="dcterms:W3CDTF">2015-10-01T12:18:00Z</dcterms:created>
  <dcterms:modified xsi:type="dcterms:W3CDTF">2015-10-01T12:18:00Z</dcterms:modified>
</cp:coreProperties>
</file>