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Style w:val="LightShading"/>
        <w:tblpPr w:leftFromText="180" w:rightFromText="180" w:horzAnchor="margin" w:tblpY="-626"/>
        <w:tblW w:w="0" w:type="auto"/>
        <w:tblLook w:val="04A0" w:firstRow="1" w:lastRow="0" w:firstColumn="1" w:lastColumn="0" w:noHBand="0" w:noVBand="1"/>
      </w:tblPr>
      <w:tblGrid>
        <w:gridCol w:w="1136"/>
        <w:gridCol w:w="7890"/>
      </w:tblGrid>
      <w:tr w:rsidR="00CA3519" w:rsidRPr="007F39E4" w14:paraId="54831B79" w14:textId="77777777" w:rsidTr="005C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E53A91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DATE</w:t>
            </w:r>
          </w:p>
          <w:p w14:paraId="21049B34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AM or PM</w:t>
            </w:r>
          </w:p>
          <w:p w14:paraId="48C2DB27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TUTOR</w:t>
            </w:r>
          </w:p>
          <w:p w14:paraId="765E4905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SUBJECT</w:t>
            </w:r>
          </w:p>
          <w:p w14:paraId="1A244D90" w14:textId="72953836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1 of (however many pages</w:t>
            </w:r>
          </w:p>
        </w:tc>
        <w:tc>
          <w:tcPr>
            <w:tcW w:w="8000" w:type="dxa"/>
          </w:tcPr>
          <w:p w14:paraId="7DC053D1" w14:textId="48DE204D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4E4B69">
              <w:rPr>
                <w:b w:val="0"/>
                <w:sz w:val="24"/>
                <w:szCs w:val="24"/>
                <w:u w:val="single"/>
              </w:rPr>
              <w:t>TITLE</w:t>
            </w:r>
            <w:r>
              <w:rPr>
                <w:b w:val="0"/>
                <w:sz w:val="24"/>
                <w:szCs w:val="24"/>
                <w:u w:val="single"/>
              </w:rPr>
              <w:t xml:space="preserve"> – NOTE</w:t>
            </w:r>
            <w:r>
              <w:rPr>
                <w:rStyle w:val="FootnoteReference"/>
                <w:b w:val="0"/>
                <w:sz w:val="24"/>
                <w:szCs w:val="24"/>
                <w:u w:val="single"/>
              </w:rPr>
              <w:footnoteReference w:id="1"/>
            </w:r>
            <w:r>
              <w:rPr>
                <w:b w:val="0"/>
                <w:sz w:val="24"/>
                <w:szCs w:val="24"/>
                <w:u w:val="single"/>
              </w:rPr>
              <w:t xml:space="preserve"> template for </w:t>
            </w:r>
            <w:r w:rsidR="005C4A9C">
              <w:rPr>
                <w:b w:val="0"/>
                <w:sz w:val="24"/>
                <w:szCs w:val="24"/>
                <w:u w:val="single"/>
              </w:rPr>
              <w:t>notetakers.</w:t>
            </w:r>
          </w:p>
          <w:p w14:paraId="248AA234" w14:textId="77777777" w:rsidR="005C4A9C" w:rsidRPr="005C4A9C" w:rsidRDefault="005C4A9C" w:rsidP="005C4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5C7634" w14:textId="0C89FBB9" w:rsidR="00CA3519" w:rsidRPr="005C4A9C" w:rsidRDefault="00CA3519" w:rsidP="005C4A9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C4A9C">
              <w:rPr>
                <w:b w:val="0"/>
                <w:bCs w:val="0"/>
                <w:sz w:val="24"/>
                <w:szCs w:val="24"/>
              </w:rPr>
              <w:t>This section is for notes taken during the lecture, seminar, tutorial, etc.</w:t>
            </w:r>
          </w:p>
          <w:p w14:paraId="342F9DB4" w14:textId="069D7618" w:rsidR="00CA3519" w:rsidRPr="005C4A9C" w:rsidRDefault="00CA3519" w:rsidP="005C4A9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C4A9C">
              <w:rPr>
                <w:b w:val="0"/>
                <w:bCs w:val="0"/>
                <w:sz w:val="24"/>
                <w:szCs w:val="24"/>
              </w:rPr>
              <w:t xml:space="preserve">You can use either handwritten notes on conventional A4 lined </w:t>
            </w:r>
            <w:r w:rsidR="005C4A9C" w:rsidRPr="005C4A9C">
              <w:rPr>
                <w:b w:val="0"/>
                <w:bCs w:val="0"/>
                <w:sz w:val="24"/>
                <w:szCs w:val="24"/>
              </w:rPr>
              <w:t>paper or</w:t>
            </w:r>
            <w:r w:rsidRPr="005C4A9C">
              <w:rPr>
                <w:b w:val="0"/>
                <w:bCs w:val="0"/>
                <w:sz w:val="24"/>
                <w:szCs w:val="24"/>
              </w:rPr>
              <w:t xml:space="preserve"> use a digital/electronic device such as a laptop, netbook, tablet, etc. depending on your preferred method of notetaking.</w:t>
            </w:r>
          </w:p>
          <w:p w14:paraId="21C1E30D" w14:textId="77777777" w:rsidR="00CA3519" w:rsidRPr="005C4A9C" w:rsidRDefault="00CA3519" w:rsidP="005C4A9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C4A9C">
              <w:rPr>
                <w:b w:val="0"/>
                <w:bCs w:val="0"/>
                <w:sz w:val="24"/>
                <w:szCs w:val="24"/>
              </w:rPr>
              <w:t>Notes should be in summary form and long sentences need to be paraphrased.</w:t>
            </w:r>
          </w:p>
          <w:p w14:paraId="26302957" w14:textId="77777777" w:rsidR="00CA3519" w:rsidRPr="005C4A9C" w:rsidRDefault="00CA3519" w:rsidP="005C4A9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C4A9C">
              <w:rPr>
                <w:b w:val="0"/>
                <w:bCs w:val="0"/>
                <w:sz w:val="24"/>
                <w:szCs w:val="24"/>
              </w:rPr>
              <w:t>Only write on one side of the page if using paper and pen – this makes revising and reviewing easier.</w:t>
            </w:r>
          </w:p>
          <w:p w14:paraId="20AEAA40" w14:textId="339D4A09" w:rsidR="00CA3519" w:rsidRDefault="00CA3519" w:rsidP="005C4A9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A9C">
              <w:rPr>
                <w:b w:val="0"/>
                <w:bCs w:val="0"/>
                <w:sz w:val="24"/>
                <w:szCs w:val="24"/>
              </w:rPr>
              <w:t>Conventional abbreviations, notations and symbols should be used.</w:t>
            </w:r>
          </w:p>
          <w:p w14:paraId="342E17F5" w14:textId="77777777" w:rsidR="005C4A9C" w:rsidRPr="005C4A9C" w:rsidRDefault="005C4A9C" w:rsidP="005C4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C62334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CE0A677" wp14:editId="02BCF229">
                      <wp:extent cx="4865232" cy="2027583"/>
                      <wp:effectExtent l="0" t="0" r="12065" b="10795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232" cy="2027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E51BF" w14:textId="77777777" w:rsidR="00CA3519" w:rsidRPr="00A12A27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This section of the paper is left as ‘white space’.</w:t>
                                  </w:r>
                                </w:p>
                                <w:p w14:paraId="1C12D2AC" w14:textId="67D54404" w:rsidR="00CA3519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You do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not write in th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is b</w:t>
                                  </w:r>
                                  <w:r w:rsidR="007F78D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ox during the class but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add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to this section after the session –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preferably within 24 hours.</w:t>
                                  </w:r>
                                </w:p>
                                <w:p w14:paraId="1928D280" w14:textId="3D29267E" w:rsidR="00CA3519" w:rsidRPr="00A12A27" w:rsidRDefault="007F78D8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="002937BE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need to use a </w:t>
                                  </w:r>
                                  <w:r w:rsidR="00CA3519"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diff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erent coloured ink or text font in this section to enable them to tell the d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ifference between the lecture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notes and their own.</w:t>
                                  </w:r>
                                </w:p>
                                <w:p w14:paraId="4E202CF3" w14:textId="77777777" w:rsidR="00CA3519" w:rsidRPr="00A12A27" w:rsidRDefault="007F78D8" w:rsidP="00CA3519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This enables you to improve your</w:t>
                                  </w:r>
                                  <w:r w:rsidR="00CA3519"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researching skills, comprehend the subject matter and retain the information for longer.</w:t>
                                  </w:r>
                                </w:p>
                                <w:p w14:paraId="436945D0" w14:textId="7B9F40C4" w:rsidR="00CA3519" w:rsidRPr="00A12A27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Consequ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F78D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ntly, this may enable you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to attain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higher grades and improve your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employability chances </w:t>
                                  </w:r>
                                  <w:proofErr w:type="gramStart"/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at a later date</w:t>
                                  </w:r>
                                  <w:proofErr w:type="gramEnd"/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8A806BE" w14:textId="77777777" w:rsidR="00CA3519" w:rsidRDefault="00CA3519" w:rsidP="00CA3519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E0A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83.1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uJJQ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">
                      <v:textbox>
                        <w:txbxContent>
                          <w:p w14:paraId="2F7E51BF" w14:textId="77777777" w:rsidR="00CA3519" w:rsidRPr="00A12A27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This section of the paper is left as ‘white space’.</w:t>
                            </w:r>
                          </w:p>
                          <w:p w14:paraId="1C12D2AC" w14:textId="67D54404" w:rsidR="00CA3519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 do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not write in th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is b</w:t>
                            </w:r>
                            <w:r w:rsidR="007F78D8">
                              <w:rPr>
                                <w:i/>
                                <w:sz w:val="20"/>
                                <w:szCs w:val="20"/>
                              </w:rPr>
                              <w:t>ox during the class but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add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 this section after the session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preferably within 24 hours.</w:t>
                            </w:r>
                          </w:p>
                          <w:p w14:paraId="1928D280" w14:textId="3D29267E" w:rsidR="00CA3519" w:rsidRPr="00A12A27" w:rsidRDefault="007F78D8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2937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need to use a </w:t>
                            </w:r>
                            <w:r w:rsidR="00CA3519"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diff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>erent coloured ink or text font in this section to enable them to tell the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ifference between the lecture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notes and their own.</w:t>
                            </w:r>
                          </w:p>
                          <w:p w14:paraId="4E202CF3" w14:textId="77777777" w:rsidR="00CA3519" w:rsidRPr="00A12A27" w:rsidRDefault="007F78D8" w:rsidP="00CA3519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enables you to improve your</w:t>
                            </w:r>
                            <w:r w:rsidR="00CA3519"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researching skills, comprehend the subject matter and retain the information for longer.</w:t>
                            </w:r>
                          </w:p>
                          <w:p w14:paraId="436945D0" w14:textId="7B9F40C4" w:rsidR="00CA3519" w:rsidRPr="00A12A27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Consequ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7F78D8">
                              <w:rPr>
                                <w:i/>
                                <w:sz w:val="20"/>
                                <w:szCs w:val="20"/>
                              </w:rPr>
                              <w:t>ntly, this may enable you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 attain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higher grades and improve your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employability chances </w:t>
                            </w:r>
                            <w:proofErr w:type="gramStart"/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at a later date</w:t>
                            </w:r>
                            <w:proofErr w:type="gramEnd"/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A806BE" w14:textId="77777777" w:rsidR="00CA3519" w:rsidRDefault="00CA3519" w:rsidP="00CA3519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7E9B91" w14:textId="77777777" w:rsidR="005C4A9C" w:rsidRDefault="005C4A9C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5929A29B" w14:textId="7D73BFC6" w:rsidR="005C4A9C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 xml:space="preserve">Unlike the Cornell method which is popular in the U.S., this system is linear which </w:t>
            </w:r>
            <w:proofErr w:type="gramStart"/>
            <w:r w:rsidRPr="004E4B69">
              <w:rPr>
                <w:b w:val="0"/>
                <w:sz w:val="24"/>
                <w:szCs w:val="24"/>
              </w:rPr>
              <w:t>the majority of</w:t>
            </w:r>
            <w:proofErr w:type="gramEnd"/>
            <w:r w:rsidRPr="004E4B69">
              <w:rPr>
                <w:b w:val="0"/>
                <w:sz w:val="24"/>
                <w:szCs w:val="24"/>
              </w:rPr>
              <w:t xml:space="preserve"> students are most familiar with.</w:t>
            </w:r>
            <w:r w:rsidR="005C4A9C">
              <w:rPr>
                <w:b w:val="0"/>
                <w:sz w:val="24"/>
                <w:szCs w:val="24"/>
              </w:rPr>
              <w:t xml:space="preserve"> </w:t>
            </w:r>
            <w:r w:rsidRPr="004E4B69">
              <w:rPr>
                <w:b w:val="0"/>
                <w:sz w:val="24"/>
                <w:szCs w:val="24"/>
              </w:rPr>
              <w:t>Whilst this system has been developed for students in higher education, it is appropriate for students at all leve</w:t>
            </w:r>
            <w:r>
              <w:rPr>
                <w:b w:val="0"/>
                <w:sz w:val="24"/>
                <w:szCs w:val="24"/>
              </w:rPr>
              <w:t>ls of education who require notes from</w:t>
            </w:r>
            <w:r w:rsidRPr="004E4B69">
              <w:rPr>
                <w:b w:val="0"/>
                <w:sz w:val="24"/>
                <w:szCs w:val="24"/>
              </w:rPr>
              <w:t xml:space="preserve"> their classes.</w:t>
            </w:r>
            <w:r w:rsidR="005C4A9C">
              <w:rPr>
                <w:b w:val="0"/>
                <w:sz w:val="24"/>
                <w:szCs w:val="24"/>
              </w:rPr>
              <w:t xml:space="preserve"> </w:t>
            </w:r>
            <w:r w:rsidRPr="004E4B69">
              <w:rPr>
                <w:b w:val="0"/>
                <w:sz w:val="24"/>
                <w:szCs w:val="24"/>
              </w:rPr>
              <w:t>This system can also be used for taking notes from video and/or audio recordings.</w:t>
            </w:r>
          </w:p>
          <w:p w14:paraId="5C9102B1" w14:textId="77777777" w:rsidR="005C4A9C" w:rsidRPr="005C4A9C" w:rsidRDefault="005C4A9C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31E5B5FB" w14:textId="361DE314" w:rsidR="005C4A9C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7AD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DDA734" wp14:editId="5BBA4D3C">
                      <wp:extent cx="4888147" cy="2138901"/>
                      <wp:effectExtent l="0" t="0" r="27305" b="1397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8147" cy="2138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4BB99" w14:textId="77777777" w:rsidR="00CA3519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section is also left as ‘white space’.</w:t>
                                  </w:r>
                                </w:p>
                                <w:p w14:paraId="5C8DA93B" w14:textId="77777777" w:rsidR="00CA3519" w:rsidRPr="00887FA5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template would be beneficial for students who adopt a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reporter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approach to</w:t>
                                  </w:r>
                                  <w:r w:rsidRPr="00887FA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learning – if a reporter is tasked with writing an article for a newspaper, they may interview one or two people on the specific subject. The reporter then uses other sources to make the article more comprehensive.</w:t>
                                  </w:r>
                                </w:p>
                                <w:p w14:paraId="41A235AB" w14:textId="77777777" w:rsidR="00CA3519" w:rsidRPr="00887FA5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‘white space’ boxes can further develop ideas and information given at the time. This may include specific dates of importance, opposing opinions on the subject and/or different people wh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o are known in the subject area and/or questions arising from the subject. </w:t>
                                  </w:r>
                                </w:p>
                                <w:p w14:paraId="06F1B6EB" w14:textId="77777777" w:rsidR="00CA3519" w:rsidRPr="00887FA5" w:rsidRDefault="00CA3519" w:rsidP="00CA3519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area can also be used to pose questions which encourages deeper thinking and enhances your critical thinking skills.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The notes can be enhanced by providing a summary sheet at the end of each set of notes.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DA734" id="_x0000_s1027" type="#_x0000_t202" style="width:384.9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">
                      <v:textbox>
                        <w:txbxContent>
                          <w:p w14:paraId="1CB4BB99" w14:textId="77777777" w:rsidR="00CA3519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This section is also left as ‘white space’.</w:t>
                            </w:r>
                          </w:p>
                          <w:p w14:paraId="5C8DA93B" w14:textId="77777777" w:rsidR="00CA3519" w:rsidRPr="00887FA5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This template would be beneficial for students who adopt a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reporter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approach to</w:t>
                            </w:r>
                            <w:r w:rsidRPr="00887F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learning – if a reporter is tasked with writing an article for a newspaper, they may interview one or two people on the specific subject. The reporter then uses other sources to make the article more comprehensive.</w:t>
                            </w:r>
                          </w:p>
                          <w:p w14:paraId="41A235AB" w14:textId="77777777" w:rsidR="00CA3519" w:rsidRPr="00887FA5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The ‘white space’ boxes can further develop ideas and information given at the time. This may include specific dates of importance, opposing opinions on the subject and/or different people wh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 are known in the subject area and/or questions arising from the subject. </w:t>
                            </w:r>
                          </w:p>
                          <w:p w14:paraId="06F1B6EB" w14:textId="77777777" w:rsidR="00CA3519" w:rsidRPr="00887FA5" w:rsidRDefault="00CA3519" w:rsidP="00CA35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This area can also be used to pose questions which encourages deeper thinking and enhances your critical thinking skills.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The notes can be enhanced by providing a summary sheet at the end of each set of notes.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CE65F3E" w14:textId="77777777" w:rsidR="002F7AFC" w:rsidRDefault="002F7AFC" w:rsidP="005C4A9C"/>
    <w:sectPr w:rsidR="002F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372" w14:textId="77777777" w:rsidR="006B667C" w:rsidRDefault="006B667C" w:rsidP="00CA3519">
      <w:pPr>
        <w:spacing w:after="0" w:line="240" w:lineRule="auto"/>
      </w:pPr>
      <w:r>
        <w:separator/>
      </w:r>
    </w:p>
  </w:endnote>
  <w:endnote w:type="continuationSeparator" w:id="0">
    <w:p w14:paraId="3E6CB217" w14:textId="77777777" w:rsidR="006B667C" w:rsidRDefault="006B667C" w:rsidP="00C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C45B" w14:textId="77777777" w:rsidR="006B667C" w:rsidRDefault="006B667C" w:rsidP="00CA3519">
      <w:pPr>
        <w:spacing w:after="0" w:line="240" w:lineRule="auto"/>
      </w:pPr>
      <w:r>
        <w:separator/>
      </w:r>
    </w:p>
  </w:footnote>
  <w:footnote w:type="continuationSeparator" w:id="0">
    <w:p w14:paraId="2D43B9DC" w14:textId="77777777" w:rsidR="006B667C" w:rsidRDefault="006B667C" w:rsidP="00CA3519">
      <w:pPr>
        <w:spacing w:after="0" w:line="240" w:lineRule="auto"/>
      </w:pPr>
      <w:r>
        <w:continuationSeparator/>
      </w:r>
    </w:p>
  </w:footnote>
  <w:footnote w:id="1">
    <w:p w14:paraId="1310C25D" w14:textId="77777777" w:rsidR="00CA3519" w:rsidRDefault="00CA3519" w:rsidP="00CA3519">
      <w:pPr>
        <w:spacing w:line="270" w:lineRule="atLeast"/>
      </w:pPr>
      <w:r>
        <w:rPr>
          <w:rStyle w:val="FootnoteReference"/>
        </w:rPr>
        <w:footnoteRef/>
      </w:r>
      <w:r>
        <w:t xml:space="preserve"> NOTE – Notetaking Opti</w:t>
      </w:r>
      <w:r w:rsidR="00E51F87">
        <w:t>mising Thorley Effectiveness (</w:t>
      </w:r>
      <w:r>
        <w:t>notetakers</w:t>
      </w:r>
      <w:r w:rsidR="00E51F87">
        <w:t>)</w:t>
      </w:r>
      <w:r>
        <w:t xml:space="preserve"> 2013.</w:t>
      </w:r>
      <w:r w:rsidRPr="0005025C"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t xml:space="preserve"> </w:t>
      </w:r>
      <w:r w:rsidRPr="0005025C"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 wp14:anchorId="7DFF1D82" wp14:editId="4D6FE232">
            <wp:extent cx="842645" cy="294005"/>
            <wp:effectExtent l="0" t="0" r="0" b="0"/>
            <wp:docPr id="5" name="Picture 5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eative Commons Logo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FA5"/>
    <w:multiLevelType w:val="hybridMultilevel"/>
    <w:tmpl w:val="BCE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19"/>
    <w:rsid w:val="002937BE"/>
    <w:rsid w:val="002F7AFC"/>
    <w:rsid w:val="00361B1D"/>
    <w:rsid w:val="005C4A9C"/>
    <w:rsid w:val="006B667C"/>
    <w:rsid w:val="007F78D8"/>
    <w:rsid w:val="00967CC2"/>
    <w:rsid w:val="00BE4C16"/>
    <w:rsid w:val="00CA3519"/>
    <w:rsid w:val="00CC695C"/>
    <w:rsid w:val="00E51F87"/>
    <w:rsid w:val="00F55C16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949D"/>
  <w15:docId w15:val="{89A8030E-699D-4DD3-BA49-13E7704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3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A35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340-308F-4EE2-BDD3-9BAB0C26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Thorley</dc:creator>
  <cp:lastModifiedBy>Keith McDonald</cp:lastModifiedBy>
  <cp:revision>3</cp:revision>
  <dcterms:created xsi:type="dcterms:W3CDTF">2021-04-27T15:19:00Z</dcterms:created>
  <dcterms:modified xsi:type="dcterms:W3CDTF">2021-04-27T15:23:00Z</dcterms:modified>
</cp:coreProperties>
</file>